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03cef4314b8aa390e318dc4a1235d0ccb9e0c3a"/>
    <w:p>
      <w:pPr>
        <w:pStyle w:val="Heading1"/>
      </w:pPr>
      <w:r>
        <w:t xml:space="preserve">شركة الأزواك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X21f6715a848905ef23f6bf7e871c9b190931d71"/>
    <w:p>
      <w:pPr>
        <w:pStyle w:val="Heading1"/>
      </w:pPr>
      <w:r>
        <w:t xml:space="preserve">التتبع والاستدعاء (Traceability and Recall Procedure)</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التتبع والاستدعاء (Traceability and Recall Procedure)</w:t>
            </w:r>
          </w:p>
        </w:tc>
      </w:tr>
      <w:tr>
        <w:tc>
          <w:tcPr/>
          <w:p>
            <w:pPr>
              <w:pStyle w:val="Compact"/>
            </w:pPr>
            <w:r>
              <w:rPr>
                <w:b/>
                <w:bCs/>
              </w:rPr>
              <w:t xml:space="preserve">كود الوثيقة</w:t>
            </w:r>
          </w:p>
        </w:tc>
        <w:tc>
          <w:tcPr/>
          <w:p>
            <w:pPr>
              <w:pStyle w:val="Compact"/>
            </w:pPr>
            <w:r>
              <w:t xml:space="preserve">FSP-12</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31" w:name="X6603a8d5525938fb72c0abdc53be0d2bec19152"/>
    <w:p>
      <w:pPr>
        <w:pStyle w:val="Heading1"/>
      </w:pPr>
      <w:r>
        <w:t xml:space="preserve">الإجراء رقم 12: التتبع والاستدعاء (Traceability and Recall Procedure)</w:t>
      </w:r>
    </w:p>
    <w:bookmarkStart w:id="12" w:name="الغرض-purpose"/>
    <w:p>
      <w:pPr>
        <w:pStyle w:val="Heading2"/>
      </w:pPr>
      <w:r>
        <w:t xml:space="preserve">1. الغرض (Purpose)</w:t>
      </w:r>
    </w:p>
    <w:p>
      <w:pPr>
        <w:pStyle w:val="FirstParagraph"/>
      </w:pPr>
      <w:r>
        <w:t xml:space="preserve">يهدف هذا الإجراء إلى إنشاء وتطبيق وصيانة نظام فعال للتتبع يسمح بتحديد المسار الكامل للمنتجات (من المواد الخام حتى الاستهلاك النهائي) لمنتجات شركة لتعبئة المياه الطبيعية، وكذلك تحديد وتوثيق وإدارة أي منتجات غير مطابقة للمعايير أو قد تشكل خطراً على سلامة الغذاء تستدعي سحبها أو استدعائها من السوق، بهدف حماية المستهلكين وسمعة الشركة والامتثال للمتطلبات التشريعية والتنظيمية.</w:t>
      </w:r>
    </w:p>
    <w:bookmarkEnd w:id="12"/>
    <w:bookmarkStart w:id="13" w:name="النطاق-scope"/>
    <w:p>
      <w:pPr>
        <w:pStyle w:val="Heading2"/>
      </w:pPr>
      <w:r>
        <w:t xml:space="preserve">2. النطاق (Scope)</w:t>
      </w:r>
    </w:p>
    <w:p>
      <w:pPr>
        <w:pStyle w:val="FirstParagraph"/>
      </w:pPr>
      <w:r>
        <w:t xml:space="preserve">ينطبق هذا الإجراء على جميع الأنشطة المتعلقة بتعبئة المياه الطبيعية والمعدنية داخل شركة ، بدءاً من استلام وتخزين المواد الخام، مروراً بجميع مراحل الإنتاج والمعالجة والتعبئة والتخزين، وانتهاءً بتوزيع وتسليم المنتج النهائي، وكذلك على جميع الإجراءات المتعلقة بعمليات السحب والاستدعاء للمنتجات النهائية من سلسلة التوريد.</w:t>
      </w:r>
    </w:p>
    <w:bookmarkEnd w:id="13"/>
    <w:bookmarkStart w:id="14" w:name="التعريفات-والمختصرات"/>
    <w:p>
      <w:pPr>
        <w:pStyle w:val="Heading2"/>
      </w:pPr>
      <w:r>
        <w:t xml:space="preserve">3. التعريفات والمختصرات</w:t>
      </w:r>
    </w:p>
    <w:p>
      <w:pPr>
        <w:pStyle w:val="Compact"/>
        <w:numPr>
          <w:ilvl w:val="0"/>
          <w:numId w:val="1001"/>
        </w:numPr>
      </w:pPr>
      <w:r>
        <w:rPr>
          <w:b/>
          <w:bCs/>
        </w:rPr>
        <w:t xml:space="preserve">التتبع (Traceability)</w:t>
      </w:r>
      <w:r>
        <w:t xml:space="preserve">: القدرة على تتبع وتحديد تاريخ أو تطبيق أو موقع كيان ما بواسطة تسجيلات معرفية محددة. (ISO 22000:2018 §3.8)</w:t>
      </w:r>
    </w:p>
    <w:p>
      <w:pPr>
        <w:pStyle w:val="Compact"/>
        <w:numPr>
          <w:ilvl w:val="0"/>
          <w:numId w:val="1001"/>
        </w:numPr>
      </w:pPr>
      <w:r>
        <w:rPr>
          <w:b/>
          <w:bCs/>
        </w:rPr>
        <w:t xml:space="preserve">المنتج غير الآمن (Unsafe Product)</w:t>
      </w:r>
      <w:r>
        <w:t xml:space="preserve">: أي منتج غذائي قد يكون ضاراً بالصحة أو غير مناسب للاستهلاك البشري عند استخدامه وفقاً للغرض المخصص له أو بشكل معقول. (NFSA قرار 6/2023)</w:t>
      </w:r>
    </w:p>
    <w:p>
      <w:pPr>
        <w:pStyle w:val="Compact"/>
        <w:numPr>
          <w:ilvl w:val="0"/>
          <w:numId w:val="1001"/>
        </w:numPr>
      </w:pPr>
      <w:r>
        <w:rPr>
          <w:b/>
          <w:bCs/>
        </w:rPr>
        <w:t xml:space="preserve">الاستدعاء (Recall)</w:t>
      </w:r>
      <w:r>
        <w:t xml:space="preserve">: إجراء يهدف إلى استعادة منتج غير آمن من المستهلكين والعملاء، بما في ذلك تجار التجزئة وتجار الجملة والموزعين. يتم عادةً تنفيذه عندما يكون المنتج قد وصل إلى المستهلك النهائي. (مفهوم عام وفقاً للجهات الرقابية)</w:t>
      </w:r>
    </w:p>
    <w:p>
      <w:pPr>
        <w:pStyle w:val="Compact"/>
        <w:numPr>
          <w:ilvl w:val="0"/>
          <w:numId w:val="1001"/>
        </w:numPr>
      </w:pPr>
      <w:r>
        <w:rPr>
          <w:b/>
          <w:bCs/>
        </w:rPr>
        <w:t xml:space="preserve">السحب (Withdrawal)</w:t>
      </w:r>
      <w:r>
        <w:t xml:space="preserve">: إجراء سحب منتج غير آمن من سلسلة التوريد قبل وصوله إلى المستهلك النهائي.</w:t>
      </w:r>
    </w:p>
    <w:p>
      <w:pPr>
        <w:pStyle w:val="Compact"/>
        <w:numPr>
          <w:ilvl w:val="0"/>
          <w:numId w:val="1001"/>
        </w:numPr>
      </w:pPr>
      <w:r>
        <w:rPr>
          <w:b/>
          <w:bCs/>
        </w:rPr>
        <w:t xml:space="preserve">الدفعة / اللوط (Batch / Lot)</w:t>
      </w:r>
      <w:r>
        <w:t xml:space="preserve">: كمية محددة من المنتج تم إنتاجها في ظروف متجانسة خلال فترة زمنية محددة، ويتم تعريفها برقم فريد. (ISO 22000:2018 §3.13)</w:t>
      </w:r>
    </w:p>
    <w:p>
      <w:pPr>
        <w:pStyle w:val="Compact"/>
        <w:numPr>
          <w:ilvl w:val="0"/>
          <w:numId w:val="1001"/>
        </w:numPr>
      </w:pPr>
      <w:r>
        <w:rPr>
          <w:b/>
          <w:bCs/>
        </w:rPr>
        <w:t xml:space="preserve">فريق سلامة الغذاء (Food Safety Team - FST)</w:t>
      </w:r>
      <w:r>
        <w:t xml:space="preserve">: مجموعة من الأفراد المسؤولين عن إدارة وتطبيق نظام إدارة سلامة الغذاء. (ISO 22000:2018 §3.12)</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FSMS</w:t>
      </w:r>
      <w:r>
        <w:t xml:space="preserve">: نظام إدارة سلامة الغذاء (Food Safety Management System).</w:t>
      </w:r>
    </w:p>
    <w:bookmarkEnd w:id="14"/>
    <w:bookmarkStart w:id="15" w:name="المراجع-references"/>
    <w:p>
      <w:pPr>
        <w:pStyle w:val="Heading2"/>
      </w:pPr>
      <w:r>
        <w:t xml:space="preserve">4. المراجع (References)</w:t>
      </w:r>
    </w:p>
    <w:p>
      <w:pPr>
        <w:pStyle w:val="Compact"/>
        <w:numPr>
          <w:ilvl w:val="0"/>
          <w:numId w:val="1002"/>
        </w:numPr>
      </w:pPr>
      <w:r>
        <w:t xml:space="preserve">ISO 22000:2018 – أنظمة إدارة سلامة الغذاء – متطلبات أي منظمة في السلسلة الغذائية (§7.5.3، §8.5.2، §8.9، §9.1.1).</w:t>
      </w:r>
    </w:p>
    <w:p>
      <w:pPr>
        <w:pStyle w:val="Compact"/>
        <w:numPr>
          <w:ilvl w:val="0"/>
          <w:numId w:val="1002"/>
        </w:numPr>
      </w:pPr>
      <w:r>
        <w:t xml:space="preserve">ISO 9001:2015 – أنظمة إدارة الجودة – المتطلبات (§7.5.3، §8.5.2، §9.1.1).</w:t>
      </w:r>
    </w:p>
    <w:p>
      <w:pPr>
        <w:pStyle w:val="Compact"/>
        <w:numPr>
          <w:ilvl w:val="0"/>
          <w:numId w:val="1002"/>
        </w:numPr>
      </w:pPr>
      <w:r>
        <w:t xml:space="preserve">FSSC 22000 v6 – متطلبات المخطط: Part 2 – متطلبات لمنظمات تصنيع الغذاء (§2.5.3).</w:t>
      </w:r>
    </w:p>
    <w:p>
      <w:pPr>
        <w:pStyle w:val="Compact"/>
        <w:numPr>
          <w:ilvl w:val="0"/>
          <w:numId w:val="1002"/>
        </w:numPr>
      </w:pPr>
      <w:r>
        <w:t xml:space="preserve">ISO/TS 22002-1:2009 – برامج المتطلبات الأولية لسلامة الغذاء – الجزء الأول: تصنيع الغذاء (§3.6، §16).</w:t>
      </w:r>
    </w:p>
    <w:p>
      <w:pPr>
        <w:pStyle w:val="Compact"/>
        <w:numPr>
          <w:ilvl w:val="0"/>
          <w:numId w:val="1002"/>
        </w:numPr>
      </w:pPr>
      <w:r>
        <w:t xml:space="preserve">Codex Alimentarius CAC/RCP 1-1969 – المباديء العامة لنظافة الغذاء (HACCP) (خاصة المبدأ الرابع: المراقبة، والمبدأ الخامس: الإجراءات التصحيحية).</w:t>
      </w:r>
    </w:p>
    <w:p>
      <w:pPr>
        <w:pStyle w:val="Compact"/>
        <w:numPr>
          <w:ilvl w:val="0"/>
          <w:numId w:val="1002"/>
        </w:numPr>
      </w:pPr>
      <w:r>
        <w:t xml:space="preserve">المواصفة القياسية المصرية ES 1589/2007 (المعدلة) – مياه الشرب المعبأة.</w:t>
      </w:r>
    </w:p>
    <w:p>
      <w:pPr>
        <w:pStyle w:val="Compact"/>
        <w:numPr>
          <w:ilvl w:val="0"/>
          <w:numId w:val="1002"/>
        </w:numPr>
      </w:pPr>
      <w:r>
        <w:t xml:space="preserve">المواصفة القياسية المصرية ES 190 (المعدلة) – المياه المعدنية الطبيعية.</w:t>
      </w:r>
    </w:p>
    <w:p>
      <w:pPr>
        <w:pStyle w:val="Compact"/>
        <w:numPr>
          <w:ilvl w:val="0"/>
          <w:numId w:val="1002"/>
        </w:numPr>
      </w:pPr>
      <w:r>
        <w:t xml:space="preserve">قرار وزير الصحة والسكان رقم 458 لسنة 2007 ولائحته التنفيذية – بشأن قواعد إنتاج وتداول المياه المعبأة.</w:t>
      </w:r>
    </w:p>
    <w:p>
      <w:pPr>
        <w:pStyle w:val="Compact"/>
        <w:numPr>
          <w:ilvl w:val="0"/>
          <w:numId w:val="1002"/>
        </w:numPr>
      </w:pPr>
      <w:r>
        <w:t xml:space="preserve">لائحة الهيئة القومية لسلامة الغذاء NFSA قرار رقم 6 لسنة 2023 وتعديلاته – بشأن تنظيم تداول الغذاء (المواد 16، 17، 24).</w:t>
      </w:r>
    </w:p>
    <w:bookmarkEnd w:id="15"/>
    <w:bookmarkStart w:id="16" w:name="المسؤوليات-responsibilities"/>
    <w:p>
      <w:pPr>
        <w:pStyle w:val="Heading2"/>
      </w:pPr>
      <w:r>
        <w:t xml:space="preserve">5. المسؤوليات (Responsibilities)</w:t>
      </w:r>
    </w:p>
    <w:tbl>
      <w:tblPr>
        <w:tblStyle w:val="Table"/>
        <w:tblW w:type="pct" w:w="5000"/>
        <w:tblLayout w:type="fixed"/>
        <w:tblLook w:firstRow="1" w:lastRow="0" w:firstColumn="0" w:lastColumn="0" w:noHBand="0" w:noVBand="0" w:val="0020"/>
      </w:tblPr>
      <w:tblGrid>
        <w:gridCol w:w="901"/>
        <w:gridCol w:w="3763"/>
        <w:gridCol w:w="862"/>
        <w:gridCol w:w="823"/>
        <w:gridCol w:w="823"/>
        <w:gridCol w:w="744"/>
      </w:tblGrid>
      <w:tr>
        <w:trPr>
          <w:tblHeader w:val="on"/>
        </w:trPr>
        <w:tc>
          <w:tcPr/>
          <w:p>
            <w:pPr>
              <w:pStyle w:val="Compact"/>
              <w:jc w:val="left"/>
            </w:pPr>
            <w:r>
              <w:t xml:space="preserve">الدور/الجهة</w:t>
            </w:r>
          </w:p>
        </w:tc>
        <w:tc>
          <w:tcPr/>
          <w:p>
            <w:pPr>
              <w:pStyle w:val="Compact"/>
              <w:jc w:val="left"/>
            </w:pPr>
            <w:r>
              <w:t xml:space="preserve">المسؤولية الرئيسية</w:t>
            </w:r>
          </w:p>
        </w:tc>
        <w:tc>
          <w:tcPr/>
          <w:p>
            <w:pPr>
              <w:pStyle w:val="Compact"/>
              <w:jc w:val="left"/>
            </w:pPr>
            <w:r>
              <w:t xml:space="preserve">المسائلة (Accountable)</w:t>
            </w:r>
          </w:p>
        </w:tc>
        <w:tc>
          <w:tcPr/>
          <w:p>
            <w:pPr>
              <w:pStyle w:val="Compact"/>
              <w:jc w:val="left"/>
            </w:pPr>
            <w:r>
              <w:t xml:space="preserve">التنفيذ (Responsible)</w:t>
            </w:r>
          </w:p>
        </w:tc>
        <w:tc>
          <w:tcPr/>
          <w:p>
            <w:pPr>
              <w:pStyle w:val="Compact"/>
              <w:jc w:val="left"/>
            </w:pPr>
            <w:r>
              <w:t xml:space="preserve">الاستشارة (Consulted)</w:t>
            </w:r>
          </w:p>
        </w:tc>
        <w:tc>
          <w:tcPr/>
          <w:p>
            <w:pPr>
              <w:pStyle w:val="Compact"/>
              <w:jc w:val="left"/>
            </w:pPr>
            <w:r>
              <w:t xml:space="preserve">الإبلاغ (Informed)</w:t>
            </w:r>
          </w:p>
        </w:tc>
      </w:tr>
      <w:tr>
        <w:tc>
          <w:tcPr/>
          <w:p>
            <w:pPr>
              <w:pStyle w:val="Compact"/>
              <w:jc w:val="left"/>
            </w:pPr>
            <w:r>
              <w:rPr>
                <w:b/>
                <w:bCs/>
              </w:rPr>
              <w:t xml:space="preserve">المدير العام</w:t>
            </w:r>
          </w:p>
        </w:tc>
        <w:tc>
          <w:tcPr/>
          <w:p>
            <w:pPr>
              <w:pStyle w:val="Compact"/>
              <w:jc w:val="left"/>
            </w:pPr>
            <w:r>
              <w:t xml:space="preserve">الموافقة النهائية على سياسة التتبع والاستدعاء، وتوفير الموارد اللازمة، واعتماد القرارات الكبرى في حالات الاستدعاء.</w:t>
            </w:r>
          </w:p>
        </w:tc>
        <w:tc>
          <w:tcPr/>
          <w:p>
            <w:pPr>
              <w:pStyle w:val="Compact"/>
              <w:jc w:val="left"/>
            </w:pPr>
            <w:r>
              <w:t xml:space="preserve">A</w:t>
            </w:r>
          </w:p>
        </w:tc>
        <w:tc>
          <w:tcPr/>
          <w:p>
            <w:pPr>
              <w:pStyle w:val="Compact"/>
            </w:pPr>
          </w:p>
        </w:tc>
        <w:tc>
          <w:tcPr/>
          <w:p>
            <w:pPr>
              <w:pStyle w:val="Compact"/>
            </w:pPr>
          </w:p>
        </w:tc>
        <w:tc>
          <w:tcPr/>
          <w:p>
            <w:pPr>
              <w:pStyle w:val="Compact"/>
              <w:jc w:val="left"/>
            </w:pPr>
            <w:r>
              <w:t xml:space="preserve">I</w:t>
            </w:r>
          </w:p>
        </w:tc>
      </w:tr>
      <w:tr>
        <w:tc>
          <w:tcPr/>
          <w:p>
            <w:pPr>
              <w:pStyle w:val="Compact"/>
              <w:jc w:val="left"/>
            </w:pPr>
            <w:r>
              <w:rPr>
                <w:b/>
                <w:bCs/>
              </w:rPr>
              <w:t xml:space="preserve">رئيس فريق سلامة الغذاء (FSTL)</w:t>
            </w:r>
          </w:p>
        </w:tc>
        <w:tc>
          <w:tcPr/>
          <w:p>
            <w:pPr>
              <w:pStyle w:val="Compact"/>
              <w:jc w:val="left"/>
            </w:pPr>
            <w:r>
              <w:t xml:space="preserve">إنشاء وتنفيذ ومراقبة فعالية نظام التتبع والاستدعاء، وتنسيق الأنشطة بين الأقسام، والإشراف على السحب الوهمي.</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
                <w:bCs/>
              </w:rPr>
              <w:t xml:space="preserve">مدير الجودة</w:t>
            </w:r>
          </w:p>
        </w:tc>
        <w:tc>
          <w:tcPr/>
          <w:p>
            <w:pPr>
              <w:pStyle w:val="Compact"/>
              <w:jc w:val="left"/>
            </w:pPr>
            <w:r>
              <w:t xml:space="preserve">توثيق نظام التتبع والاستدعاء، وضمان الامتثال للمعايير، ومراقبة جودة السجلات، وقيادة التحقيق في أسباب المنتجات غير المطابقة.</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
                <w:bCs/>
              </w:rPr>
              <w:t xml:space="preserve">مدير الإنتاج</w:t>
            </w:r>
          </w:p>
        </w:tc>
        <w:tc>
          <w:tcPr/>
          <w:p>
            <w:pPr>
              <w:pStyle w:val="Compact"/>
              <w:jc w:val="left"/>
            </w:pPr>
            <w:r>
              <w:t xml:space="preserve">ضمان تطبيق إجراءات التتبع في جميع مراحل الإنتاج، وتحديد وتوثيق الدفعات/اللوطات، والعزل الفوري للمنتجات المشتبه بها.</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
                <w:bCs/>
              </w:rPr>
              <w:t xml:space="preserve">مدير المشتريات/المخازن</w:t>
            </w:r>
          </w:p>
        </w:tc>
        <w:tc>
          <w:tcPr/>
          <w:p>
            <w:pPr>
              <w:pStyle w:val="Compact"/>
              <w:jc w:val="left"/>
            </w:pPr>
            <w:r>
              <w:t xml:space="preserve">ضمان تمييز المواد الخام وتتبعها عند الاستلام والتخزين والصرف، وتوفير سجلات الموردين.</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
                <w:bCs/>
              </w:rPr>
              <w:t xml:space="preserve">مدير المبيعات/التوزيع</w:t>
            </w:r>
          </w:p>
        </w:tc>
        <w:tc>
          <w:tcPr/>
          <w:p>
            <w:pPr>
              <w:pStyle w:val="Compact"/>
              <w:jc w:val="left"/>
            </w:pPr>
            <w:r>
              <w:t xml:space="preserve">توفير سجلات توزيع المنتجات للعملاء (خطوة للأمام)، وتنسيق عملية سحب أو استدعاء المنتجات من السوق.</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
                <w:bCs/>
              </w:rPr>
              <w:t xml:space="preserve">المشرفون والعاملون</w:t>
            </w:r>
          </w:p>
        </w:tc>
        <w:tc>
          <w:tcPr/>
          <w:p>
            <w:pPr>
              <w:pStyle w:val="Compact"/>
              <w:jc w:val="left"/>
            </w:pPr>
            <w:r>
              <w:t xml:space="preserve">تطبيق الإجراءات اليومية للتتبع والتمييز، وملء السجلات بدقة، والإبلاغ عن أي انحرافات.</w:t>
            </w:r>
          </w:p>
        </w:tc>
        <w:tc>
          <w:tcPr/>
          <w:p>
            <w:pPr>
              <w:pStyle w:val="Compact"/>
            </w:pPr>
          </w:p>
        </w:tc>
        <w:tc>
          <w:tcPr/>
          <w:p>
            <w:pPr>
              <w:pStyle w:val="Compact"/>
              <w:jc w:val="left"/>
            </w:pPr>
            <w:r>
              <w:t xml:space="preserve">R</w:t>
            </w:r>
          </w:p>
        </w:tc>
        <w:tc>
          <w:tcPr/>
          <w:p>
            <w:pPr>
              <w:pStyle w:val="Compact"/>
            </w:pPr>
          </w:p>
        </w:tc>
        <w:tc>
          <w:tcPr/>
          <w:p>
            <w:pPr>
              <w:pStyle w:val="Compact"/>
              <w:jc w:val="left"/>
            </w:pPr>
            <w:r>
              <w:t xml:space="preserve">I</w:t>
            </w:r>
          </w:p>
        </w:tc>
      </w:tr>
      <w:tr>
        <w:tc>
          <w:tcPr/>
          <w:p>
            <w:pPr>
              <w:pStyle w:val="Compact"/>
              <w:jc w:val="left"/>
            </w:pPr>
            <w:r>
              <w:rPr>
                <w:b/>
                <w:bCs/>
              </w:rPr>
              <w:t xml:space="preserve">فريق الاستدعاء (Recall Team)</w:t>
            </w:r>
          </w:p>
        </w:tc>
        <w:tc>
          <w:tcPr/>
          <w:p>
            <w:pPr>
              <w:pStyle w:val="Compact"/>
              <w:jc w:val="left"/>
            </w:pPr>
            <w:r>
              <w:t xml:space="preserve">التخطيط والتنفيذ والتقييم لعمليات الاستدعاء/السحب وتنسيق الاتصالات مع الجهات الرقابية والعملاء.</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bl>
    <w:bookmarkEnd w:id="16"/>
    <w:bookmarkStart w:id="25" w:name="خطوات-التنفيذ-التفصيلية-procedures"/>
    <w:p>
      <w:pPr>
        <w:pStyle w:val="Heading2"/>
      </w:pPr>
      <w:r>
        <w:t xml:space="preserve">6. خطوات التنفيذ التفصيلية (Procedures)</w:t>
      </w:r>
    </w:p>
    <w:bookmarkStart w:id="17" w:name="X747945902bd183b20c3a1689c1a43bf7cb418a0"/>
    <w:p>
      <w:pPr>
        <w:pStyle w:val="Heading3"/>
      </w:pPr>
      <w:r>
        <w:t xml:space="preserve">6-1. نظام التتبع الداخلي (Internal Traceability System)</w:t>
      </w:r>
    </w:p>
    <w:p>
      <w:pPr>
        <w:pStyle w:val="FirstParagraph"/>
      </w:pPr>
      <w:r>
        <w:t xml:space="preserve">6-1-1. يجب على الشركة تطبيق نظام تتبع فعال يضمن القدرة على تحديد مسار المنتجات</w:t>
      </w:r>
      <w:r>
        <w:t xml:space="preserve"> </w:t>
      </w:r>
      <w:r>
        <w:t xml:space="preserve">“خطوة واحدة إلى الأمام وخطوة واحدة إلى الخلف”</w:t>
      </w:r>
      <w:r>
        <w:t xml:space="preserve"> </w:t>
      </w:r>
      <w:r>
        <w:t xml:space="preserve">داخل وخارج الشركة. (ISO 22000:2018 §8.9.1.1)</w:t>
      </w:r>
    </w:p>
    <w:p>
      <w:pPr>
        <w:pStyle w:val="BodyText"/>
      </w:pPr>
      <w:r>
        <w:t xml:space="preserve">6-1-2.</w:t>
      </w:r>
      <w:r>
        <w:t xml:space="preserve"> </w:t>
      </w:r>
      <w:r>
        <w:rPr>
          <w:b/>
          <w:bCs/>
        </w:rPr>
        <w:t xml:space="preserve">تحديد رقم الدفعة/اللوط (Batch/Lot Identification)</w:t>
      </w:r>
      <w:r>
        <w:t xml:space="preserve">:</w:t>
      </w:r>
      <w:r>
        <w:t xml:space="preserve"> </w:t>
      </w:r>
      <w:r>
        <w:t xml:space="preserve">- يتم تخصيص رقم دفعة/لوط فريد لكل دفعة من المواد الخام المستلمة ولكل دفعة إنتاج للمنتج النهائي.</w:t>
      </w:r>
      <w:r>
        <w:t xml:space="preserve"> </w:t>
      </w:r>
      <w:r>
        <w:t xml:space="preserve">- يجب أن يتضمن رقم الدفعة/اللوط معلومات تسمح بتحديد تاريخ الإنتاج وخط الإنتاج إن أمكن.</w:t>
      </w:r>
      <w:r>
        <w:t xml:space="preserve"> </w:t>
      </w:r>
      <w:r>
        <w:t xml:space="preserve">- يتم تطبيق رقم الدفعة/اللوط بوضوح على التعبئة الأولية للوحدة والأغلفة الخارجية (الصناديق/الكراتين) ومنصات التحميل (Pallets) للوصول المباشر إلى معلومات تحديد هوية المنتج. (ISO/TS 22002-1 §16.1.1).</w:t>
      </w:r>
    </w:p>
    <w:p>
      <w:pPr>
        <w:pStyle w:val="BodyText"/>
      </w:pPr>
      <w:r>
        <w:t xml:space="preserve">6-1-3.</w:t>
      </w:r>
      <w:r>
        <w:t xml:space="preserve"> </w:t>
      </w:r>
      <w:r>
        <w:rPr>
          <w:b/>
          <w:bCs/>
        </w:rPr>
        <w:t xml:space="preserve">تسجيل بيانات التتبع للمواد الخام ومواد التعبئة والتغليف</w:t>
      </w:r>
      <w:r>
        <w:t xml:space="preserve">:</w:t>
      </w:r>
      <w:r>
        <w:t xml:space="preserve"> </w:t>
      </w:r>
      <w:r>
        <w:t xml:space="preserve">- عند استلام المواد الخام ومواد التعبئة والتغليف، يتم تسجيل رقم الدفعة/اللوط الخاص بالمورد وتاريخ الاستلام وكمية الاستلام وبيانات المورد.</w:t>
      </w:r>
      <w:r>
        <w:t xml:space="preserve"> </w:t>
      </w:r>
      <w:r>
        <w:t xml:space="preserve">- يتم تخزين هذه السجلات في قاعدة بيانات (أو سجلات يدوية) للرجوع إليها مستقبلاً. (ISO 22000:2018 §8.9.1.1، NFSA قرار 6/2023 المادة 24 ب).</w:t>
      </w:r>
    </w:p>
    <w:p>
      <w:pPr>
        <w:pStyle w:val="BodyText"/>
      </w:pPr>
      <w:r>
        <w:t xml:space="preserve">6-1-4.</w:t>
      </w:r>
      <w:r>
        <w:t xml:space="preserve"> </w:t>
      </w:r>
      <w:r>
        <w:rPr>
          <w:b/>
          <w:bCs/>
        </w:rPr>
        <w:t xml:space="preserve">تسجيل بيانات التتبع خلال الإنتاج</w:t>
      </w:r>
      <w:r>
        <w:t xml:space="preserve">:</w:t>
      </w:r>
      <w:r>
        <w:t xml:space="preserve"> </w:t>
      </w:r>
      <w:r>
        <w:t xml:space="preserve">- يتم ربط أرقام دفعات/لوطات المواد الخام ومواد التعبئة والتغليف المستخدمة في كل دفعة إنتاج للمنتج النهائي برقم دفعة/لوط المنتج النهائي.</w:t>
      </w:r>
      <w:r>
        <w:t xml:space="preserve"> </w:t>
      </w:r>
      <w:r>
        <w:t xml:space="preserve">- يتم تسجيل جميع المدخلات في سجل الإنتاج لكل دفعة، بما في ذلك الكميات، أوقات التشغيل، وأي إجراءات تصحيحية.</w:t>
      </w:r>
      <w:r>
        <w:t xml:space="preserve"> </w:t>
      </w:r>
      <w:r>
        <w:t xml:space="preserve">- يتم الاحتفاظ بسجلات دقيقة لمسارات الإنتاج وربط المكونات المستخدمة في المنتج النهائي الذي يتم شحنه. (ISO 22000:2018 §8.9.1.1).</w:t>
      </w:r>
    </w:p>
    <w:p>
      <w:pPr>
        <w:pStyle w:val="BodyText"/>
      </w:pPr>
      <w:r>
        <w:t xml:space="preserve">6-1-5.</w:t>
      </w:r>
      <w:r>
        <w:t xml:space="preserve"> </w:t>
      </w:r>
      <w:r>
        <w:rPr>
          <w:b/>
          <w:bCs/>
        </w:rPr>
        <w:t xml:space="preserve">تسجيل بيانات التوزيع للمنتجات النهائية</w:t>
      </w:r>
      <w:r>
        <w:t xml:space="preserve">:</w:t>
      </w:r>
      <w:r>
        <w:t xml:space="preserve"> </w:t>
      </w:r>
      <w:r>
        <w:t xml:space="preserve">- عند شحن المنتج النهائي، يتم تسجيل رقم دفعة/لوط المنتج النهائي، وكمية الشحن، واسم العميل/الموزع، وتاريخ الشحن، ووجهة الشحن.</w:t>
      </w:r>
      <w:r>
        <w:t xml:space="preserve"> </w:t>
      </w:r>
      <w:r>
        <w:t xml:space="preserve">- يجب أن تكون هذه السجلات قابلة للوصول بسهولة لاستعادة المنتج المحتمل أو سحبه في أي وقت. (ISO 22000:2018 §8.9.1.1، NFSA قرار 6/2023 المادة 24 ب).</w:t>
      </w:r>
    </w:p>
    <w:p>
      <w:pPr>
        <w:pStyle w:val="BodyText"/>
      </w:pPr>
      <w:r>
        <w:t xml:space="preserve">6-1-6.</w:t>
      </w:r>
      <w:r>
        <w:t xml:space="preserve"> </w:t>
      </w:r>
      <w:r>
        <w:rPr>
          <w:b/>
          <w:bCs/>
        </w:rPr>
        <w:t xml:space="preserve">تمييز المنتج (Product Identification and Status)</w:t>
      </w:r>
      <w:r>
        <w:t xml:space="preserve">: (ISO 22000:2018 §8.5.2)</w:t>
      </w:r>
      <w:r>
        <w:t xml:space="preserve"> </w:t>
      </w:r>
      <w:r>
        <w:t xml:space="preserve">-</w:t>
      </w:r>
      <w:r>
        <w:t xml:space="preserve"> </w:t>
      </w:r>
      <w:r>
        <w:rPr>
          <w:b/>
          <w:bCs/>
        </w:rPr>
        <w:t xml:space="preserve">المواد الخام المستلمة</w:t>
      </w:r>
      <w:r>
        <w:t xml:space="preserve">:</w:t>
      </w:r>
      <w:r>
        <w:t xml:space="preserve"> </w:t>
      </w:r>
      <w:r>
        <w:t xml:space="preserve">- يتم تمييز المواد الخام المقبولة بواسطة بطاقة خضراء (أو ملصق) تحمل تفاصيل الصنف، رقم اللوط، تاريخ الاستلام، وتاريخ انتهاء الصلاحية المحدد بواسطة المورد أو الشركة. (F-12-04).</w:t>
      </w:r>
      <w:r>
        <w:t xml:space="preserve"> </w:t>
      </w:r>
      <w:r>
        <w:t xml:space="preserve">- المواد تحت الفحص يتم تمييزها ببطاقة صفراء (F-12-05) وتوضع في منطقة مخصصة لحين صدور نتائج الفحص.</w:t>
      </w:r>
      <w:r>
        <w:t xml:space="preserve"> </w:t>
      </w:r>
      <w:r>
        <w:t xml:space="preserve">- المواد الخام المرفوضة يتم تمييزها ببطاقة حمراء (F-12-06) وتوضع في منطقة حجر صحي معزولة لمنع استخدامها وتحديد مصيرها بالتخلص الآمن أو الإرجاع.</w:t>
      </w:r>
      <w:r>
        <w:t xml:space="preserve"> </w:t>
      </w:r>
      <w:r>
        <w:t xml:space="preserve">-</w:t>
      </w:r>
      <w:r>
        <w:t xml:space="preserve"> </w:t>
      </w:r>
      <w:r>
        <w:rPr>
          <w:b/>
          <w:bCs/>
        </w:rPr>
        <w:t xml:space="preserve">المنتجات تحت التجهيز (WIP)</w:t>
      </w:r>
      <w:r>
        <w:t xml:space="preserve">:</w:t>
      </w:r>
      <w:r>
        <w:t xml:space="preserve"> </w:t>
      </w:r>
      <w:r>
        <w:t xml:space="preserve">- يتم تمييز المنتجات في مراحل التصنيع المختلفة ببطاقات توضح رقم الدفعة/اللوط، المرحلة الإنتاجية، وتاريخ الدخول للمرحلة.</w:t>
      </w:r>
      <w:r>
        <w:t xml:space="preserve"> </w:t>
      </w:r>
      <w:r>
        <w:t xml:space="preserve">- المنتجات المرفوضة أو غير المطابقة أثناء التصنيع يتم تمييزها ببطاقة حمراء (F-12-06) وتوضع في منطقة حجر صحي مخصصة.</w:t>
      </w:r>
      <w:r>
        <w:t xml:space="preserve"> </w:t>
      </w:r>
      <w:r>
        <w:t xml:space="preserve">- المنتجات التي تحتاج إلى مراجعة إضافية أو انتظار نتائج فحص يتم تمييزها ببطاقة صفراء (F-12-05).</w:t>
      </w:r>
      <w:r>
        <w:t xml:space="preserve"> </w:t>
      </w:r>
      <w:r>
        <w:t xml:space="preserve">-</w:t>
      </w:r>
      <w:r>
        <w:t xml:space="preserve"> </w:t>
      </w:r>
      <w:r>
        <w:rPr>
          <w:b/>
          <w:bCs/>
        </w:rPr>
        <w:t xml:space="preserve">المنتج النهائي</w:t>
      </w:r>
      <w:r>
        <w:t xml:space="preserve">:</w:t>
      </w:r>
      <w:r>
        <w:t xml:space="preserve"> </w:t>
      </w:r>
      <w:r>
        <w:t xml:space="preserve">- يتم تمييز كل وحدة منتج نهائي (عبوة) برقم الدفعة/اللوط، تاريخ الإنتاج، وتاريخ الانتهاء للصلاحية كما هو محدد في المواصفات القياسية (ES 1589/2007، ES 190).</w:t>
      </w:r>
      <w:r>
        <w:t xml:space="preserve"> </w:t>
      </w:r>
      <w:r>
        <w:t xml:space="preserve">- يتم تمييز صناديق/كراتين المنتج النهائي ومنصات التحميل بنفس معلومات الدفعة/اللوط وتاريخ الإنتاج والانتهاء.</w:t>
      </w:r>
    </w:p>
    <w:bookmarkEnd w:id="17"/>
    <w:bookmarkStart w:id="18" w:name="فريق-الاستدعاء-recall-team"/>
    <w:p>
      <w:pPr>
        <w:pStyle w:val="Heading3"/>
      </w:pPr>
      <w:r>
        <w:t xml:space="preserve">6-2. فريق الاستدعاء (Recall Team)</w:t>
      </w:r>
    </w:p>
    <w:p>
      <w:pPr>
        <w:pStyle w:val="FirstParagraph"/>
      </w:pPr>
      <w:r>
        <w:t xml:space="preserve">6-2-1. يقوم المدير العام، بالتشاور مع رئيس فريق سلامة الغذاء، بتشكيل فريق الاستدعاء وتحديد رئيسه (منسق عملية الاستدعاء) والأعضاء والمسؤوليات المنوطة بكل منهم في نموذج فريق الاستدعاء (F-12-02).</w:t>
      </w:r>
      <w:r>
        <w:t xml:space="preserve"> </w:t>
      </w:r>
      <w:r>
        <w:t xml:space="preserve">6-2-2. يجب أن يشمل فريق الاستدعاء ممثلين من الأقسام التالية كحد أدنى: إدارة الجودة/سلامة الغذاء، الإنتاج، المبيعات/التوزيع، التسويق، الإدارة العليا.</w:t>
      </w:r>
      <w:r>
        <w:t xml:space="preserve"> </w:t>
      </w:r>
      <w:r>
        <w:t xml:space="preserve">6-2-3. يتم تدريب فريق الاستدعاء بشكل دوري على إجراءات الاستدعاء والسحب وكيفية التواصل الفعال مع الجهات المعنية.</w:t>
      </w:r>
    </w:p>
    <w:bookmarkEnd w:id="18"/>
    <w:bookmarkStart w:id="19" w:name="X581fadefeec05a9746a988f4ce4fcc26575b7d2"/>
    <w:p>
      <w:pPr>
        <w:pStyle w:val="Heading3"/>
      </w:pPr>
      <w:r>
        <w:t xml:space="preserve">6-3. تقييم الحاجة لعملية الاستدعاء/السحب (Assessment for Recall/Withdrawal)</w:t>
      </w:r>
    </w:p>
    <w:p>
      <w:pPr>
        <w:pStyle w:val="FirstParagraph"/>
      </w:pPr>
      <w:r>
        <w:t xml:space="preserve">6-3-1. يتم بدء عملية تقييم الحاجة للاستدعاء أو السحب فور اكتشاف منتج غير مطابق قد يؤثر على سلامة الغذاء أو عند تلقي شكوى خطيرة.</w:t>
      </w:r>
      <w:r>
        <w:t xml:space="preserve"> </w:t>
      </w:r>
      <w:r>
        <w:t xml:space="preserve">6-3-2. يقود فريق سلامة الغذاء ومدير الجودة التحقيق الأولي لتحديد طبيعة الانحراف ودرجة الخطورة المحتملة على صحة المستهلكين بناءً على:</w:t>
      </w:r>
      <w:r>
        <w:t xml:space="preserve"> </w:t>
      </w:r>
      <w:r>
        <w:t xml:space="preserve">- نوع الخطر (بيولوجي، كيميائي، فيزيائي).</w:t>
      </w:r>
      <w:r>
        <w:t xml:space="preserve"> </w:t>
      </w:r>
      <w:r>
        <w:t xml:space="preserve">- مستوى التلوث/الانحراف.</w:t>
      </w:r>
      <w:r>
        <w:t xml:space="preserve"> </w:t>
      </w:r>
      <w:r>
        <w:t xml:space="preserve">- حجم الدفعة/اللوط المتأثر.</w:t>
      </w:r>
      <w:r>
        <w:t xml:space="preserve"> </w:t>
      </w:r>
      <w:r>
        <w:t xml:space="preserve">- مدى انتشار المنتج في السوق.</w:t>
      </w:r>
      <w:r>
        <w:t xml:space="preserve"> </w:t>
      </w:r>
      <w:r>
        <w:t xml:space="preserve">- قابليتها للتسبب في إصابة أو مرض.</w:t>
      </w:r>
    </w:p>
    <w:p>
      <w:pPr>
        <w:pStyle w:val="BodyText"/>
      </w:pPr>
      <w:r>
        <w:t xml:space="preserve">6-3-3.</w:t>
      </w:r>
      <w:r>
        <w:t xml:space="preserve"> </w:t>
      </w:r>
      <w:r>
        <w:rPr>
          <w:b/>
          <w:bCs/>
        </w:rPr>
        <w:t xml:space="preserve">درجات خطورة الاستدعاء (Recall Classification)</w:t>
      </w:r>
      <w:r>
        <w:t xml:space="preserve">: يتم تصنيف درجة خطورة الاستدعاء بالتشاور مع الجهات الرقابية (NFSA) وفقاً لما يلي: (مستوحى من توجيهات NFSA والجهات الدولية)</w:t>
      </w:r>
      <w:r>
        <w:t xml:space="preserve"> </w:t>
      </w:r>
      <w:r>
        <w:t xml:space="preserve">-</w:t>
      </w:r>
      <w:r>
        <w:t xml:space="preserve"> </w:t>
      </w:r>
      <w:r>
        <w:rPr>
          <w:b/>
          <w:bCs/>
        </w:rPr>
        <w:t xml:space="preserve">درجة I (Class I)</w:t>
      </w:r>
      <w:r>
        <w:t xml:space="preserve">: استخدام المنتج أو التعرض له سيؤدي إلى عواقب صحية خطيرة أو الوفاة. يتطلب استدعاء فوري وإخطار عاجل للجمهور.</w:t>
      </w:r>
      <w:r>
        <w:t xml:space="preserve"> </w:t>
      </w:r>
      <w:r>
        <w:t xml:space="preserve">-</w:t>
      </w:r>
      <w:r>
        <w:t xml:space="preserve"> </w:t>
      </w:r>
      <w:r>
        <w:rPr>
          <w:b/>
          <w:bCs/>
        </w:rPr>
        <w:t xml:space="preserve">درجة II (Class II)</w:t>
      </w:r>
      <w:r>
        <w:t xml:space="preserve">: استخدام المنتج أو التعرض له قد يسبب عواقب صحية مؤقتة وقابلة للعكس، أو هناك احتمال ضئيل لعواقب صحية خطيرة.</w:t>
      </w:r>
      <w:r>
        <w:t xml:space="preserve"> </w:t>
      </w:r>
      <w:r>
        <w:t xml:space="preserve">-</w:t>
      </w:r>
      <w:r>
        <w:t xml:space="preserve"> </w:t>
      </w:r>
      <w:r>
        <w:rPr>
          <w:b/>
          <w:bCs/>
        </w:rPr>
        <w:t xml:space="preserve">درجة III (Class III)</w:t>
      </w:r>
      <w:r>
        <w:t xml:space="preserve">: استخدام المنتج أو التعرض له لا يحتمل أن يسبب عواقب صحية سلبية، ولكنه ينتهك متطلبات تشريعية أو جودة محددة (مثل سوء وضع الملصقات، عيب جودة لا يؤثر على السلامة).</w:t>
      </w:r>
    </w:p>
    <w:p>
      <w:pPr>
        <w:pStyle w:val="BodyText"/>
      </w:pPr>
      <w:r>
        <w:t xml:space="preserve">6-3-4.</w:t>
      </w:r>
      <w:r>
        <w:t xml:space="preserve"> </w:t>
      </w:r>
      <w:r>
        <w:rPr>
          <w:b/>
          <w:bCs/>
        </w:rPr>
        <w:t xml:space="preserve">الإبلاغ عن الحوادث الغذائية للجهات الرسمية</w:t>
      </w:r>
      <w:r>
        <w:t xml:space="preserve">:</w:t>
      </w:r>
      <w:r>
        <w:t xml:space="preserve"> </w:t>
      </w:r>
      <w:r>
        <w:t xml:space="preserve">- في حال الاشتباه في وجود خطر جسيم على الصحة العامة، يجب على رئيس فريق سلامة الغذاء الإبلاغ الفوري للـ NFSA خلال 24 ساعة من تاريخ العلم بالحدث، مع تزويدهم بالمعلومات الأولية المتوفرة عبر القنوات الرسمية (الخط الساخن، البريد الإلكتروني). (NFSA قرار 6/2023 المادة 16 أ).</w:t>
      </w:r>
      <w:r>
        <w:t xml:space="preserve"> </w:t>
      </w:r>
      <w:r>
        <w:t xml:space="preserve">- يتم إخطار وزارة الصحة والسكان (طبقاً لقرار 458/2007) في حالات التلوث الميكروبي أو الكيميائي التي تتجاوز الحدود المسموح بها.</w:t>
      </w:r>
      <w:r>
        <w:t xml:space="preserve"> </w:t>
      </w:r>
      <w:r>
        <w:t xml:space="preserve">- يتم التنسيق الدائم مع الـ NFSA والجهات الرقابية الأخرى خلال جميع خطوات عملية الاستدعاء.</w:t>
      </w:r>
    </w:p>
    <w:bookmarkEnd w:id="19"/>
    <w:bookmarkStart w:id="20" w:name="خطة-الاستدعاءالسحب-recallwithdrawal-plan"/>
    <w:p>
      <w:pPr>
        <w:pStyle w:val="Heading3"/>
      </w:pPr>
      <w:r>
        <w:t xml:space="preserve">6-4. خطة الاستدعاء/السحب (Recall/Withdrawal Plan)</w:t>
      </w:r>
    </w:p>
    <w:p>
      <w:pPr>
        <w:pStyle w:val="FirstParagraph"/>
      </w:pPr>
      <w:r>
        <w:t xml:space="preserve">6-4-1. عند اتخاذ قرار الاستدعاء/السحب، يقوم فريق الاستدعاء بتطوير خطة تفصيلية تتضمن ما يلي: (ISO 22000:2018 §8.9.3.1)</w:t>
      </w:r>
      <w:r>
        <w:t xml:space="preserve"> </w:t>
      </w:r>
      <w:r>
        <w:t xml:space="preserve">-</w:t>
      </w:r>
      <w:r>
        <w:t xml:space="preserve"> </w:t>
      </w:r>
      <w:r>
        <w:rPr>
          <w:b/>
          <w:bCs/>
        </w:rPr>
        <w:t xml:space="preserve">تحديد المنتجات المعنية</w:t>
      </w:r>
      <w:r>
        <w:t xml:space="preserve">: تحديد أرقام الدفعات/اللوطات، تاريخ الإنتاج، تاريخ الانتهاء، حجم العبوات للمنتجات المتأثرة.</w:t>
      </w:r>
      <w:r>
        <w:t xml:space="preserve"> </w:t>
      </w:r>
      <w:r>
        <w:t xml:space="preserve">-</w:t>
      </w:r>
      <w:r>
        <w:t xml:space="preserve"> </w:t>
      </w:r>
      <w:r>
        <w:rPr>
          <w:b/>
          <w:bCs/>
        </w:rPr>
        <w:t xml:space="preserve">تحديد نطاق الاستدعاء/السحب (Scope)</w:t>
      </w:r>
      <w:r>
        <w:t xml:space="preserve">: تحديد ما إذا كان السحب من المخازن فقط (سحب)، أو من تجار الجملة والتجزئة، أو يشمل المستهلك النهائي (استدعاء).</w:t>
      </w:r>
      <w:r>
        <w:t xml:space="preserve"> </w:t>
      </w:r>
      <w:r>
        <w:t xml:space="preserve">-</w:t>
      </w:r>
      <w:r>
        <w:t xml:space="preserve"> </w:t>
      </w:r>
      <w:r>
        <w:rPr>
          <w:b/>
          <w:bCs/>
        </w:rPr>
        <w:t xml:space="preserve">تحديد الكميات المتأثرة</w:t>
      </w:r>
      <w:r>
        <w:t xml:space="preserve">: الكميات المنتجة، الكميات المتبقية بالشركة، الكميات الموزعة في السوق المحلي، وكميات التصدير.</w:t>
      </w:r>
      <w:r>
        <w:t xml:space="preserve"> </w:t>
      </w:r>
      <w:r>
        <w:t xml:space="preserve">-</w:t>
      </w:r>
      <w:r>
        <w:t xml:space="preserve"> </w:t>
      </w:r>
      <w:r>
        <w:rPr>
          <w:b/>
          <w:bCs/>
        </w:rPr>
        <w:t xml:space="preserve">مصادر الخطر</w:t>
      </w:r>
      <w:r>
        <w:t xml:space="preserve">: وصف دقيق ومفصل للمشكلة التي أدت إلى قرار الاستدعاء/السحب.</w:t>
      </w:r>
      <w:r>
        <w:t xml:space="preserve"> </w:t>
      </w:r>
      <w:r>
        <w:t xml:space="preserve">-</w:t>
      </w:r>
      <w:r>
        <w:t xml:space="preserve"> </w:t>
      </w:r>
      <w:r>
        <w:rPr>
          <w:b/>
          <w:bCs/>
        </w:rPr>
        <w:t xml:space="preserve">عمق الاستدعاء (Depth of Recall)</w:t>
      </w:r>
      <w:r>
        <w:t xml:space="preserve">: تحديد مستوى سلسلة التوريد التي سيتم منها استرجاع المنتج (مثال: محلات تجزئة، تجار جملة، مستهلكين).</w:t>
      </w:r>
      <w:r>
        <w:t xml:space="preserve"> </w:t>
      </w:r>
      <w:r>
        <w:t xml:space="preserve">-</w:t>
      </w:r>
      <w:r>
        <w:t xml:space="preserve"> </w:t>
      </w:r>
      <w:r>
        <w:rPr>
          <w:b/>
          <w:bCs/>
        </w:rPr>
        <w:t xml:space="preserve">استراتيجية الاتصال (Communication Strategy)</w:t>
      </w:r>
      <w:r>
        <w:t xml:space="preserve">: تحديد كيفية التواصل مع:</w:t>
      </w:r>
      <w:r>
        <w:t xml:space="preserve"> </w:t>
      </w:r>
      <w:r>
        <w:t xml:space="preserve">- الـ NFSA والجهات الرقابية الأخرى (وزارة الصحة).</w:t>
      </w:r>
      <w:r>
        <w:t xml:space="preserve"> </w:t>
      </w:r>
      <w:r>
        <w:t xml:space="preserve">- العملاء (تجار الجملة والتجزئة).</w:t>
      </w:r>
      <w:r>
        <w:t xml:space="preserve"> </w:t>
      </w:r>
      <w:r>
        <w:t xml:space="preserve">- المستهلكين (في حالات الاستدعاء الصريح، عبر وسائل الإعلام إذا لزم الأمر).</w:t>
      </w:r>
      <w:r>
        <w:t xml:space="preserve"> </w:t>
      </w:r>
      <w:r>
        <w:t xml:space="preserve">- الأطراف الداخلية بالشركة.</w:t>
      </w:r>
    </w:p>
    <w:bookmarkEnd w:id="20"/>
    <w:bookmarkStart w:id="21" w:name="X458369308862502a7ecec242bb1e7aad42b20a1"/>
    <w:p>
      <w:pPr>
        <w:pStyle w:val="Heading3"/>
      </w:pPr>
      <w:r>
        <w:t xml:space="preserve">6-5. تنفيذ عملية الاستدعاء/السحب (Execution of Recall/Withdrawal)</w:t>
      </w:r>
    </w:p>
    <w:p>
      <w:pPr>
        <w:pStyle w:val="FirstParagraph"/>
      </w:pPr>
      <w:r>
        <w:t xml:space="preserve">6-5-1.</w:t>
      </w:r>
      <w:r>
        <w:t xml:space="preserve"> </w:t>
      </w:r>
      <w:r>
        <w:rPr>
          <w:b/>
          <w:bCs/>
        </w:rPr>
        <w:t xml:space="preserve">إخطار الأطراف المعنية</w:t>
      </w:r>
      <w:r>
        <w:t xml:space="preserve">:</w:t>
      </w:r>
      <w:r>
        <w:t xml:space="preserve"> </w:t>
      </w:r>
      <w:r>
        <w:t xml:space="preserve">- يقوم منسق عملية الاستدعاء بإشعار جميع الأطراف الداخلية ذات الصلة والأطراف الخارجية (العملاء، الموزعين، وأي أصحاب مصلحة آخرين) رسمياً وفقاً للخطة.</w:t>
      </w:r>
      <w:r>
        <w:t xml:space="preserve"> </w:t>
      </w:r>
      <w:r>
        <w:t xml:space="preserve">- عند الضرورة القصوى، يتم نشر تحذيرات للجمهور عبر وسائل الإعلام المناسبة لإبلاغ المستهلكين بوضوح عن المنتجات التي يتم استدعاؤها والمخاطر المحتملة. (NFSA قرار 6/2023 المادة 16 أ).</w:t>
      </w:r>
    </w:p>
    <w:p>
      <w:pPr>
        <w:pStyle w:val="BodyText"/>
      </w:pPr>
      <w:r>
        <w:t xml:space="preserve">6-5-2.</w:t>
      </w:r>
      <w:r>
        <w:t xml:space="preserve"> </w:t>
      </w:r>
      <w:r>
        <w:rPr>
          <w:b/>
          <w:bCs/>
        </w:rPr>
        <w:t xml:space="preserve">عزل وتأمين المنتجات المستدعاة/المسحوبة</w:t>
      </w:r>
      <w:r>
        <w:t xml:space="preserve">:</w:t>
      </w:r>
      <w:r>
        <w:t xml:space="preserve"> </w:t>
      </w:r>
      <w:r>
        <w:t xml:space="preserve">- توجيه العملاء والموزعين إلى عزل المنتجات المستدعاة/المسحوبة وتأمينها في مكان مخصص.</w:t>
      </w:r>
      <w:r>
        <w:t xml:space="preserve"> </w:t>
      </w:r>
      <w:r>
        <w:t xml:space="preserve">- يتم استرجاع المنتجات جسدياً إلى الشركة أو إلى موقع مخصص للعزل والتصرف.</w:t>
      </w:r>
      <w:r>
        <w:t xml:space="preserve"> </w:t>
      </w:r>
      <w:r>
        <w:t xml:space="preserve">- يتم تمييز جميع المنتجات المسترجعة بوضوح كـ</w:t>
      </w:r>
      <w:r>
        <w:t xml:space="preserve"> </w:t>
      </w:r>
      <w:r>
        <w:t xml:space="preserve">“منتج مستدعى/مسحوب”</w:t>
      </w:r>
      <w:r>
        <w:t xml:space="preserve"> </w:t>
      </w:r>
      <w:r>
        <w:t xml:space="preserve">(Recall/Withdrawn Product) ووضعها في منطقة حجر صحي منفصلة. (ISO/TS 22002-1 §16.2).</w:t>
      </w:r>
    </w:p>
    <w:p>
      <w:pPr>
        <w:pStyle w:val="BodyText"/>
      </w:pPr>
      <w:r>
        <w:t xml:space="preserve">6-5-3.</w:t>
      </w:r>
      <w:r>
        <w:t xml:space="preserve"> </w:t>
      </w:r>
      <w:r>
        <w:rPr>
          <w:b/>
          <w:bCs/>
        </w:rPr>
        <w:t xml:space="preserve">تقييم ومصير المنتجات المسترجعة</w:t>
      </w:r>
      <w:r>
        <w:t xml:space="preserve">:</w:t>
      </w:r>
      <w:r>
        <w:t xml:space="preserve"> </w:t>
      </w:r>
      <w:r>
        <w:t xml:space="preserve">- يتم تقييم المنتجات المسترجعة بواسطة فريق سلامة الغذاء لتحديد ما إذا كان يمكن إصلاحها، إعادة معالجتها، أو يجب التخلص منها.</w:t>
      </w:r>
      <w:r>
        <w:t xml:space="preserve"> </w:t>
      </w:r>
      <w:r>
        <w:t xml:space="preserve">- يتم التخلص من المنتجات التي تشكل خطراً على السلامة بطريقة آمنة بيئياً وغير قابلة للاستهلاك البشري، مع توثيق عملية التخلص كاملة. (ISO 22000:2018 §8.9.2).</w:t>
      </w:r>
      <w:r>
        <w:t xml:space="preserve"> </w:t>
      </w:r>
      <w:r>
        <w:t xml:space="preserve">- يجب ألا يتم إرجاع المنتجات التي تم استدعاؤها أو سحبها إلى سلسلة التوريد إلا بعد التقييم الكامل والتأكد من سلامتها وأهليتها للاستهلاك وفقاً للمتطلبات.</w:t>
      </w:r>
    </w:p>
    <w:bookmarkEnd w:id="21"/>
    <w:bookmarkStart w:id="22" w:name="X421e0229b0f4b0155b7dfdc821b10ebb09eab5e"/>
    <w:p>
      <w:pPr>
        <w:pStyle w:val="Heading3"/>
      </w:pPr>
      <w:r>
        <w:t xml:space="preserve">6-6. تقييم فعالية الاستدعاء/السحب (Effectiveness Assessment)</w:t>
      </w:r>
    </w:p>
    <w:p>
      <w:pPr>
        <w:pStyle w:val="FirstParagraph"/>
      </w:pPr>
      <w:r>
        <w:t xml:space="preserve">6-6-1. بعد الانتهاء من عملية الاستدعاء/السحب، يقوم فريق الاستدعاء بتقييم فعاليتها من خلال تحديد:</w:t>
      </w:r>
      <w:r>
        <w:t xml:space="preserve"> </w:t>
      </w:r>
      <w:r>
        <w:t xml:space="preserve">- كمية المنتج الذي تم استرجاعه مقارنة بالكمية التي تم توزيعها في السوق.</w:t>
      </w:r>
      <w:r>
        <w:t xml:space="preserve"> </w:t>
      </w:r>
      <w:r>
        <w:t xml:space="preserve">- سرعة الاستجابة من جميع الأطراف.</w:t>
      </w:r>
      <w:r>
        <w:t xml:space="preserve"> </w:t>
      </w:r>
      <w:r>
        <w:t xml:space="preserve">- فعالية قنوات الاتصال.</w:t>
      </w:r>
    </w:p>
    <w:p>
      <w:pPr>
        <w:pStyle w:val="BodyText"/>
      </w:pPr>
      <w:r>
        <w:t xml:space="preserve">6-6-2. يتم إعداد تقرير نهائي عن الاستدعاء/السحب (F-12-03) بواسطة منسق عملية الاستدعاء، يتضمن الأسباب الجذرية للمشكلة، الإجراءات التصحيحية المتخذة، والإجراءات الوقائية لمنع تكرار المشكلة. (ISO 22000:2018 §8.9.3.2).</w:t>
      </w:r>
    </w:p>
    <w:bookmarkEnd w:id="22"/>
    <w:bookmarkStart w:id="23" w:name="السحب-الوهمي-mock-recallwithdrawal"/>
    <w:p>
      <w:pPr>
        <w:pStyle w:val="Heading3"/>
      </w:pPr>
      <w:r>
        <w:t xml:space="preserve">6-7. السحب الوهمي (Mock Recall/Withdrawal)</w:t>
      </w:r>
    </w:p>
    <w:p>
      <w:pPr>
        <w:pStyle w:val="FirstParagraph"/>
      </w:pPr>
      <w:r>
        <w:t xml:space="preserve">6-7-1. يجب إجراء اختبار سحب وهمي واحد على الأقل سنوياً لتقييم فعالية نظام التتبع والاستدعاء. (ISO 22000:2018 §8.9.3.2، FSSC 22000 v6 Part 2 §2.5.3 c).</w:t>
      </w:r>
      <w:r>
        <w:t xml:space="preserve"> </w:t>
      </w:r>
      <w:r>
        <w:t xml:space="preserve">6-7-2. يهدف السحب الوهمي إلى:</w:t>
      </w:r>
      <w:r>
        <w:t xml:space="preserve"> </w:t>
      </w:r>
      <w:r>
        <w:t xml:space="preserve">- اختبار قدرة الشركة على تحديد دفعة/لوط معين من المنتج.</w:t>
      </w:r>
      <w:r>
        <w:t xml:space="preserve"> </w:t>
      </w:r>
      <w:r>
        <w:t xml:space="preserve">- تقييم سرعة ودقة نظام التتبع (خطوة للأمام وخطوة للخلف).</w:t>
      </w:r>
      <w:r>
        <w:t xml:space="preserve"> </w:t>
      </w:r>
      <w:r>
        <w:t xml:space="preserve">- تدريب فريق الاستدعاء على الأدوار والمسؤوليات.</w:t>
      </w:r>
      <w:r>
        <w:t xml:space="preserve"> </w:t>
      </w:r>
      <w:r>
        <w:t xml:space="preserve">- تحديد مدى القدرة على استرجاع نسبة محددة مسبقاً من المنتج (عادةً 95-100%) خلال فترة زمنية محددة.</w:t>
      </w:r>
      <w:r>
        <w:t xml:space="preserve"> </w:t>
      </w:r>
      <w:r>
        <w:t xml:space="preserve">6-7-3. يتم توثيق نتائج السحب الوهمي في تقرير مفصل يتضمن التحديات، الحلول، والاقتراحات للتحسين. (F-12-03).</w:t>
      </w:r>
    </w:p>
    <w:bookmarkEnd w:id="23"/>
    <w:bookmarkStart w:id="24" w:name="Xade54e9c3e5ab90ece1ef2ecfec1b78c35bcf20"/>
    <w:p>
      <w:pPr>
        <w:pStyle w:val="Heading3"/>
      </w:pPr>
      <w:r>
        <w:t xml:space="preserve">6-8. إجراءات تصحيحية ووقائية (Corrective and Preventive Actions)</w:t>
      </w:r>
    </w:p>
    <w:p>
      <w:pPr>
        <w:pStyle w:val="FirstParagraph"/>
      </w:pPr>
      <w:r>
        <w:t xml:space="preserve">6-8-1. يتم تحليل جميع المنتجات غير المطابقة التي تؤدي إلى السحب أو الاستدعاء، وكذلك نتائج السحب الوهمي، لتحديد الأسباب الجذرية.</w:t>
      </w:r>
      <w:r>
        <w:t xml:space="preserve"> </w:t>
      </w:r>
      <w:r>
        <w:t xml:space="preserve">6-8-2. يتم تطوير وتنفيذ إجراءات تصحيحية ووقائية لمنع تكرار المشكلات، وتوثيقها وفقاً لإجراء</w:t>
      </w:r>
      <w:r>
        <w:t xml:space="preserve"> </w:t>
      </w:r>
      <w:r>
        <w:t xml:space="preserve">“الإجراءات التصحيحية”</w:t>
      </w:r>
      <w:r>
        <w:t xml:space="preserve"> </w:t>
      </w:r>
      <w:r>
        <w:t xml:space="preserve">(FSP-XX). (ISO 22000:2018 §10.1).</w:t>
      </w:r>
    </w:p>
    <w:bookmarkEnd w:id="24"/>
    <w:bookmarkEnd w:id="25"/>
    <w:bookmarkStart w:id="26" w:name="السجلات-والنماذج-المرتبطة"/>
    <w:p>
      <w:pPr>
        <w:pStyle w:val="Heading2"/>
      </w:pPr>
      <w:r>
        <w:t xml:space="preserve">7. السجلات والنماذج المرتبطة</w:t>
      </w:r>
    </w:p>
    <w:tbl>
      <w:tblPr>
        <w:tblStyle w:val="Table"/>
        <w:tblW w:type="pct" w:w="5000"/>
        <w:tblLayout w:type="fixed"/>
        <w:tblLook w:firstRow="1" w:lastRow="0" w:firstColumn="0" w:lastColumn="0" w:noHBand="0" w:noVBand="0" w:val="0020"/>
      </w:tblPr>
      <w:tblGrid>
        <w:gridCol w:w="552"/>
        <w:gridCol w:w="1719"/>
        <w:gridCol w:w="1043"/>
        <w:gridCol w:w="920"/>
        <w:gridCol w:w="3683"/>
      </w:tblGrid>
      <w:tr>
        <w:trPr>
          <w:tblHeader w:val="on"/>
        </w:trPr>
        <w:tc>
          <w:tcPr/>
          <w:p>
            <w:pPr>
              <w:pStyle w:val="Compact"/>
              <w:jc w:val="left"/>
            </w:pPr>
            <w:r>
              <w:t xml:space="preserve">الكود</w:t>
            </w:r>
          </w:p>
        </w:tc>
        <w:tc>
          <w:tcPr/>
          <w:p>
            <w:pPr>
              <w:pStyle w:val="Compact"/>
              <w:jc w:val="left"/>
            </w:pPr>
            <w:r>
              <w:t xml:space="preserve">الاسم</w:t>
            </w:r>
          </w:p>
        </w:tc>
        <w:tc>
          <w:tcPr/>
          <w:p>
            <w:pPr>
              <w:pStyle w:val="Compact"/>
              <w:jc w:val="left"/>
            </w:pPr>
            <w:r>
              <w:t xml:space="preserve">المسؤول عن الحفظ</w:t>
            </w:r>
          </w:p>
        </w:tc>
        <w:tc>
          <w:tcPr/>
          <w:p>
            <w:pPr>
              <w:pStyle w:val="Compact"/>
              <w:jc w:val="left"/>
            </w:pPr>
            <w:r>
              <w:t xml:space="preserve">مدة الحفظ</w:t>
            </w:r>
          </w:p>
        </w:tc>
        <w:tc>
          <w:tcPr/>
          <w:p>
            <w:pPr>
              <w:pStyle w:val="Compact"/>
              <w:jc w:val="left"/>
            </w:pPr>
            <w:r>
              <w:t xml:space="preserve">المحتوى المقترح</w:t>
            </w:r>
          </w:p>
        </w:tc>
      </w:tr>
      <w:tr>
        <w:tc>
          <w:tcPr/>
          <w:p>
            <w:pPr>
              <w:pStyle w:val="Compact"/>
              <w:jc w:val="left"/>
            </w:pPr>
            <w:r>
              <w:t xml:space="preserve">F-12-01</w:t>
            </w:r>
          </w:p>
        </w:tc>
        <w:tc>
          <w:tcPr/>
          <w:p>
            <w:pPr>
              <w:pStyle w:val="Compact"/>
              <w:jc w:val="left"/>
            </w:pPr>
            <w:r>
              <w:t xml:space="preserve">سجل التتبع الداخلي (Traceability Log)</w:t>
            </w:r>
          </w:p>
        </w:tc>
        <w:tc>
          <w:tcPr/>
          <w:p>
            <w:pPr>
              <w:pStyle w:val="Compact"/>
              <w:jc w:val="left"/>
            </w:pPr>
            <w:r>
              <w:t xml:space="preserve">رئيس فريق سلامة الغذاء/مدير الجودة</w:t>
            </w:r>
          </w:p>
        </w:tc>
        <w:tc>
          <w:tcPr/>
          <w:p>
            <w:pPr>
              <w:pStyle w:val="Compact"/>
              <w:jc w:val="left"/>
            </w:pPr>
            <w:r>
              <w:t xml:space="preserve">صلاحية المنتج + سنتان (حد أدنى 5 سنوات)</w:t>
            </w:r>
          </w:p>
        </w:tc>
        <w:tc>
          <w:tcPr/>
          <w:p>
            <w:pPr>
              <w:pStyle w:val="Compact"/>
              <w:jc w:val="left"/>
            </w:pPr>
            <w:r>
              <w:t xml:space="preserve">رقم اللوط، رقم لوط المواد الخام، تاريخ الإنتاج، تاريخ الشحن، العميل، الكمية.</w:t>
            </w:r>
          </w:p>
        </w:tc>
      </w:tr>
      <w:tr>
        <w:tc>
          <w:tcPr/>
          <w:p>
            <w:pPr>
              <w:pStyle w:val="Compact"/>
              <w:jc w:val="left"/>
            </w:pPr>
            <w:r>
              <w:t xml:space="preserve">F-12-02</w:t>
            </w:r>
          </w:p>
        </w:tc>
        <w:tc>
          <w:tcPr/>
          <w:p>
            <w:pPr>
              <w:pStyle w:val="Compact"/>
              <w:jc w:val="left"/>
            </w:pPr>
            <w:r>
              <w:t xml:space="preserve">نموذج فريق الاستدعاء (Recall Team Form)</w:t>
            </w:r>
          </w:p>
        </w:tc>
        <w:tc>
          <w:tcPr/>
          <w:p>
            <w:pPr>
              <w:pStyle w:val="Compact"/>
              <w:jc w:val="left"/>
            </w:pPr>
            <w:r>
              <w:t xml:space="preserve">رئيس فريق سلامة الغذاء</w:t>
            </w:r>
          </w:p>
        </w:tc>
        <w:tc>
          <w:tcPr/>
          <w:p>
            <w:pPr>
              <w:pStyle w:val="Compact"/>
              <w:jc w:val="left"/>
            </w:pPr>
            <w:r>
              <w:t xml:space="preserve">5 سنوات</w:t>
            </w:r>
          </w:p>
        </w:tc>
        <w:tc>
          <w:tcPr/>
          <w:p>
            <w:pPr>
              <w:pStyle w:val="Compact"/>
              <w:jc w:val="left"/>
            </w:pPr>
            <w:r>
              <w:t xml:space="preserve">أسماء الأعضاء، الأدوار، بيانات الاتصال، تواريخ التحديث.</w:t>
            </w:r>
          </w:p>
        </w:tc>
      </w:tr>
      <w:tr>
        <w:tc>
          <w:tcPr/>
          <w:p>
            <w:pPr>
              <w:pStyle w:val="Compact"/>
              <w:jc w:val="left"/>
            </w:pPr>
            <w:r>
              <w:t xml:space="preserve">F-12-03</w:t>
            </w:r>
          </w:p>
        </w:tc>
        <w:tc>
          <w:tcPr/>
          <w:p>
            <w:pPr>
              <w:pStyle w:val="Compact"/>
              <w:jc w:val="left"/>
            </w:pPr>
            <w:r>
              <w:t xml:space="preserve">تقرير الاستدعاء/السحب الوهمي (Recall/Mock Recall Report)</w:t>
            </w:r>
          </w:p>
        </w:tc>
        <w:tc>
          <w:tcPr/>
          <w:p>
            <w:pPr>
              <w:pStyle w:val="Compact"/>
              <w:jc w:val="left"/>
            </w:pPr>
            <w:r>
              <w:t xml:space="preserve">رئيس فريق سلامة الغذاء</w:t>
            </w:r>
          </w:p>
        </w:tc>
        <w:tc>
          <w:tcPr/>
          <w:p>
            <w:pPr>
              <w:pStyle w:val="Compact"/>
              <w:jc w:val="left"/>
            </w:pPr>
            <w:r>
              <w:t xml:space="preserve">صلاحية المنتج + سنتان (حد أدنى 5 سنوات)</w:t>
            </w:r>
          </w:p>
        </w:tc>
        <w:tc>
          <w:tcPr/>
          <w:p>
            <w:pPr>
              <w:pStyle w:val="Compact"/>
              <w:jc w:val="left"/>
            </w:pPr>
            <w:r>
              <w:t xml:space="preserve">وصف المشكلة، المنتجات المتأثرة، نطاق الاستدعاء، الإجراءات المتخذة، النتائج، التقييم، الإجراءات التصحيحية.</w:t>
            </w:r>
          </w:p>
        </w:tc>
      </w:tr>
      <w:tr>
        <w:tc>
          <w:tcPr/>
          <w:p>
            <w:pPr>
              <w:pStyle w:val="Compact"/>
              <w:jc w:val="left"/>
            </w:pPr>
            <w:r>
              <w:t xml:space="preserve">F-12-04</w:t>
            </w:r>
          </w:p>
        </w:tc>
        <w:tc>
          <w:tcPr/>
          <w:p>
            <w:pPr>
              <w:pStyle w:val="Compact"/>
              <w:jc w:val="left"/>
            </w:pPr>
            <w:r>
              <w:t xml:space="preserve">كارت تمييز المنتج المقبول (Accepted Product Tag)</w:t>
            </w:r>
          </w:p>
        </w:tc>
        <w:tc>
          <w:tcPr/>
          <w:p>
            <w:pPr>
              <w:pStyle w:val="Compact"/>
              <w:jc w:val="left"/>
            </w:pPr>
            <w:r>
              <w:t xml:space="preserve">مدير الإنتاج/المخازن</w:t>
            </w:r>
          </w:p>
        </w:tc>
        <w:tc>
          <w:tcPr/>
          <w:p>
            <w:pPr>
              <w:pStyle w:val="Compact"/>
              <w:jc w:val="left"/>
            </w:pPr>
            <w:r>
              <w:t xml:space="preserve">لحين استخدام المنتج</w:t>
            </w:r>
          </w:p>
        </w:tc>
        <w:tc>
          <w:tcPr/>
          <w:p>
            <w:pPr>
              <w:pStyle w:val="Compact"/>
              <w:jc w:val="left"/>
            </w:pPr>
            <w:r>
              <w:t xml:space="preserve">لوط ورقم الصنف، تاريخ الاستلام/الإنتاج، صلاحية، توقيع المستلم/المسؤول.</w:t>
            </w:r>
          </w:p>
        </w:tc>
      </w:tr>
      <w:tr>
        <w:tc>
          <w:tcPr/>
          <w:p>
            <w:pPr>
              <w:pStyle w:val="Compact"/>
              <w:jc w:val="left"/>
            </w:pPr>
            <w:r>
              <w:t xml:space="preserve">F-12-05</w:t>
            </w:r>
          </w:p>
        </w:tc>
        <w:tc>
          <w:tcPr/>
          <w:p>
            <w:pPr>
              <w:pStyle w:val="Compact"/>
              <w:jc w:val="left"/>
            </w:pPr>
            <w:r>
              <w:t xml:space="preserve">كارت تمييز المنتج تحت الفحص (Under Inspection Product Tag)</w:t>
            </w:r>
          </w:p>
        </w:tc>
        <w:tc>
          <w:tcPr/>
          <w:p>
            <w:pPr>
              <w:pStyle w:val="Compact"/>
              <w:jc w:val="left"/>
            </w:pPr>
            <w:r>
              <w:t xml:space="preserve">مدير الجودة/الإنتاج</w:t>
            </w:r>
          </w:p>
        </w:tc>
        <w:tc>
          <w:tcPr/>
          <w:p>
            <w:pPr>
              <w:pStyle w:val="Compact"/>
              <w:jc w:val="left"/>
            </w:pPr>
            <w:r>
              <w:t xml:space="preserve">لحين اتخاذ قرار</w:t>
            </w:r>
          </w:p>
        </w:tc>
        <w:tc>
          <w:tcPr/>
          <w:p>
            <w:pPr>
              <w:pStyle w:val="Compact"/>
              <w:jc w:val="left"/>
            </w:pPr>
            <w:r>
              <w:t xml:space="preserve">لوط ورقم الصنف، تاريخ الاستلام/الإنتاج، سبب الفحص، تاريخ الفحص، توقيع المسؤول.</w:t>
            </w:r>
          </w:p>
        </w:tc>
      </w:tr>
      <w:tr>
        <w:tc>
          <w:tcPr/>
          <w:p>
            <w:pPr>
              <w:pStyle w:val="Compact"/>
              <w:jc w:val="left"/>
            </w:pPr>
            <w:r>
              <w:t xml:space="preserve">F-12-06</w:t>
            </w:r>
          </w:p>
        </w:tc>
        <w:tc>
          <w:tcPr/>
          <w:p>
            <w:pPr>
              <w:pStyle w:val="Compact"/>
              <w:jc w:val="left"/>
            </w:pPr>
            <w:r>
              <w:t xml:space="preserve">كارت تمييز المنتج المرفوض (Rejected Product Tag)</w:t>
            </w:r>
          </w:p>
        </w:tc>
        <w:tc>
          <w:tcPr/>
          <w:p>
            <w:pPr>
              <w:pStyle w:val="Compact"/>
              <w:jc w:val="left"/>
            </w:pPr>
            <w:r>
              <w:t xml:space="preserve">مدير الجودة/الإنتاج</w:t>
            </w:r>
          </w:p>
        </w:tc>
        <w:tc>
          <w:tcPr/>
          <w:p>
            <w:pPr>
              <w:pStyle w:val="Compact"/>
              <w:jc w:val="left"/>
            </w:pPr>
            <w:r>
              <w:t xml:space="preserve">لحين التصرف النهائي</w:t>
            </w:r>
          </w:p>
        </w:tc>
        <w:tc>
          <w:tcPr/>
          <w:p>
            <w:pPr>
              <w:pStyle w:val="Compact"/>
              <w:jc w:val="left"/>
            </w:pPr>
            <w:r>
              <w:t xml:space="preserve">لوط ورقم الصنف، تاريخ الاستلام/الإنتاج، سبب الرفض، قرار التصرف، توقيع المسؤول.</w:t>
            </w:r>
          </w:p>
        </w:tc>
      </w:tr>
      <w:tr>
        <w:tc>
          <w:tcPr/>
          <w:p>
            <w:pPr>
              <w:pStyle w:val="Compact"/>
              <w:jc w:val="left"/>
            </w:pPr>
            <w:r>
              <w:t xml:space="preserve">F-12-07</w:t>
            </w:r>
          </w:p>
        </w:tc>
        <w:tc>
          <w:tcPr/>
          <w:p>
            <w:pPr>
              <w:pStyle w:val="Compact"/>
              <w:jc w:val="left"/>
            </w:pPr>
            <w:r>
              <w:t xml:space="preserve">سجل بيانات توزيع المنتج النهائي (Finished Product Distribution Log)</w:t>
            </w:r>
          </w:p>
        </w:tc>
        <w:tc>
          <w:tcPr/>
          <w:p>
            <w:pPr>
              <w:pStyle w:val="Compact"/>
              <w:jc w:val="left"/>
            </w:pPr>
            <w:r>
              <w:t xml:space="preserve">مدير المبيعات/التوزيع</w:t>
            </w:r>
          </w:p>
        </w:tc>
        <w:tc>
          <w:tcPr/>
          <w:p>
            <w:pPr>
              <w:pStyle w:val="Compact"/>
              <w:jc w:val="left"/>
            </w:pPr>
            <w:r>
              <w:t xml:space="preserve">صلاحية المنتج + سنتان (حد أدنى 5 سنوات)</w:t>
            </w:r>
          </w:p>
        </w:tc>
        <w:tc>
          <w:tcPr/>
          <w:p>
            <w:pPr>
              <w:pStyle w:val="Compact"/>
              <w:jc w:val="left"/>
            </w:pPr>
            <w:r>
              <w:t xml:space="preserve">رقم اللوط، الكمية، العميل/الوجهة، تاريخ الشحن، رقم الفاتورة/الشحن.</w:t>
            </w:r>
          </w:p>
        </w:tc>
      </w:tr>
      <w:tr>
        <w:tc>
          <w:tcPr/>
          <w:p>
            <w:pPr>
              <w:pStyle w:val="Compact"/>
              <w:jc w:val="left"/>
            </w:pPr>
            <w:r>
              <w:t xml:space="preserve">F-12-08</w:t>
            </w:r>
          </w:p>
        </w:tc>
        <w:tc>
          <w:tcPr/>
          <w:p>
            <w:pPr>
              <w:pStyle w:val="Compact"/>
              <w:jc w:val="left"/>
            </w:pPr>
            <w:r>
              <w:t xml:space="preserve">سجل إخطارات الجهات الرقابية (Regulatory Notification Log)</w:t>
            </w:r>
          </w:p>
        </w:tc>
        <w:tc>
          <w:tcPr/>
          <w:p>
            <w:pPr>
              <w:pStyle w:val="Compact"/>
              <w:jc w:val="left"/>
            </w:pPr>
            <w:r>
              <w:t xml:space="preserve">رئيس فريق سلامة الغذاء</w:t>
            </w:r>
          </w:p>
        </w:tc>
        <w:tc>
          <w:tcPr/>
          <w:p>
            <w:pPr>
              <w:pStyle w:val="Compact"/>
              <w:jc w:val="left"/>
            </w:pPr>
            <w:r>
              <w:t xml:space="preserve">10 سنوات</w:t>
            </w:r>
          </w:p>
        </w:tc>
        <w:tc>
          <w:tcPr/>
          <w:p>
            <w:pPr>
              <w:pStyle w:val="Compact"/>
              <w:jc w:val="left"/>
            </w:pPr>
            <w:r>
              <w:t xml:space="preserve">تاريخ الإخطار، الجهة المُخطرَة، ملخص الإخطار، المتابعة.</w:t>
            </w:r>
          </w:p>
        </w:tc>
      </w:tr>
    </w:tbl>
    <w:bookmarkEnd w:id="26"/>
    <w:bookmarkStart w:id="27" w:name="معايير-قياس-فاعلية-الأداء-kpis"/>
    <w:p>
      <w:pPr>
        <w:pStyle w:val="Heading2"/>
      </w:pPr>
      <w:r>
        <w:t xml:space="preserve">8. معايير قياس فاعلية الأداء (KPIs)</w:t>
      </w:r>
    </w:p>
    <w:p>
      <w:pPr>
        <w:pStyle w:val="Compact"/>
        <w:numPr>
          <w:ilvl w:val="0"/>
          <w:numId w:val="1003"/>
        </w:numPr>
      </w:pPr>
      <w:r>
        <w:rPr>
          <w:b/>
          <w:bCs/>
        </w:rPr>
        <w:t xml:space="preserve">نسبة المنتجات المسترجعة الناجحة في السحب الوهمي</w:t>
      </w:r>
      <w:r>
        <w:t xml:space="preserve">: يجب أن تكون ≥ 95% من الكمية المستهدفة خلال الإطار الزمني المحدد (مثل 4 ساعات) من تاريخ إطلاق السحب الوهمي. (FSSC 22000 v6 Part 2 §2.5.3 c).</w:t>
      </w:r>
    </w:p>
    <w:p>
      <w:pPr>
        <w:pStyle w:val="Compact"/>
        <w:numPr>
          <w:ilvl w:val="0"/>
          <w:numId w:val="1003"/>
        </w:numPr>
      </w:pPr>
      <w:r>
        <w:rPr>
          <w:b/>
          <w:bCs/>
        </w:rPr>
        <w:t xml:space="preserve">دقة التتبع (Forward &amp; Backward Traceability Accuracy)</w:t>
      </w:r>
      <w:r>
        <w:t xml:space="preserve">: القدرة على تحديد جميع المعلومات المطلوبة لكل دفعة محصول (خطوة للأمام وخطوة للخلف) خلال 30 دقيقة (كحد أقصى). (هدف داخلي لتحقيق التوافق مع FSSC).</w:t>
      </w:r>
    </w:p>
    <w:p>
      <w:pPr>
        <w:pStyle w:val="Compact"/>
        <w:numPr>
          <w:ilvl w:val="0"/>
          <w:numId w:val="1003"/>
        </w:numPr>
      </w:pPr>
      <w:r>
        <w:rPr>
          <w:b/>
          <w:bCs/>
        </w:rPr>
        <w:t xml:space="preserve">زمن الاستجابة للإخطار بالحادث الغذائي</w:t>
      </w:r>
      <w:r>
        <w:t xml:space="preserve">: يجب أن يكون الإخطار للجهات الرسمية (NFSA) خلال 24 ساعة من تاريخ العلم بالحادث الجسيم.</w:t>
      </w:r>
    </w:p>
    <w:p>
      <w:pPr>
        <w:pStyle w:val="Compact"/>
        <w:numPr>
          <w:ilvl w:val="0"/>
          <w:numId w:val="1003"/>
        </w:numPr>
      </w:pPr>
      <w:r>
        <w:rPr>
          <w:b/>
          <w:bCs/>
        </w:rPr>
        <w:t xml:space="preserve">عدد حوادث الاستدعاء/السحب الحقيقية</w:t>
      </w:r>
      <w:r>
        <w:t xml:space="preserve">: يجب أن يكون صفر حوادث سنويًا (هدف مثالي).</w:t>
      </w:r>
    </w:p>
    <w:p>
      <w:pPr>
        <w:pStyle w:val="Compact"/>
        <w:numPr>
          <w:ilvl w:val="0"/>
          <w:numId w:val="1003"/>
        </w:numPr>
      </w:pPr>
      <w:r>
        <w:rPr>
          <w:b/>
          <w:bCs/>
        </w:rPr>
        <w:t xml:space="preserve">فعالية الإجراءات التصحيحية</w:t>
      </w:r>
      <w:r>
        <w:t xml:space="preserve">: نسبة الإجراءات التصحيحية التي أدت إلى منع تكرار المشكلة ≥ 90%.</w:t>
      </w:r>
    </w:p>
    <w:p>
      <w:r>
        <w:pict>
          <v:rect style="width:0;height:1.5pt" o:hralign="center" o:hrstd="t" o:hr="t"/>
        </w:pict>
      </w:r>
    </w:p>
    <w:bookmarkEnd w:id="27"/>
    <w:bookmarkStart w:id="28"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8"/>
    <w:bookmarkStart w:id="29"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Start w:id="30"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12 - FSP-12</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2026-07-04T12:55:14Z</dcterms:created>
  <dcterms:modified xsi:type="dcterms:W3CDTF">2026-07-04T12:55:14Z</dcterms:modified>
</cp:coreProperties>
</file>

<file path=docProps/custom.xml><?xml version="1.0" encoding="utf-8"?>
<Properties xmlns="http://schemas.openxmlformats.org/officeDocument/2006/custom-properties" xmlns:vt="http://schemas.openxmlformats.org/officeDocument/2006/docPropsVTypes"/>
</file>