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التواصل-الداخلي-والخارجي"/>
    <w:p>
      <w:pPr>
        <w:pStyle w:val="Heading1"/>
      </w:pPr>
      <w:r>
        <w:t xml:space="preserve">التواصل الداخلي والخارجي</w:t>
      </w:r>
    </w:p>
    <w:p>
      <w:pPr>
        <w:pStyle w:val="FirstParagraph"/>
      </w:pP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التواصل الداخلي والخارجي</w:t>
            </w:r>
          </w:p>
        </w:tc>
      </w:tr>
      <w:tr>
        <w:tc>
          <w:tcPr/>
          <w:p>
            <w:pPr>
              <w:pStyle w:val="Compact"/>
            </w:pPr>
            <w:r>
              <w:rPr>
                <w:b/>
                <w:bCs/>
              </w:rPr>
              <w:t xml:space="preserve">كود الوثيقة</w:t>
            </w:r>
          </w:p>
        </w:tc>
        <w:tc>
          <w:tcPr/>
          <w:p>
            <w:pPr>
              <w:pStyle w:val="Compact"/>
            </w:pPr>
            <w:r>
              <w:t xml:space="preserve">FSP-04</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23" w:name="الإجراء-رقم-4-التواصل-الداخلي-والخارجي"/>
    <w:p>
      <w:pPr>
        <w:pStyle w:val="Heading1"/>
      </w:pPr>
      <w:r>
        <w:t xml:space="preserve">الإجراء رقم 4: التواصل الداخلي والخارجي</w:t>
      </w:r>
    </w:p>
    <w:bookmarkStart w:id="12" w:name="الغرض-purpose"/>
    <w:p>
      <w:pPr>
        <w:pStyle w:val="Heading3"/>
      </w:pPr>
      <w:r>
        <w:t xml:space="preserve">1. الغرض (Purpose)</w:t>
      </w:r>
    </w:p>
    <w:p>
      <w:pPr>
        <w:pStyle w:val="FirstParagraph"/>
      </w:pPr>
      <w:r>
        <w:t xml:space="preserve">يهدف هذا الإجراء إلى وضع إطار عمل فعال وموثوق لضمان التواصل الداخلي والخارجي المنظم والواضح والفعال بجميع القضايا المتعلقة بنظام إدارة سلامة الغذاء والجودة، وذلك لضمان فهم جميع الأطراف المعنية للمعلومات الأساسية واتخاذ الإجراءات اللازمة لدعم سلامة وجودة المنتجات المعبأة (المياه الطبيعية/المعدنية) والوفاء بمتطلبات العملاء والمتطلبات التشريعية والتنظيمية ومعايير FSSC 22000 و ISO 22000.</w:t>
      </w:r>
    </w:p>
    <w:bookmarkEnd w:id="12"/>
    <w:bookmarkStart w:id="13" w:name="النطاق-scope"/>
    <w:p>
      <w:pPr>
        <w:pStyle w:val="Heading3"/>
      </w:pPr>
      <w:r>
        <w:t xml:space="preserve">2. النطاق (Scope)</w:t>
      </w:r>
    </w:p>
    <w:p>
      <w:pPr>
        <w:pStyle w:val="FirstParagraph"/>
      </w:pPr>
      <w:r>
        <w:t xml:space="preserve">يشمل هذا الإجراء جميع عمليات التواصل الداخلية والخارجية المتعلقة بسلامة الغذاء والجودة ضمن جميع الأقسام والوظائف في شركة</w:t>
      </w:r>
      <w:r>
        <w:t xml:space="preserve"> </w:t>
      </w:r>
      <w:r>
        <w:t xml:space="preserve">“Company لمياه الطبيعية”</w:t>
      </w:r>
      <w:r>
        <w:t xml:space="preserve">، من مرحلة استلام المياه الخام وحتى تسليم المنتج النهائي، مرورًا بجميع مراحل الإنتاج والتخزين والتوزيع. يمتد النطاق ليشمل التواصل مع كافة الأطراف المعنية الداخلية (العاملين، الإدارة العليا) والخارجية (العملاء، الموردين، الجهات التشريعية والرقابية، المقاولون، الزوار، الجمهور).</w:t>
      </w:r>
    </w:p>
    <w:bookmarkEnd w:id="13"/>
    <w:bookmarkStart w:id="14" w:name="التعريفات-والمختصرات"/>
    <w:p>
      <w:pPr>
        <w:pStyle w:val="Heading3"/>
      </w:pPr>
      <w:r>
        <w:t xml:space="preserve">3. التعريفات والمختصرات</w:t>
      </w:r>
    </w:p>
    <w:p>
      <w:pPr>
        <w:pStyle w:val="Compact"/>
        <w:numPr>
          <w:ilvl w:val="0"/>
          <w:numId w:val="1001"/>
        </w:numPr>
      </w:pPr>
      <w:r>
        <w:rPr>
          <w:b/>
          <w:bCs/>
        </w:rPr>
        <w:t xml:space="preserve">سلامة الغذاء (Food Safety)</w:t>
      </w:r>
      <w:r>
        <w:t xml:space="preserve">: ضمان عدم تسبب الأغذية في ضرر للمستهلك عند إعدادها و/أو تناولها وفقاً للاستخدام المقصود. (ISO 22000:2018 §3.1)</w:t>
      </w:r>
    </w:p>
    <w:p>
      <w:pPr>
        <w:pStyle w:val="Compact"/>
        <w:numPr>
          <w:ilvl w:val="0"/>
          <w:numId w:val="1001"/>
        </w:numPr>
      </w:pPr>
      <w:r>
        <w:rPr>
          <w:b/>
          <w:bCs/>
        </w:rPr>
        <w:t xml:space="preserve">أطراف معنية (Interested Parties)</w:t>
      </w:r>
      <w:r>
        <w:t xml:space="preserve">: شخص أو منظمة يمكن أن يؤثر على نشاط أو قرار ما، أو يتأثر به، أو يرى نفسه متأثرًا به.</w:t>
      </w:r>
    </w:p>
    <w:p>
      <w:pPr>
        <w:pStyle w:val="Compact"/>
        <w:numPr>
          <w:ilvl w:val="0"/>
          <w:numId w:val="1001"/>
        </w:numPr>
      </w:pPr>
      <w:r>
        <w:rPr>
          <w:b/>
          <w:bCs/>
        </w:rPr>
        <w:t xml:space="preserve">معلومات موثقة (Documented Information)</w:t>
      </w:r>
      <w:r>
        <w:t xml:space="preserve">: المعلومات التي يجب التحكم فيها وصيانتها من قبل المنظمة والوسيط الذي يحتوي عليها. (ISO 22000:2018 §3.34)</w:t>
      </w:r>
    </w:p>
    <w:p>
      <w:pPr>
        <w:pStyle w:val="Compact"/>
        <w:numPr>
          <w:ilvl w:val="0"/>
          <w:numId w:val="1001"/>
        </w:numPr>
      </w:pPr>
      <w:r>
        <w:rPr>
          <w:b/>
          <w:bCs/>
        </w:rPr>
        <w:t xml:space="preserve">اتصال داخلي (Internal Communication)</w:t>
      </w:r>
      <w:r>
        <w:t xml:space="preserve">: تبادل المعلومات ذات الصلة بسلامة الغذاء والجودة داخل المنظمة بين الأفراد والأقسام المختلفة.</w:t>
      </w:r>
    </w:p>
    <w:p>
      <w:pPr>
        <w:pStyle w:val="Compact"/>
        <w:numPr>
          <w:ilvl w:val="0"/>
          <w:numId w:val="1001"/>
        </w:numPr>
      </w:pPr>
      <w:r>
        <w:rPr>
          <w:b/>
          <w:bCs/>
        </w:rPr>
        <w:t xml:space="preserve">اتصال خارجي (External Communication)</w:t>
      </w:r>
      <w:r>
        <w:t xml:space="preserve">: تبادل المعلومات ذات الصلة بسلامة الغذاء والجودة مع الأطراف الخارجية للمنظمة.</w:t>
      </w:r>
    </w:p>
    <w:p>
      <w:pPr>
        <w:pStyle w:val="Compact"/>
        <w:numPr>
          <w:ilvl w:val="0"/>
          <w:numId w:val="1001"/>
        </w:numPr>
      </w:pPr>
      <w:r>
        <w:rPr>
          <w:b/>
          <w:bCs/>
        </w:rPr>
        <w:t xml:space="preserve">FSSC 22000</w:t>
      </w:r>
      <w:r>
        <w:t xml:space="preserve">: مخطط شهادة نظام سلامة الغذاء (Food Safety System Certification).</w:t>
      </w:r>
    </w:p>
    <w:p>
      <w:pPr>
        <w:pStyle w:val="Compact"/>
        <w:numPr>
          <w:ilvl w:val="0"/>
          <w:numId w:val="1001"/>
        </w:numPr>
      </w:pPr>
      <w:r>
        <w:rPr>
          <w:b/>
          <w:bCs/>
        </w:rPr>
        <w:t xml:space="preserve">NFSA</w:t>
      </w:r>
      <w:r>
        <w:t xml:space="preserve">: الهيئة القومية لسلامة الغذاء.</w:t>
      </w:r>
    </w:p>
    <w:p>
      <w:pPr>
        <w:pStyle w:val="Compact"/>
        <w:numPr>
          <w:ilvl w:val="0"/>
          <w:numId w:val="1001"/>
        </w:numPr>
      </w:pPr>
      <w:r>
        <w:rPr>
          <w:b/>
          <w:bCs/>
        </w:rPr>
        <w:t xml:space="preserve">HACCP</w:t>
      </w:r>
      <w:r>
        <w:t xml:space="preserve">: نظام تحليل المخاطر ونقاط التحكم الحرجة.</w:t>
      </w:r>
    </w:p>
    <w:p>
      <w:pPr>
        <w:pStyle w:val="Compact"/>
        <w:numPr>
          <w:ilvl w:val="0"/>
          <w:numId w:val="1001"/>
        </w:numPr>
      </w:pPr>
      <w:r>
        <w:rPr>
          <w:b/>
          <w:bCs/>
        </w:rPr>
        <w:t xml:space="preserve">PRP’s</w:t>
      </w:r>
      <w:r>
        <w:t xml:space="preserve">: برامج المتطلبات المسبقة (Prerequisite Programmes).</w:t>
      </w:r>
    </w:p>
    <w:bookmarkEnd w:id="14"/>
    <w:bookmarkStart w:id="15" w:name="المراجع-references"/>
    <w:p>
      <w:pPr>
        <w:pStyle w:val="Heading3"/>
      </w:pPr>
      <w:r>
        <w:t xml:space="preserve">4. المراجع (References)</w:t>
      </w:r>
    </w:p>
    <w:p>
      <w:pPr>
        <w:pStyle w:val="Compact"/>
        <w:numPr>
          <w:ilvl w:val="0"/>
          <w:numId w:val="1002"/>
        </w:numPr>
      </w:pPr>
      <w:r>
        <w:t xml:space="preserve">المواصفة القياسية الدولية ISO 22000:2018 – أنظمة إدارة سلامة الغذاء – متطلبات أي منظمة في السلسلة الغذائية (§7.4).</w:t>
      </w:r>
    </w:p>
    <w:p>
      <w:pPr>
        <w:pStyle w:val="Compact"/>
        <w:numPr>
          <w:ilvl w:val="0"/>
          <w:numId w:val="1002"/>
        </w:numPr>
      </w:pPr>
      <w:r>
        <w:t xml:space="preserve">المواصفة القياسية الدولية ISO 9001:2015 – أنظمة إدارة الجودة – المتطلبات (§7.4).</w:t>
      </w:r>
    </w:p>
    <w:p>
      <w:pPr>
        <w:pStyle w:val="Compact"/>
        <w:numPr>
          <w:ilvl w:val="0"/>
          <w:numId w:val="1002"/>
        </w:numPr>
      </w:pPr>
      <w:r>
        <w:t xml:space="preserve">مواصفة FSSC 22000 v6 – متطلبات المخطط الإضافية (§2.2.3, §2.5.1, §2.5.2).</w:t>
      </w:r>
    </w:p>
    <w:p>
      <w:pPr>
        <w:pStyle w:val="Compact"/>
        <w:numPr>
          <w:ilvl w:val="0"/>
          <w:numId w:val="1002"/>
        </w:numPr>
      </w:pPr>
      <w:r>
        <w:t xml:space="preserve">وثيقة Codex Alimentarius CAC/RCP 1-1969 – المبادئ العامة لنظافة الأغذية.</w:t>
      </w:r>
    </w:p>
    <w:p>
      <w:pPr>
        <w:pStyle w:val="Compact"/>
        <w:numPr>
          <w:ilvl w:val="0"/>
          <w:numId w:val="1002"/>
        </w:numPr>
      </w:pPr>
      <w:r>
        <w:t xml:space="preserve">المواصفة القياسية المصرية ES 1589/2007 – مياه الشرب المعبأة.</w:t>
      </w:r>
    </w:p>
    <w:p>
      <w:pPr>
        <w:pStyle w:val="Compact"/>
        <w:numPr>
          <w:ilvl w:val="0"/>
          <w:numId w:val="1002"/>
        </w:numPr>
      </w:pPr>
      <w:r>
        <w:t xml:space="preserve">المواصفة القياسية المصرية ES 190 – مياه معدنية طبيعية.</w:t>
      </w:r>
    </w:p>
    <w:p>
      <w:pPr>
        <w:pStyle w:val="Compact"/>
        <w:numPr>
          <w:ilvl w:val="0"/>
          <w:numId w:val="1002"/>
        </w:numPr>
      </w:pPr>
      <w:r>
        <w:t xml:space="preserve">قرار الهيئة القومية لسلامة الغذاء رقم 6 لسنة 2023 وتعديلاته – بشأن تنظيم تداول المياه المعبأة.</w:t>
      </w:r>
    </w:p>
    <w:p>
      <w:pPr>
        <w:pStyle w:val="Compact"/>
        <w:numPr>
          <w:ilvl w:val="0"/>
          <w:numId w:val="1002"/>
        </w:numPr>
      </w:pPr>
      <w:r>
        <w:t xml:space="preserve">قرار وزير الصحة رقم 458 لسنة 2007 ولوائحه التنفيذية – بشأن الاشتراطات الصحية لإنتاج وتداول المياه المعدنية والطبيعية المعبأة.</w:t>
      </w:r>
    </w:p>
    <w:bookmarkEnd w:id="15"/>
    <w:bookmarkStart w:id="16" w:name="المسؤوليات-responsibilities"/>
    <w:p>
      <w:pPr>
        <w:pStyle w:val="Heading3"/>
      </w:pPr>
      <w:r>
        <w:t xml:space="preserve">5. المسؤوليات (Responsibilities)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الدور الوظيفي</w:t>
            </w:r>
          </w:p>
        </w:tc>
        <w:tc>
          <w:tcPr/>
          <w:p>
            <w:pPr>
              <w:pStyle w:val="Compact"/>
            </w:pPr>
            <w:r>
              <w:t xml:space="preserve">مسؤول</w:t>
            </w:r>
          </w:p>
        </w:tc>
        <w:tc>
          <w:tcPr/>
          <w:p>
            <w:pPr>
              <w:pStyle w:val="Compact"/>
            </w:pPr>
            <w:r>
              <w:t xml:space="preserve">استشاري</w:t>
            </w:r>
          </w:p>
        </w:tc>
        <w:tc>
          <w:tcPr/>
          <w:p>
            <w:pPr>
              <w:pStyle w:val="Compact"/>
            </w:pPr>
            <w:r>
              <w:t xml:space="preserve">منفذ</w:t>
            </w:r>
          </w:p>
        </w:tc>
        <w:tc>
          <w:tcPr/>
          <w:p>
            <w:pPr>
              <w:pStyle w:val="Compact"/>
            </w:pPr>
            <w:r>
              <w:t xml:space="preserve">مبلغ</w:t>
            </w:r>
          </w:p>
        </w:tc>
      </w:tr>
      <w:tr>
        <w:tc>
          <w:tcPr/>
          <w:p>
            <w:pPr>
              <w:pStyle w:val="Compact"/>
            </w:pPr>
            <w:r>
              <w:rPr>
                <w:b/>
                <w:bCs/>
              </w:rPr>
              <w:t xml:space="preserve">فريق سلامة الغذاء (FS Team Leader)</w:t>
            </w:r>
          </w:p>
        </w:tc>
        <w:tc>
          <w:tcPr/>
          <w:p>
            <w:pPr>
              <w:pStyle w:val="Compact"/>
            </w:pPr>
            <w:r>
              <w:t xml:space="preserve">مراجعة واعتماد خطة التواصل، ضمان فاعلية التواصل الداخلي والخارجي، تحديد محتوى التواصل، ضمان توافق التواصل مع متطلبات النظام.</w:t>
            </w:r>
          </w:p>
        </w:tc>
        <w:tc>
          <w:tcPr/>
          <w:p>
            <w:pPr>
              <w:pStyle w:val="Compact"/>
            </w:pPr>
            <w:r>
              <w:t xml:space="preserve">-</w:t>
            </w:r>
          </w:p>
        </w:tc>
        <w:tc>
          <w:tcPr/>
          <w:p>
            <w:pPr>
              <w:pStyle w:val="Compact"/>
            </w:pPr>
            <w:r>
              <w:t xml:space="preserve">متابعة تنفيذ خطة التواصل وتقييم فاعليتها.</w:t>
            </w:r>
          </w:p>
        </w:tc>
        <w:tc>
          <w:tcPr/>
          <w:p>
            <w:pPr>
              <w:pStyle w:val="Compact"/>
            </w:pPr>
            <w:r>
              <w:t xml:space="preserve">-</w:t>
            </w:r>
          </w:p>
        </w:tc>
      </w:tr>
      <w:tr>
        <w:tc>
          <w:tcPr/>
          <w:p>
            <w:pPr>
              <w:pStyle w:val="Compact"/>
            </w:pPr>
            <w:r>
              <w:rPr>
                <w:b/>
                <w:bCs/>
              </w:rPr>
              <w:t xml:space="preserve">مسؤول جودة (Quality Officer)</w:t>
            </w:r>
          </w:p>
        </w:tc>
        <w:tc>
          <w:tcPr/>
          <w:p>
            <w:pPr>
              <w:pStyle w:val="Compact"/>
            </w:pPr>
            <w:r>
              <w:t xml:space="preserve">إعداد الإجراءات والوثائق الخاصة بالتواصل، متابعة تنفيذ الأنشطة اليومية للتواصل، تسجيل وتوثيق جميع الاتصالات.</w:t>
            </w:r>
          </w:p>
        </w:tc>
        <w:tc>
          <w:tcPr/>
          <w:p>
            <w:pPr>
              <w:pStyle w:val="Compact"/>
            </w:pPr>
            <w:r>
              <w:t xml:space="preserve">فريق سلامة الغذاء</w:t>
            </w:r>
          </w:p>
        </w:tc>
        <w:tc>
          <w:tcPr/>
          <w:p>
            <w:pPr>
              <w:pStyle w:val="Compact"/>
            </w:pPr>
            <w:r>
              <w:t xml:space="preserve">تنفيذ أنشطة التواصل الخارجي اليومية مع العملاء والموردين.</w:t>
            </w:r>
          </w:p>
        </w:tc>
        <w:tc>
          <w:tcPr/>
          <w:p>
            <w:pPr>
              <w:pStyle w:val="Compact"/>
            </w:pPr>
            <w:r>
              <w:t xml:space="preserve">الإبلاغ عن أي انحرافات في التواصل لفريق سلامة الغذاء.</w:t>
            </w:r>
          </w:p>
        </w:tc>
      </w:tr>
      <w:tr>
        <w:tc>
          <w:tcPr/>
          <w:p>
            <w:pPr>
              <w:pStyle w:val="Compact"/>
            </w:pPr>
            <w:r>
              <w:rPr>
                <w:b/>
                <w:bCs/>
              </w:rPr>
              <w:t xml:space="preserve">إدارة المشتريات (Purchasing Dept. Manager)</w:t>
            </w:r>
          </w:p>
        </w:tc>
        <w:tc>
          <w:tcPr/>
          <w:p>
            <w:pPr>
              <w:pStyle w:val="Compact"/>
            </w:pPr>
            <w:r>
              <w:t xml:space="preserve">ضمان التواصل الفعال مع الموردين بخصوص متطلبات سلامة الغذاء والجودة للمواد الخام.</w:t>
            </w:r>
          </w:p>
        </w:tc>
        <w:tc>
          <w:tcPr/>
          <w:p>
            <w:pPr>
              <w:pStyle w:val="Compact"/>
            </w:pPr>
            <w:r>
              <w:t xml:space="preserve">مسؤول الجودة</w:t>
            </w:r>
          </w:p>
        </w:tc>
        <w:tc>
          <w:tcPr/>
          <w:p>
            <w:pPr>
              <w:pStyle w:val="Compact"/>
            </w:pPr>
            <w:r>
              <w:t xml:space="preserve">تنفيذ التواصل مع الموردين، تقييم أدائهم بناءً على التواصل.</w:t>
            </w:r>
          </w:p>
        </w:tc>
        <w:tc>
          <w:tcPr/>
          <w:p>
            <w:pPr>
              <w:pStyle w:val="Compact"/>
            </w:pPr>
            <w:r>
              <w:t xml:space="preserve">الإبلاغ عن أي مشكلات في التواصل مع الموردين.</w:t>
            </w:r>
          </w:p>
        </w:tc>
      </w:tr>
      <w:tr>
        <w:tc>
          <w:tcPr/>
          <w:p>
            <w:pPr>
              <w:pStyle w:val="Compact"/>
            </w:pPr>
            <w:r>
              <w:rPr>
                <w:b/>
                <w:bCs/>
              </w:rPr>
              <w:t xml:space="preserve">إدارة المبيعات (Sales Dept. Manager)</w:t>
            </w:r>
          </w:p>
        </w:tc>
        <w:tc>
          <w:tcPr/>
          <w:p>
            <w:pPr>
              <w:pStyle w:val="Compact"/>
            </w:pPr>
            <w:r>
              <w:t xml:space="preserve">ضمان التواصل الفعال مع العملاء بخصوص متطلبات المنتج وشكاوى العملاء.</w:t>
            </w:r>
          </w:p>
        </w:tc>
        <w:tc>
          <w:tcPr/>
          <w:p>
            <w:pPr>
              <w:pStyle w:val="Compact"/>
            </w:pPr>
            <w:r>
              <w:t xml:space="preserve">مسؤول الجودة</w:t>
            </w:r>
          </w:p>
        </w:tc>
        <w:tc>
          <w:tcPr/>
          <w:p>
            <w:pPr>
              <w:pStyle w:val="Compact"/>
            </w:pPr>
            <w:r>
              <w:t xml:space="preserve">تنفيذ التواصل مع العملاء، استقبال الشكاوى والاستفسارات.</w:t>
            </w:r>
          </w:p>
        </w:tc>
        <w:tc>
          <w:tcPr/>
          <w:p>
            <w:pPr>
              <w:pStyle w:val="Compact"/>
            </w:pPr>
            <w:r>
              <w:t xml:space="preserve">الإبلاغ عن شكاوى العملاء لفريق سلامة الغذاء.</w:t>
            </w:r>
          </w:p>
        </w:tc>
      </w:tr>
      <w:tr>
        <w:tc>
          <w:tcPr/>
          <w:p>
            <w:pPr>
              <w:pStyle w:val="Compact"/>
            </w:pPr>
            <w:r>
              <w:rPr>
                <w:b/>
                <w:bCs/>
              </w:rPr>
              <w:t xml:space="preserve">مدير الإنتاج (Production Manager)</w:t>
            </w:r>
          </w:p>
        </w:tc>
        <w:tc>
          <w:tcPr/>
          <w:p>
            <w:pPr>
              <w:pStyle w:val="Compact"/>
            </w:pPr>
            <w:r>
              <w:t xml:space="preserve">ضمان التواصل الداخلي بمتطلبات سلامة الغذاء للعاملين، الإبلاغ عن أي حوادث أو انحرافات في الإنتاج تؤثر على سلامة الغذاء.</w:t>
            </w:r>
          </w:p>
        </w:tc>
        <w:tc>
          <w:tcPr/>
          <w:p>
            <w:pPr>
              <w:pStyle w:val="Compact"/>
            </w:pPr>
            <w:r>
              <w:t xml:space="preserve">فريق سلامة الغذاء</w:t>
            </w:r>
          </w:p>
        </w:tc>
        <w:tc>
          <w:tcPr/>
          <w:p>
            <w:pPr>
              <w:pStyle w:val="Compact"/>
            </w:pPr>
            <w:r>
              <w:t xml:space="preserve">تطبيق متطلبات سلامة الغذاء، تدريب العاملين.</w:t>
            </w:r>
          </w:p>
        </w:tc>
        <w:tc>
          <w:tcPr/>
          <w:p>
            <w:pPr>
              <w:pStyle w:val="Compact"/>
            </w:pPr>
            <w:r>
              <w:t xml:space="preserve">الإبلاغ الفوري عن أي حوادث أو مشكلات.</w:t>
            </w:r>
          </w:p>
        </w:tc>
      </w:tr>
      <w:tr>
        <w:tc>
          <w:tcPr/>
          <w:p>
            <w:pPr>
              <w:pStyle w:val="Compact"/>
            </w:pPr>
            <w:r>
              <w:rPr>
                <w:b/>
                <w:bCs/>
              </w:rPr>
              <w:t xml:space="preserve">الإدارة العليا (Top Management)</w:t>
            </w:r>
          </w:p>
        </w:tc>
        <w:tc>
          <w:tcPr/>
          <w:p>
            <w:pPr>
              <w:pStyle w:val="Compact"/>
            </w:pPr>
            <w:r>
              <w:t xml:space="preserve">توفير الموارد اللازمة لعمليات التواصل، مراجعة فاعلية نظام التواصل (ضمن مراجعة الإدارة)، التواصل مع الجهات الرقابية العليا عند الحاجة.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جميع العاملين (All Personnel)</w:t>
            </w:r>
          </w:p>
        </w:tc>
        <w:tc>
          <w:tcPr/>
          <w:p>
            <w:pPr>
              <w:pStyle w:val="Compact"/>
            </w:pPr>
            <w:r>
              <w:t xml:space="preserve">الوعي بمتطلبات سلامة الغذاء، الإبلاغ عن أي مشكلات قد تؤثر على سلامة الغذاء، المشاركة في التواصل الداخلي.</w:t>
            </w:r>
          </w:p>
        </w:tc>
        <w:tc>
          <w:tcPr/>
          <w:p>
            <w:pPr>
              <w:pStyle w:val="Compact"/>
            </w:pPr>
            <w:r>
              <w:t xml:space="preserve">-</w:t>
            </w:r>
          </w:p>
        </w:tc>
        <w:tc>
          <w:tcPr/>
          <w:p>
            <w:pPr>
              <w:pStyle w:val="Compact"/>
            </w:pPr>
            <w:r>
              <w:t xml:space="preserve">-</w:t>
            </w:r>
          </w:p>
        </w:tc>
        <w:tc>
          <w:tcPr/>
          <w:p>
            <w:pPr>
              <w:pStyle w:val="Compact"/>
            </w:pPr>
            <w:r>
              <w:t xml:space="preserve">الإبلاغ عن أي ملاحظات أو مخاطر محتملة.</w:t>
            </w:r>
          </w:p>
        </w:tc>
      </w:tr>
    </w:tbl>
    <w:bookmarkEnd w:id="16"/>
    <w:bookmarkStart w:id="17" w:name="خطوات-التنفيذ-التفصيلية-procedures"/>
    <w:p>
      <w:pPr>
        <w:pStyle w:val="Heading3"/>
      </w:pPr>
      <w:r>
        <w:t xml:space="preserve">6. خطوات التنفيذ التفصيلية (Procedures)</w:t>
      </w:r>
    </w:p>
    <w:p>
      <w:pPr>
        <w:pStyle w:val="FirstParagraph"/>
      </w:pPr>
      <w:r>
        <w:rPr>
          <w:b/>
          <w:bCs/>
        </w:rPr>
        <w:t xml:space="preserve">6-1 تحديد احتياجات التواصل (ISO 22000:2018 §7.4.1)</w:t>
      </w:r>
      <w:r>
        <w:t xml:space="preserve"> </w:t>
      </w:r>
      <w:r>
        <w:t xml:space="preserve">6-1-1 يقوم قائد فريق سلامة الغذاء بالتعاون مع الإدارة العليا بتحديد الأطراف المعنية الداخلية والخارجية التي تتطلب التواصل بخصوص نظام إدارة سلامة الغذاء والجودة. (من: قائد فريق سلامة الغذاء/الإدارة العليا؛ ماذا: تحديد الأطراف المعنية؛ متى: عند إنشاء النظام وعند أي تغيير جوهري؛ أين: اجتماع فريق سلامة الغذاء؛ كيف: مراجعة سياق المنظمة والمتطلبات).</w:t>
      </w:r>
      <w:r>
        <w:t xml:space="preserve"> </w:t>
      </w:r>
      <w:r>
        <w:t xml:space="preserve">6-1-2 يتم تحديد المعلومات التي سيتم توصيلها لكل طرف معني بما يتناسب مع درجة تأثيره على نظام سلامة الغذاء وجودة المنتج. (من: قائد فريق سلامة الغذاء؛ ماذا: تحديد المعلومات؛ متى: عند تحديد الأطراف المعنية؛ أين: اجتماع فريق سلامة الغذاء؛ كيف: استخدام مصفوفة تحديد احتياجات التواصل والتكرار).</w:t>
      </w:r>
      <w:r>
        <w:t xml:space="preserve"> </w:t>
      </w:r>
      <w:r>
        <w:t xml:space="preserve">6-1-3 يتم رسم خطة للتواصل تحدد:</w:t>
      </w:r>
      <w:r>
        <w:t xml:space="preserve"> </w:t>
      </w:r>
      <w:r>
        <w:t xml:space="preserve">أ)</w:t>
      </w:r>
      <w:r>
        <w:t xml:space="preserve"> </w:t>
      </w:r>
      <w:r>
        <w:rPr>
          <w:b/>
          <w:bCs/>
        </w:rPr>
        <w:t xml:space="preserve">ماذا</w:t>
      </w:r>
      <w:r>
        <w:t xml:space="preserve"> </w:t>
      </w:r>
      <w:r>
        <w:t xml:space="preserve">سيتم التواصل به؟ (مثل: معلومات عن المنتج، تغييرات في العمليات، شكاوى العملاء، نتائج التحاليل، متطلبات الموردين، متطلبات تشريعية).</w:t>
      </w:r>
      <w:r>
        <w:t xml:space="preserve"> </w:t>
      </w:r>
      <w:r>
        <w:t xml:space="preserve">ب)</w:t>
      </w:r>
      <w:r>
        <w:t xml:space="preserve"> </w:t>
      </w:r>
      <w:r>
        <w:rPr>
          <w:b/>
          <w:bCs/>
        </w:rPr>
        <w:t xml:space="preserve">متى</w:t>
      </w:r>
      <w:r>
        <w:t xml:space="preserve"> </w:t>
      </w:r>
      <w:r>
        <w:t xml:space="preserve">سيتم التواصل؟ (مثل: بشكل دوري، عند الطلب، فور حدوث حدث معين).</w:t>
      </w:r>
      <w:r>
        <w:t xml:space="preserve"> </w:t>
      </w:r>
      <w:r>
        <w:t xml:space="preserve">ج)</w:t>
      </w:r>
      <w:r>
        <w:t xml:space="preserve"> </w:t>
      </w:r>
      <w:r>
        <w:rPr>
          <w:b/>
          <w:bCs/>
        </w:rPr>
        <w:t xml:space="preserve">مع من</w:t>
      </w:r>
      <w:r>
        <w:t xml:space="preserve"> </w:t>
      </w:r>
      <w:r>
        <w:t xml:space="preserve">سيتم التواصل؟ (الأطراف المعنية المحددة).</w:t>
      </w:r>
      <w:r>
        <w:t xml:space="preserve"> </w:t>
      </w:r>
      <w:r>
        <w:t xml:space="preserve">د)</w:t>
      </w:r>
      <w:r>
        <w:t xml:space="preserve"> </w:t>
      </w:r>
      <w:r>
        <w:rPr>
          <w:b/>
          <w:bCs/>
        </w:rPr>
        <w:t xml:space="preserve">كيف</w:t>
      </w:r>
      <w:r>
        <w:t xml:space="preserve"> </w:t>
      </w:r>
      <w:r>
        <w:t xml:space="preserve">سيتم التواصل؟ (وسائل الاتصال المناسبة).</w:t>
      </w:r>
      <w:r>
        <w:t xml:space="preserve"> </w:t>
      </w:r>
      <w:r>
        <w:t xml:space="preserve">هـ)</w:t>
      </w:r>
      <w:r>
        <w:t xml:space="preserve"> </w:t>
      </w:r>
      <w:r>
        <w:rPr>
          <w:b/>
          <w:bCs/>
        </w:rPr>
        <w:t xml:space="preserve">من</w:t>
      </w:r>
      <w:r>
        <w:t xml:space="preserve"> </w:t>
      </w:r>
      <w:r>
        <w:t xml:space="preserve">المسؤول عن التواصل؟ (تحديد المسمى الوظيفي).</w:t>
      </w:r>
      <w:r>
        <w:t xml:space="preserve"> </w:t>
      </w:r>
      <w:r>
        <w:t xml:space="preserve">و) التكرار لعمليات التواصل.</w:t>
      </w:r>
      <w:r>
        <w:t xml:space="preserve"> </w:t>
      </w:r>
      <w:r>
        <w:t xml:space="preserve">ز) الإشراف على عملية التواصل والتأكد من فاعليتها.</w:t>
      </w:r>
      <w:r>
        <w:t xml:space="preserve"> </w:t>
      </w:r>
      <w:r>
        <w:t xml:space="preserve">ح) حفظ المعلومات الموثقة للاتصال.</w:t>
      </w:r>
      <w:r>
        <w:t xml:space="preserve"> </w:t>
      </w:r>
      <w:r>
        <w:t xml:space="preserve">(من: قائد فريق سلامة الغذاء؛ ماذا: وضع خطة التواصل؛ متى: عند إنشاء النظام وعند أي تغيير؛ أين: اجتماع فريق سلامة الغذاء؛ كيف: استخدام النموذج F-04-01).</w:t>
      </w:r>
    </w:p>
    <w:p>
      <w:pPr>
        <w:pStyle w:val="BodyText"/>
      </w:pPr>
      <w:r>
        <w:rPr>
          <w:b/>
          <w:bCs/>
        </w:rPr>
        <w:t xml:space="preserve">6-2 التواصل الداخلي (ISO 22000:2018 §7.4.2 (أ), (ب))</w:t>
      </w:r>
      <w:r>
        <w:t xml:space="preserve"> </w:t>
      </w:r>
      <w:r>
        <w:t xml:space="preserve">6-2-1</w:t>
      </w:r>
      <w:r>
        <w:t xml:space="preserve"> </w:t>
      </w:r>
      <w:r>
        <w:rPr>
          <w:b/>
          <w:bCs/>
        </w:rPr>
        <w:t xml:space="preserve">نشر سياسة سلامة الغذاء والأهداف</w:t>
      </w:r>
      <w:r>
        <w:t xml:space="preserve">: يتم نشر سياسة سلامة الغذاء وأهدافها لجميع العاملين من خلال لوحات الإعلانات، والاجتماعات الدورية، والتدريب على الوعي. تُشرح السياسة والأهداف لضمان فهمها وأن يكون جميع العاملين على دراية بأهميتهم ودورهم في تحقيقها. (من: قسم الموارد البشرية/قائد فريق سلامة الغذاء؛ ماذا: نشر السياسات والأهداف؛ متى: عند تحديثها وبشكل دوري؛ أين: في جميع أقسام الشركة؛ كيف: اجتماعات، لوحات إعلانات، تدريب).</w:t>
      </w:r>
      <w:r>
        <w:t xml:space="preserve"> </w:t>
      </w:r>
      <w:r>
        <w:t xml:space="preserve">6-2-2</w:t>
      </w:r>
      <w:r>
        <w:t xml:space="preserve"> </w:t>
      </w:r>
      <w:r>
        <w:rPr>
          <w:b/>
          <w:bCs/>
        </w:rPr>
        <w:t xml:space="preserve">التواصل حول التغييرات</w:t>
      </w:r>
      <w:r>
        <w:t xml:space="preserve">: يتم إخطار جميع الأطراف الداخلية المعنية بأي تغييرات قد تؤثر على سلامة الغذاء ضمن النظام، بما في ذلك التغييرات في المنتجات الجديدة، المواد الخام، مقدمي الخدمات، المباني والمرافق، المعدات، برامج التنظيف والتطهير، برامج مراقبة الآفات، خطط HACCP، أنظمة التعبئة والتخزين، مستويات الكفاءة للأفراد (وفقاً للملحق 1 من قرار NFSA رقم 6/2023)، متطلبات الجهات التشريعية، أو أي معلومات تتعلق بالمخاطر وتدابير التحكم. (من: رؤساء الأقسام/قائد فريق سلامة الغذاء؛ ماذا: الإبلاغ عن التغييرات؛ متى: فور حدوث التغيير؛ أين: جميع أقسام الشركة؛ كيف: اجتماعات، بريد إلكتروني، تقارير داخلية).</w:t>
      </w:r>
      <w:r>
        <w:t xml:space="preserve"> </w:t>
      </w:r>
      <w:r>
        <w:t xml:space="preserve">6-2-3</w:t>
      </w:r>
      <w:r>
        <w:t xml:space="preserve"> </w:t>
      </w:r>
      <w:r>
        <w:rPr>
          <w:b/>
          <w:bCs/>
        </w:rPr>
        <w:t xml:space="preserve">التواصل الصاعد والنازل</w:t>
      </w:r>
      <w:r>
        <w:t xml:space="preserve">: يتم إنشاء قنوات اتصال واضحة لضمان أن جميع العاملين، بغض النظر عن مستواهم الوظيفي، يمكنهم الإبلاغ عن مشكلات سلامة الغذاء أو اقتراحات التحسين. تضمن الإدارة العليا أن المعلومات المتعلقة بسلامة الغذاء تصل إلى المستويات المناسبة في الوقت المناسب وأن يتم معالجتها. (من: جميع العاملين/الإدارة العليا؛ ماذا: تسهيل التواصل؛ متى: بشكل مستمر؛ أين: جميع أقسام الشركة؛ كيف: اجتماعات، صناديق اقتراحات، آليات إبلاغ محددة).</w:t>
      </w:r>
      <w:r>
        <w:t xml:space="preserve"> </w:t>
      </w:r>
      <w:r>
        <w:t xml:space="preserve">6-2-4</w:t>
      </w:r>
      <w:r>
        <w:t xml:space="preserve"> </w:t>
      </w:r>
      <w:r>
        <w:rPr>
          <w:b/>
          <w:bCs/>
        </w:rPr>
        <w:t xml:space="preserve">الاجتماعات الدورية</w:t>
      </w:r>
      <w:r>
        <w:t xml:space="preserve">: يتم عقد اجتماعات دورية لفريق سلامة الغذاء، واجتماعات أقسام، لمناقشة قضايا سلامة الغذاء والجودة، والمشاكل المحتملة، والتحسينات المقترحة، والامتثال للمتطلبات التشريعية. (من: رؤساء الأقسام/قائد فريق سلامة الغذاء؛ ماذا: عقد الاجتماعات؛ متى: دورياً وحسب الحاجة؛ أين: قاعات الاجتماعات؛ كيف: محاضر اجتماعات موثقة).</w:t>
      </w:r>
    </w:p>
    <w:p>
      <w:pPr>
        <w:pStyle w:val="BodyText"/>
      </w:pPr>
      <w:r>
        <w:rPr>
          <w:b/>
          <w:bCs/>
        </w:rPr>
        <w:t xml:space="preserve">6-3 التواصل الخارجي (ISO 22000:2018 §7.4.2 (أ), (ج), (د))</w:t>
      </w:r>
      <w:r>
        <w:t xml:space="preserve"> </w:t>
      </w:r>
      <w:r>
        <w:t xml:space="preserve">6-3-1</w:t>
      </w:r>
      <w:r>
        <w:t xml:space="preserve"> </w:t>
      </w:r>
      <w:r>
        <w:rPr>
          <w:b/>
          <w:bCs/>
        </w:rPr>
        <w:t xml:space="preserve">تحديد الأطراف الخارجية للمنظمة (NFSA قرار 6/2023 المادة 12)</w:t>
      </w:r>
      <w:r>
        <w:t xml:space="preserve">:</w:t>
      </w:r>
      <w:r>
        <w:t xml:space="preserve"> </w:t>
      </w:r>
      <w:r>
        <w:t xml:space="preserve">أ)</w:t>
      </w:r>
      <w:r>
        <w:t xml:space="preserve"> </w:t>
      </w:r>
      <w:r>
        <w:rPr>
          <w:b/>
          <w:bCs/>
        </w:rPr>
        <w:t xml:space="preserve">العملاء</w:t>
      </w:r>
      <w:r>
        <w:t xml:space="preserve">: يتم التواصل مع العملاء بخصوص معلومات المنتج، متطلبات الجودة والسلامة، والشكاوى. يتم توثيق جميع الشكاوى المتعلقة بسلامة وجودة المنتج والتعامل معها وفقًا لإجراء</w:t>
      </w:r>
      <w:r>
        <w:t xml:space="preserve"> </w:t>
      </w:r>
      <w:r>
        <w:t xml:space="preserve">“التعامل مع شكاوى العملاء”</w:t>
      </w:r>
      <w:r>
        <w:t xml:space="preserve">.</w:t>
      </w:r>
      <w:r>
        <w:t xml:space="preserve"> </w:t>
      </w:r>
      <w:r>
        <w:t xml:space="preserve">ب)</w:t>
      </w:r>
      <w:r>
        <w:t xml:space="preserve"> </w:t>
      </w:r>
      <w:r>
        <w:rPr>
          <w:b/>
          <w:bCs/>
        </w:rPr>
        <w:t xml:space="preserve">الموردون</w:t>
      </w:r>
      <w:r>
        <w:t xml:space="preserve">: يتم التواصل مع الموردين لضمان الالتزام بمتطلبات سلامة الغذاء للمواد الخام ومواد التعبئة والتغليف والخدمات (مثل: جودة المياه الخام، مواد التعبئة المطابقة للمواصفات، مواد التنظيف والتطهير).</w:t>
      </w:r>
      <w:r>
        <w:t xml:space="preserve"> </w:t>
      </w:r>
      <w:r>
        <w:t xml:space="preserve">ج)</w:t>
      </w:r>
      <w:r>
        <w:t xml:space="preserve"> </w:t>
      </w:r>
      <w:r>
        <w:rPr>
          <w:b/>
          <w:bCs/>
        </w:rPr>
        <w:t xml:space="preserve">الجهات التشريعية والرقابية (NFSA)</w:t>
      </w:r>
      <w:r>
        <w:t xml:space="preserve">: يتم التواصل مع الجهات التشريعية والرقابية (مثل الهيئة القومية لسلامة الغذاء، وزارة الصحة) للالتزام باللوائح والمعايير الخاصة بمنتجات المياه المعبأة، والإبلاغ عن أي حوادث سلامة غذاء تتطلب ذلك، وتلقي التحديثات عليها.</w:t>
      </w:r>
      <w:r>
        <w:t xml:space="preserve"> </w:t>
      </w:r>
      <w:r>
        <w:t xml:space="preserve">د)</w:t>
      </w:r>
      <w:r>
        <w:t xml:space="preserve"> </w:t>
      </w:r>
      <w:r>
        <w:rPr>
          <w:b/>
          <w:bCs/>
        </w:rPr>
        <w:t xml:space="preserve">المقاولون والزوار</w:t>
      </w:r>
      <w:r>
        <w:t xml:space="preserve">: يتم إخطار المقاولين والزوار بمتطلبات سلامة الغذاء واجبة التطبيق في المنشأة قبل دخولهم.</w:t>
      </w:r>
      <w:r>
        <w:t xml:space="preserve"> </w:t>
      </w:r>
      <w:r>
        <w:t xml:space="preserve">هـ)</w:t>
      </w:r>
      <w:r>
        <w:t xml:space="preserve"> </w:t>
      </w:r>
      <w:r>
        <w:rPr>
          <w:b/>
          <w:bCs/>
        </w:rPr>
        <w:t xml:space="preserve">الجمهور والجمعيات الصناعية</w:t>
      </w:r>
      <w:r>
        <w:t xml:space="preserve">: يتم التواصل معهم عند الحاجة، خاصة في حالات سحب المنتجات أو استدعائها من السوق أو للإجابة على استفسارات عامة.</w:t>
      </w:r>
      <w:r>
        <w:t xml:space="preserve"> </w:t>
      </w:r>
      <w:r>
        <w:t xml:space="preserve">(من: مسؤول الجودة/إدارة المبيعات/إدارة المشتريات/الإدارة العليا؛ ماذا: التواصل مع الأطراف الخارجية؛ متى: حسب الحاجة والخطط الدورية؛ أين: وفقًا لوسيلة الاتصال المحددة؛ كيف: هاتف، بريد إلكتروني، اجتماعات، تقارير).</w:t>
      </w:r>
    </w:p>
    <w:p>
      <w:pPr>
        <w:pStyle w:val="BodyText"/>
      </w:pPr>
      <w:r>
        <w:t xml:space="preserve">6-3-2</w:t>
      </w:r>
      <w:r>
        <w:t xml:space="preserve"> </w:t>
      </w:r>
      <w:r>
        <w:rPr>
          <w:b/>
          <w:bCs/>
        </w:rPr>
        <w:t xml:space="preserve">آلية التواصل في حالات الطوارئ (FSSC 22000 v6, Part 2, 2.5.1)</w:t>
      </w:r>
      <w:r>
        <w:t xml:space="preserve">: يتم تحديد بروتوكولات واضحة للتواصل الخارجي في حالات الطوارئ (مثل سحب المنتج، استدعاء المنتج، تلوث كبير) مع الجهات الرسمية، العملاء، والجمهور. يتم توثيق هذه البروتوكولات ضمن خطة الاستعداد للطوارئ والاستجابة لها. (من: قائد فريق سلامة الغذاء/الإدارة العليا؛ ماذا: وضع بروتوكولات الطوارئ؛ متى: عند مراجعة خطة الطوارئ؛ أين: ضمن خطة الاستعداد والطوارئ؛ كيف: وثيقة خطة الطوارئ).</w:t>
      </w:r>
    </w:p>
    <w:p>
      <w:pPr>
        <w:pStyle w:val="BodyText"/>
      </w:pPr>
      <w:r>
        <w:t xml:space="preserve">6-3-3</w:t>
      </w:r>
      <w:r>
        <w:t xml:space="preserve"> </w:t>
      </w:r>
      <w:r>
        <w:rPr>
          <w:b/>
          <w:bCs/>
        </w:rPr>
        <w:t xml:space="preserve">ضمان كفاءة التواصل</w:t>
      </w:r>
      <w:r>
        <w:t xml:space="preserve">: يجب التأكد من أن اللغة المستخدمة في التواصل واضحة ومفهومة للأطراف المعنية، وأن يتم حفظ المعلومات الموثقة (سجلات الاتصال) وفقًا لمتطلبات هذا الإجراء. (من: جميع المسؤولين عن التواصل؛ ماذا: ضمان كفاءة التواصل؛ متى: في جميع عمليات التواصل؛ أين: في جميع أقسام الشركة؛ كيف: مراجعة الرسائل، توثيق الاستجابات).</w:t>
      </w:r>
    </w:p>
    <w:p>
      <w:pPr>
        <w:pStyle w:val="BodyText"/>
      </w:pPr>
      <w:r>
        <w:rPr>
          <w:b/>
          <w:bCs/>
        </w:rPr>
        <w:t xml:space="preserve">6-4 وسائل التواصل</w:t>
      </w:r>
      <w:r>
        <w:t xml:space="preserve"> </w:t>
      </w:r>
      <w:r>
        <w:t xml:space="preserve">6-4-1 يمكن أن تتم عمليات التواصل الداخلية والخارجية من خلال عدة وسائل، بما في ذلك على سبيل المثال لا الحصر:</w:t>
      </w:r>
      <w:r>
        <w:t xml:space="preserve"> </w:t>
      </w:r>
      <w:r>
        <w:t xml:space="preserve">أ)</w:t>
      </w:r>
      <w:r>
        <w:t xml:space="preserve"> </w:t>
      </w:r>
      <w:r>
        <w:rPr>
          <w:b/>
          <w:bCs/>
        </w:rPr>
        <w:t xml:space="preserve">اجتماعات رسمية وغير رسمية</w:t>
      </w:r>
      <w:r>
        <w:t xml:space="preserve"> </w:t>
      </w:r>
      <w:r>
        <w:t xml:space="preserve">(بمحاضر اجتماعات موثقة).</w:t>
      </w:r>
      <w:r>
        <w:t xml:space="preserve"> </w:t>
      </w:r>
      <w:r>
        <w:t xml:space="preserve">ب)</w:t>
      </w:r>
      <w:r>
        <w:t xml:space="preserve"> </w:t>
      </w:r>
      <w:r>
        <w:rPr>
          <w:b/>
          <w:bCs/>
        </w:rPr>
        <w:t xml:space="preserve">بريد إلكتروني (E-mail)</w:t>
      </w:r>
      <w:r>
        <w:t xml:space="preserve">.</w:t>
      </w:r>
      <w:r>
        <w:t xml:space="preserve"> </w:t>
      </w:r>
      <w:r>
        <w:t xml:space="preserve">ج)</w:t>
      </w:r>
      <w:r>
        <w:t xml:space="preserve"> </w:t>
      </w:r>
      <w:r>
        <w:rPr>
          <w:b/>
          <w:bCs/>
        </w:rPr>
        <w:t xml:space="preserve">تقارير دورية</w:t>
      </w:r>
      <w:r>
        <w:t xml:space="preserve">.</w:t>
      </w:r>
      <w:r>
        <w:t xml:space="preserve"> </w:t>
      </w:r>
      <w:r>
        <w:t xml:space="preserve">د)</w:t>
      </w:r>
      <w:r>
        <w:t xml:space="preserve"> </w:t>
      </w:r>
      <w:r>
        <w:rPr>
          <w:b/>
          <w:bCs/>
        </w:rPr>
        <w:t xml:space="preserve">لوحات الإعلانات والإشعارات</w:t>
      </w:r>
      <w:r>
        <w:t xml:space="preserve">.</w:t>
      </w:r>
      <w:r>
        <w:t xml:space="preserve"> </w:t>
      </w:r>
      <w:r>
        <w:t xml:space="preserve">هـ)</w:t>
      </w:r>
      <w:r>
        <w:t xml:space="preserve"> </w:t>
      </w:r>
      <w:r>
        <w:rPr>
          <w:b/>
          <w:bCs/>
        </w:rPr>
        <w:t xml:space="preserve">هاتف/فاكس</w:t>
      </w:r>
      <w:r>
        <w:t xml:space="preserve">.</w:t>
      </w:r>
      <w:r>
        <w:t xml:space="preserve"> </w:t>
      </w:r>
      <w:r>
        <w:t xml:space="preserve">و)</w:t>
      </w:r>
      <w:r>
        <w:t xml:space="preserve"> </w:t>
      </w:r>
      <w:r>
        <w:rPr>
          <w:b/>
          <w:bCs/>
        </w:rPr>
        <w:t xml:space="preserve">دورات تدريبية وورش عمل</w:t>
      </w:r>
      <w:r>
        <w:t xml:space="preserve">.</w:t>
      </w:r>
      <w:r>
        <w:t xml:space="preserve"> </w:t>
      </w:r>
      <w:r>
        <w:t xml:space="preserve">ز)</w:t>
      </w:r>
      <w:r>
        <w:t xml:space="preserve"> </w:t>
      </w:r>
      <w:r>
        <w:rPr>
          <w:b/>
          <w:bCs/>
        </w:rPr>
        <w:t xml:space="preserve">الموقع الإلكتروني للشركة أو البوابات الرقمية</w:t>
      </w:r>
      <w:r>
        <w:t xml:space="preserve">.</w:t>
      </w:r>
      <w:r>
        <w:t xml:space="preserve"> </w:t>
      </w:r>
      <w:r>
        <w:t xml:space="preserve">6-4-2 يتم اختيار الوسيلة المناسبة لكل نوع من أنواع التواصل بما يضمن وصول المعلومة وفهمها من قبل الطرف المتلقي، ووفقاً لـ (ISO 22000:2018 §7.4.2 (ج)).</w:t>
      </w:r>
    </w:p>
    <w:bookmarkEnd w:id="17"/>
    <w:bookmarkStart w:id="18" w:name="السجلات-والنماذج-المرتبطة"/>
    <w:p>
      <w:pPr>
        <w:pStyle w:val="Heading3"/>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F-04-01</w:t>
            </w:r>
          </w:p>
        </w:tc>
        <w:tc>
          <w:tcPr/>
          <w:p>
            <w:pPr>
              <w:pStyle w:val="Compact"/>
            </w:pPr>
            <w:r>
              <w:t xml:space="preserve">سجل خطة التواصل</w:t>
            </w:r>
          </w:p>
        </w:tc>
        <w:tc>
          <w:tcPr/>
          <w:p>
            <w:pPr>
              <w:pStyle w:val="Compact"/>
            </w:pPr>
            <w:r>
              <w:t xml:space="preserve">قائد فريق سلامة الغذاء</w:t>
            </w:r>
          </w:p>
        </w:tc>
        <w:tc>
          <w:tcPr/>
          <w:p>
            <w:pPr>
              <w:pStyle w:val="Compact"/>
            </w:pPr>
            <w:r>
              <w:t xml:space="preserve">5 سنوات بعد نهاية صلاحية الخطة أو المنتج</w:t>
            </w:r>
          </w:p>
        </w:tc>
        <w:tc>
          <w:tcPr/>
          <w:p>
            <w:pPr>
              <w:pStyle w:val="Compact"/>
            </w:pPr>
            <w:r>
              <w:t xml:space="preserve">الأطراف المعنية، نوع المعلومات، تكرار التواصل، المسؤولية، وسيلة الاتصال، مراجعات الخطة.</w:t>
            </w:r>
          </w:p>
        </w:tc>
      </w:tr>
      <w:tr>
        <w:tc>
          <w:tcPr/>
          <w:p>
            <w:pPr>
              <w:pStyle w:val="Compact"/>
            </w:pPr>
            <w:r>
              <w:t xml:space="preserve">F-04-02</w:t>
            </w:r>
          </w:p>
        </w:tc>
        <w:tc>
          <w:tcPr/>
          <w:p>
            <w:pPr>
              <w:pStyle w:val="Compact"/>
            </w:pPr>
            <w:r>
              <w:t xml:space="preserve">سجل الاتصال الخارجي</w:t>
            </w:r>
          </w:p>
        </w:tc>
        <w:tc>
          <w:tcPr/>
          <w:p>
            <w:pPr>
              <w:pStyle w:val="Compact"/>
            </w:pPr>
            <w:r>
              <w:t xml:space="preserve">مسؤول الجودة/إدارة المبيعات/المشتريات</w:t>
            </w:r>
          </w:p>
        </w:tc>
        <w:tc>
          <w:tcPr/>
          <w:p>
            <w:pPr>
              <w:pStyle w:val="Compact"/>
            </w:pPr>
            <w:r>
              <w:t xml:space="preserve">5 سنوات</w:t>
            </w:r>
          </w:p>
        </w:tc>
        <w:tc>
          <w:tcPr/>
          <w:p>
            <w:pPr>
              <w:pStyle w:val="Compact"/>
            </w:pPr>
            <w:r>
              <w:t xml:space="preserve">تاريخ الاتصال، الطرف المتصل به، موضوع الاتصال، وسيلة الاتصال، ملخص الاتصال، الإجراء المتخذ، المسؤول عن المتابعة.</w:t>
            </w:r>
          </w:p>
        </w:tc>
      </w:tr>
      <w:tr>
        <w:tc>
          <w:tcPr/>
          <w:p>
            <w:pPr>
              <w:pStyle w:val="Compact"/>
            </w:pPr>
            <w:r>
              <w:t xml:space="preserve">F-04-03</w:t>
            </w:r>
          </w:p>
        </w:tc>
        <w:tc>
          <w:tcPr/>
          <w:p>
            <w:pPr>
              <w:pStyle w:val="Compact"/>
            </w:pPr>
            <w:r>
              <w:t xml:space="preserve">سجل شكاوى العملاء</w:t>
            </w:r>
          </w:p>
        </w:tc>
        <w:tc>
          <w:tcPr/>
          <w:p>
            <w:pPr>
              <w:pStyle w:val="Compact"/>
            </w:pPr>
            <w:r>
              <w:t xml:space="preserve">إدارة المبيعات/مسؤول الجودة</w:t>
            </w:r>
          </w:p>
        </w:tc>
        <w:tc>
          <w:tcPr/>
          <w:p>
            <w:pPr>
              <w:pStyle w:val="Compact"/>
            </w:pPr>
            <w:r>
              <w:t xml:space="preserve">5 سنوات</w:t>
            </w:r>
          </w:p>
        </w:tc>
        <w:tc>
          <w:tcPr/>
          <w:p>
            <w:pPr>
              <w:pStyle w:val="Compact"/>
            </w:pPr>
            <w:r>
              <w:t xml:space="preserve">تاريخ الشكوى، تفاصيل العميل، نوع المنتج، وصف الشكوى، التحقيق، الإجراء التصحيحي، الرد على العميل، المسؤول.</w:t>
            </w:r>
          </w:p>
        </w:tc>
      </w:tr>
      <w:tr>
        <w:tc>
          <w:tcPr/>
          <w:p>
            <w:pPr>
              <w:pStyle w:val="Compact"/>
            </w:pPr>
            <w:r>
              <w:t xml:space="preserve">F-04-04</w:t>
            </w:r>
          </w:p>
        </w:tc>
        <w:tc>
          <w:tcPr/>
          <w:p>
            <w:pPr>
              <w:pStyle w:val="Compact"/>
            </w:pPr>
            <w:r>
              <w:t xml:space="preserve">محاضر اجتماعات فريق سلامة الغذاء</w:t>
            </w:r>
          </w:p>
        </w:tc>
        <w:tc>
          <w:tcPr/>
          <w:p>
            <w:pPr>
              <w:pStyle w:val="Compact"/>
            </w:pPr>
            <w:r>
              <w:t xml:space="preserve">قائد فريق سلامة الغذاء</w:t>
            </w:r>
          </w:p>
        </w:tc>
        <w:tc>
          <w:tcPr/>
          <w:p>
            <w:pPr>
              <w:pStyle w:val="Compact"/>
            </w:pPr>
            <w:r>
              <w:t xml:space="preserve">5 سنوات</w:t>
            </w:r>
          </w:p>
        </w:tc>
        <w:tc>
          <w:tcPr/>
          <w:p>
            <w:pPr>
              <w:pStyle w:val="Compact"/>
            </w:pPr>
            <w:r>
              <w:t xml:space="preserve">تاريخ الاجتماع، الحضور، جدول الأعمال، المناقشات، القرارات، الإجراءات المطلوبة، المسؤوليات والمواعيد النهائية.</w:t>
            </w:r>
          </w:p>
        </w:tc>
      </w:tr>
      <w:tr>
        <w:tc>
          <w:tcPr/>
          <w:p>
            <w:pPr>
              <w:pStyle w:val="Compact"/>
            </w:pPr>
            <w:r>
              <w:t xml:space="preserve">F-04-05</w:t>
            </w:r>
          </w:p>
        </w:tc>
        <w:tc>
          <w:tcPr/>
          <w:p>
            <w:pPr>
              <w:pStyle w:val="Compact"/>
            </w:pPr>
            <w:r>
              <w:t xml:space="preserve">سجل التنبيهات التشريعية</w:t>
            </w:r>
          </w:p>
        </w:tc>
        <w:tc>
          <w:tcPr/>
          <w:p>
            <w:pPr>
              <w:pStyle w:val="Compact"/>
            </w:pPr>
            <w:r>
              <w:t xml:space="preserve">مسؤول الجودة</w:t>
            </w:r>
          </w:p>
        </w:tc>
        <w:tc>
          <w:tcPr/>
          <w:p>
            <w:pPr>
              <w:pStyle w:val="Compact"/>
            </w:pPr>
            <w:r>
              <w:t xml:space="preserve">5 سنوات</w:t>
            </w:r>
          </w:p>
        </w:tc>
        <w:tc>
          <w:tcPr/>
          <w:p>
            <w:pPr>
              <w:pStyle w:val="Compact"/>
            </w:pPr>
            <w:r>
              <w:t xml:space="preserve">تاريخ التنبيه، الجهة المصدرة، ملخص التنبيه/التعديل، الإجراءات المتخذة بالشركة، المسؤول عن المتابعة.</w:t>
            </w:r>
          </w:p>
        </w:tc>
      </w:tr>
    </w:tbl>
    <w:bookmarkEnd w:id="18"/>
    <w:bookmarkStart w:id="19" w:name="معايير-قياس-فاعلية-الأداء-kpis"/>
    <w:p>
      <w:pPr>
        <w:pStyle w:val="Heading3"/>
      </w:pPr>
      <w:r>
        <w:t xml:space="preserve">8. معايير قياس فاعلية الأداء (KPIs)</w:t>
      </w:r>
    </w:p>
    <w:p>
      <w:pPr>
        <w:pStyle w:val="Compact"/>
        <w:numPr>
          <w:ilvl w:val="0"/>
          <w:numId w:val="1003"/>
        </w:numPr>
      </w:pPr>
      <w:r>
        <w:rPr>
          <w:b/>
          <w:bCs/>
        </w:rPr>
        <w:t xml:space="preserve">معدل الامتثال لخطة التواصل</w:t>
      </w:r>
      <w:r>
        <w:t xml:space="preserve">: يتم قياس مدى الالتزام بتنفيذ أنشطة التواصل المحددة في سجل خطة التواصل (F-04-01) بنسبة لا تقل عن 98%. (قياس فاعلية الالتزام الخارجي والداخلي ISO 22000:2018 §9.1.1).</w:t>
      </w:r>
    </w:p>
    <w:p>
      <w:pPr>
        <w:pStyle w:val="Compact"/>
        <w:numPr>
          <w:ilvl w:val="0"/>
          <w:numId w:val="1003"/>
        </w:numPr>
      </w:pPr>
      <w:r>
        <w:rPr>
          <w:b/>
          <w:bCs/>
        </w:rPr>
        <w:t xml:space="preserve">عدد الشكاوى الناتجة عن سوء التواصل</w:t>
      </w:r>
      <w:r>
        <w:t xml:space="preserve">: يجب ألا تتجاوز نسبة الشكاوى المتعلقة بعدم وضوح المعلومات أو سوء التواصل 1% من إجمالي الشكاوى.</w:t>
      </w:r>
    </w:p>
    <w:p>
      <w:pPr>
        <w:pStyle w:val="Compact"/>
        <w:numPr>
          <w:ilvl w:val="0"/>
          <w:numId w:val="1003"/>
        </w:numPr>
      </w:pPr>
      <w:r>
        <w:rPr>
          <w:b/>
          <w:bCs/>
        </w:rPr>
        <w:t xml:space="preserve">نسبة اكتمال الإجراءات التصحيحية المتعلقة بالاتصالات</w:t>
      </w:r>
      <w:r>
        <w:t xml:space="preserve">: يجب أن تكون 100% من الإجراءات التصحيحية المتخذة لمعال12جة فجوات التواصل قد أغلقت في الوقت المحدد.</w:t>
      </w:r>
    </w:p>
    <w:p>
      <w:pPr>
        <w:pStyle w:val="Compact"/>
        <w:numPr>
          <w:ilvl w:val="0"/>
          <w:numId w:val="1003"/>
        </w:numPr>
      </w:pPr>
      <w:r>
        <w:rPr>
          <w:b/>
          <w:bCs/>
        </w:rPr>
        <w:t xml:space="preserve">نتائج استبيانات رضا الموظفين/العملاء عن التواصل</w:t>
      </w:r>
      <w:r>
        <w:t xml:space="preserve">: يتم قياس فاعلية التواصل الداخلي والخارجي من خلال استبيانات دورية لرضا الموظفين والعملاء، بحيث لا يقل متوسط النتيجة عن</w:t>
      </w:r>
      <w:r>
        <w:t xml:space="preserve"> </w:t>
      </w:r>
      <w:r>
        <w:t xml:space="preserve">“جيد جداً”</w:t>
      </w:r>
      <w:r>
        <w:t xml:space="preserve"> </w:t>
      </w:r>
      <w:r>
        <w:t xml:space="preserve">80%.</w:t>
      </w:r>
    </w:p>
    <w:p>
      <w:pPr>
        <w:pStyle w:val="Compact"/>
        <w:numPr>
          <w:ilvl w:val="0"/>
          <w:numId w:val="1003"/>
        </w:numPr>
      </w:pPr>
      <w:r>
        <w:rPr>
          <w:b/>
          <w:bCs/>
        </w:rPr>
        <w:t xml:space="preserve">عدد حالات عدم المطابقة (NCs) المتعلقة بالتواصل في التدقيقات الداخلية/الخارجية</w:t>
      </w:r>
      <w:r>
        <w:t xml:space="preserve">: يجب أن يكون الهدف صفر حالة عدم مطابقة (Major/Minor) متعلقة ببنود التواصل.</w:t>
      </w:r>
    </w:p>
    <w:p>
      <w:r>
        <w:pict>
          <v:rect style="width:0;height:1.5pt" o:hralign="center" o:hrstd="t" o:hr="t"/>
        </w:pict>
      </w:r>
    </w:p>
    <w:bookmarkEnd w:id="19"/>
    <w:bookmarkStart w:id="20"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20"/>
    <w:bookmarkStart w:id="21"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1"/>
    <w:bookmarkStart w:id="22"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4 - FSP-04</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2026-06-29T08:43:12Z</dcterms:created>
  <dcterms:modified xsi:type="dcterms:W3CDTF">2026-06-29T08:43:12Z</dcterms:modified>
</cp:coreProperties>
</file>

<file path=docProps/custom.xml><?xml version="1.0" encoding="utf-8"?>
<Properties xmlns="http://schemas.openxmlformats.org/officeDocument/2006/custom-properties" xmlns:vt="http://schemas.openxmlformats.org/officeDocument/2006/docPropsVTypes"/>
</file>