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لإنتاج-وتعبئة-المياه-الطبيعية"/>
    <w:p>
      <w:pPr>
        <w:pStyle w:val="Heading1"/>
      </w:pPr>
      <w:r>
        <w:t xml:space="preserve">شركة لإنتاج وتعبئة المياه الطبيعية</w:t>
      </w:r>
    </w:p>
    <w:bookmarkStart w:id="9" w:name="company-co."/>
    <w:p>
      <w:pPr>
        <w:pStyle w:val="Heading2"/>
      </w:pPr>
      <w:r>
        <w:t xml:space="preserve">Company Co.</w:t>
      </w:r>
    </w:p>
    <w:p>
      <w:pPr>
        <w:pStyle w:val="FirstParagraph"/>
      </w:pPr>
    </w:p>
    <w:bookmarkEnd w:id="9"/>
    <w:bookmarkEnd w:id="10"/>
    <w:bookmarkStart w:id="11" w:name="الاستعداد-والاستجابة-لحالات-الطوارئ"/>
    <w:p>
      <w:pPr>
        <w:pStyle w:val="Heading1"/>
      </w:pPr>
      <w:r>
        <w:t xml:space="preserve">الاستعداد والاستجابة لحالات الطوارئ</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الاستعداد والاستجابة لحالات الطوارئ</w:t>
            </w:r>
          </w:p>
        </w:tc>
      </w:tr>
      <w:tr>
        <w:tc>
          <w:tcPr/>
          <w:p>
            <w:pPr>
              <w:pStyle w:val="Compact"/>
            </w:pPr>
            <w:r>
              <w:rPr>
                <w:b/>
                <w:bCs/>
              </w:rPr>
              <w:t xml:space="preserve">كود الوثيقة</w:t>
            </w:r>
          </w:p>
        </w:tc>
        <w:tc>
          <w:tcPr/>
          <w:p>
            <w:pPr>
              <w:pStyle w:val="Compact"/>
            </w:pPr>
            <w:r>
              <w:t xml:space="preserve">FSP-05</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X8996f387ce8303e36594b0f6d5947f145f1f802"/>
    <w:p>
      <w:pPr>
        <w:pStyle w:val="Heading1"/>
      </w:pPr>
      <w:r>
        <w:t xml:space="preserve">الإجراء رقم 5: الاستعداد والاستجابة لحالات الطوارئ</w:t>
      </w:r>
    </w:p>
    <w:bookmarkStart w:id="12" w:name="الغرض-purpose"/>
    <w:p>
      <w:pPr>
        <w:pStyle w:val="Heading3"/>
      </w:pPr>
      <w:r>
        <w:t xml:space="preserve">1. الغرض (Purpose)</w:t>
      </w:r>
    </w:p>
    <w:p>
      <w:pPr>
        <w:pStyle w:val="FirstParagraph"/>
      </w:pPr>
      <w:r>
        <w:t xml:space="preserve">يهدف هذا الإجراء إلى وضع وتطبيق وصيانة نظام فعال للاستعداد والاستجابة لحالات الطوارئ والحوادث المحتملة التي قد تؤثر على سلامة الغذاء، في مصنع تعبئة المياه الطبيعية، وذلك لضمان القدرة على:</w:t>
      </w:r>
      <w:r>
        <w:t xml:space="preserve"> </w:t>
      </w:r>
      <w:r>
        <w:t xml:space="preserve">أ. تحديد وتقييم حالات الطوارئ المحتملة ذات الصلة بسلامة الغذاء.</w:t>
      </w:r>
      <w:r>
        <w:t xml:space="preserve"> </w:t>
      </w:r>
      <w:r>
        <w:t xml:space="preserve">ب. تخطيط وتنفيذ الاستجابات الفعالة في الوقت المناسب للحد من تأثير هذه الحالات على سلامة المنتج.</w:t>
      </w:r>
      <w:r>
        <w:t xml:space="preserve"> </w:t>
      </w:r>
      <w:r>
        <w:t xml:space="preserve">ج. استئناف العمليات بأمان مع ضمان سلامة المنتج بعد وقوع الطوارئ.</w:t>
      </w:r>
      <w:r>
        <w:t xml:space="preserve"> </w:t>
      </w:r>
      <w:r>
        <w:t xml:space="preserve">د. المراجعة والتحسين المستمر لخطط الاستعداد والاستجابة بناءً على الدروس المستفادة.</w:t>
      </w:r>
    </w:p>
    <w:bookmarkEnd w:id="12"/>
    <w:bookmarkStart w:id="13" w:name="النطاق-scope"/>
    <w:p>
      <w:pPr>
        <w:pStyle w:val="Heading3"/>
      </w:pPr>
      <w:r>
        <w:t xml:space="preserve">2. النطاق (Scope)</w:t>
      </w:r>
    </w:p>
    <w:p>
      <w:pPr>
        <w:pStyle w:val="FirstParagraph"/>
      </w:pPr>
      <w:r>
        <w:t xml:space="preserve">ينطبق هذا الإجراء على جميع العمليات والأنشطة داخل مصنع تعبئة المياه الطبيعية، بدءاً من تحديد حالات الطوارئ المحتملة، مروراً بتخطيط الاستجابة، وتنفيذها فور وقوعها، وحتى استعادة الأوضاع الطبيعية والتحقق من سلامة المنتج بعد انتهاء الحالة الطارئة. يشمل النطاق تحديد كافة سيناريوهات الطوارئ التي قد يكون لها تأثير مباشر أو غير مباشر على سلامة المياه المعبأة، مثل:</w:t>
      </w:r>
      <w:r>
        <w:t xml:space="preserve"> </w:t>
      </w:r>
      <w:r>
        <w:t xml:space="preserve">أ. انقطاع المرافق الأساسية (الكهرباء، الماء).</w:t>
      </w:r>
      <w:r>
        <w:t xml:space="preserve"> </w:t>
      </w:r>
      <w:r>
        <w:t xml:space="preserve">ب. الكوارث الطبيعية (السيول، الحرائق، الزلازل).</w:t>
      </w:r>
      <w:r>
        <w:t xml:space="preserve"> </w:t>
      </w:r>
      <w:r>
        <w:t xml:space="preserve">ج. الحوادث الصناعية (تسرب مواد كيميائية، تعطل معدات).</w:t>
      </w:r>
      <w:r>
        <w:t xml:space="preserve"> </w:t>
      </w:r>
      <w:r>
        <w:t xml:space="preserve">د. أزمات سلامة الغذاء (تلوث المنتج، استدعاء المنتج).</w:t>
      </w:r>
      <w:r>
        <w:t xml:space="preserve"> </w:t>
      </w:r>
      <w:r>
        <w:t xml:space="preserve">هـ. التهديدات الأمنية المتعمدة (الدفاع عن الغذاء، الاحتيال الغذائي المتعمد).</w:t>
      </w:r>
      <w:r>
        <w:t xml:space="preserve"> </w:t>
      </w:r>
      <w:r>
        <w:t xml:space="preserve">و. الأوبئة وحالات الطوارئ الصحية العامة التي تؤثر على القوى العاملة.</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حالة الطوارئ (Emergency)</w:t>
      </w:r>
      <w:r>
        <w:t xml:space="preserve">: حادث أو موقف غير متوقع وغير مخطط له، قد يؤدي إلى خطر جسيم على سلامة الغذاء أو تعطيل حرج للعمليات، ويتطلب استجابة فورية.</w:t>
      </w:r>
    </w:p>
    <w:p>
      <w:pPr>
        <w:pStyle w:val="Compact"/>
        <w:numPr>
          <w:ilvl w:val="0"/>
          <w:numId w:val="1001"/>
        </w:numPr>
      </w:pPr>
      <w:r>
        <w:rPr>
          <w:b/>
          <w:bCs/>
        </w:rPr>
        <w:t xml:space="preserve">حادث (Incident)</w:t>
      </w:r>
      <w:r>
        <w:t xml:space="preserve">: حدث وقع أو كان من الممكن أن يقع، وقد يؤدي إلى ضرر أو خسارة، ولكنه أقل خطورة من حالة الطوارئ وقد لا يتطلب بالضرورة استجابة واسعة النطاق.</w:t>
      </w:r>
    </w:p>
    <w:p>
      <w:pPr>
        <w:pStyle w:val="Compact"/>
        <w:numPr>
          <w:ilvl w:val="0"/>
          <w:numId w:val="1001"/>
        </w:numPr>
      </w:pPr>
      <w:r>
        <w:rPr>
          <w:b/>
          <w:bCs/>
        </w:rPr>
        <w:t xml:space="preserve">الاستعداد (Preparedness)</w:t>
      </w:r>
      <w:r>
        <w:t xml:space="preserve">: القدرة على توقع وتوقع والاستجابة الفعالة للطوارئ من خلال التخطيط والتدريب والتجهيز المسبق.</w:t>
      </w:r>
    </w:p>
    <w:p>
      <w:pPr>
        <w:pStyle w:val="Compact"/>
        <w:numPr>
          <w:ilvl w:val="0"/>
          <w:numId w:val="1001"/>
        </w:numPr>
      </w:pPr>
      <w:r>
        <w:rPr>
          <w:b/>
          <w:bCs/>
        </w:rPr>
        <w:t xml:space="preserve">الاستجابة (Response)</w:t>
      </w:r>
      <w:r>
        <w:t xml:space="preserve">: الإجراءات المتخذة فوريًا بعد وقوع حالة الطوارئ للتحكم فيها واحتوائها وتقليل آثارها السلبية.</w:t>
      </w:r>
    </w:p>
    <w:p>
      <w:pPr>
        <w:pStyle w:val="Compact"/>
        <w:numPr>
          <w:ilvl w:val="0"/>
          <w:numId w:val="1001"/>
        </w:numPr>
      </w:pPr>
      <w:r>
        <w:rPr>
          <w:b/>
          <w:bCs/>
        </w:rPr>
        <w:t xml:space="preserve">التعافي (Recovery)</w:t>
      </w:r>
      <w:r>
        <w:t xml:space="preserve">: عملية استعادة العمليات الطبيعية بعد حالة الطوارئ، مع التأكد من سلامة المنتجات والامتثال للمتطلبات.</w:t>
      </w:r>
    </w:p>
    <w:p>
      <w:pPr>
        <w:pStyle w:val="Compact"/>
        <w:numPr>
          <w:ilvl w:val="0"/>
          <w:numId w:val="1001"/>
        </w:numPr>
      </w:pPr>
      <w:r>
        <w:rPr>
          <w:b/>
          <w:bCs/>
        </w:rPr>
        <w:t xml:space="preserve">الدفاع عن الغذاء (Food Defense)</w:t>
      </w:r>
      <w:r>
        <w:t xml:space="preserve">: الإجراءات المتخذة لمنع التلوث المتعمد للمنتجات الغذائية بالمواد الضارة أو غير المرغوب فيها من قبل أفراد يسعون لإحداث ضرر.</w:t>
      </w:r>
    </w:p>
    <w:p>
      <w:pPr>
        <w:pStyle w:val="Compact"/>
        <w:numPr>
          <w:ilvl w:val="0"/>
          <w:numId w:val="1001"/>
        </w:numPr>
      </w:pPr>
      <w:r>
        <w:rPr>
          <w:b/>
          <w:bCs/>
        </w:rPr>
        <w:t xml:space="preserve">الاحتيال الغذائي (Food Fraud)</w:t>
      </w:r>
      <w:r>
        <w:t xml:space="preserve">: الخداع المتعمد لأسباب اقتصادية في إنتاج أو توريد المواد الغذائية.</w:t>
      </w:r>
    </w:p>
    <w:p>
      <w:pPr>
        <w:pStyle w:val="Compact"/>
        <w:numPr>
          <w:ilvl w:val="0"/>
          <w:numId w:val="1001"/>
        </w:numPr>
      </w:pPr>
      <w:r>
        <w:rPr>
          <w:b/>
          <w:bCs/>
        </w:rPr>
        <w:t xml:space="preserve">NFSA</w:t>
      </w:r>
      <w:r>
        <w:t xml:space="preserve">: الهيئة القومية لسلامة الغذاء المصرية.</w:t>
      </w:r>
    </w:p>
    <w:p>
      <w:pPr>
        <w:pStyle w:val="Compact"/>
        <w:numPr>
          <w:ilvl w:val="0"/>
          <w:numId w:val="1001"/>
        </w:numPr>
      </w:pPr>
      <w:r>
        <w:rPr>
          <w:b/>
          <w:bCs/>
        </w:rPr>
        <w:t xml:space="preserve">HACCP</w:t>
      </w:r>
      <w:r>
        <w:t xml:space="preserve">: تحليل المخاطر ونقاط التحكم الحرجة.</w:t>
      </w:r>
    </w:p>
    <w:p>
      <w:pPr>
        <w:pStyle w:val="Compact"/>
        <w:numPr>
          <w:ilvl w:val="0"/>
          <w:numId w:val="1001"/>
        </w:numPr>
      </w:pPr>
      <w:r>
        <w:rPr>
          <w:b/>
          <w:bCs/>
        </w:rPr>
        <w:t xml:space="preserve">PRPs</w:t>
      </w:r>
      <w:r>
        <w:t xml:space="preserve">: برامج المتطلبات المسبقة.</w:t>
      </w:r>
    </w:p>
    <w:bookmarkEnd w:id="14"/>
    <w:bookmarkStart w:id="15" w:name="المراجع-references"/>
    <w:p>
      <w:pPr>
        <w:pStyle w:val="Heading3"/>
      </w:pPr>
      <w:r>
        <w:t xml:space="preserve">4. المراجع (References)</w:t>
      </w:r>
    </w:p>
    <w:p>
      <w:pPr>
        <w:pStyle w:val="Compact"/>
        <w:numPr>
          <w:ilvl w:val="0"/>
          <w:numId w:val="1002"/>
        </w:numPr>
      </w:pPr>
      <w:r>
        <w:t xml:space="preserve">ISO 22000:2018 §6.1.2 (تخطيط الإجراءات لمعالجة المخاطر والفرص)</w:t>
      </w:r>
    </w:p>
    <w:p>
      <w:pPr>
        <w:pStyle w:val="Compact"/>
        <w:numPr>
          <w:ilvl w:val="0"/>
          <w:numId w:val="1002"/>
        </w:numPr>
      </w:pPr>
      <w:r>
        <w:t xml:space="preserve">ISO 22000:2018 §8.4.1 (الاستعداد والاستجابة لحالات الطوارئ)</w:t>
      </w:r>
    </w:p>
    <w:p>
      <w:pPr>
        <w:pStyle w:val="Compact"/>
        <w:numPr>
          <w:ilvl w:val="0"/>
          <w:numId w:val="1002"/>
        </w:numPr>
      </w:pPr>
      <w:r>
        <w:t xml:space="preserve">ISO 22000:2018 §8.4.2 (التداول في حالات الطوارئ)</w:t>
      </w:r>
    </w:p>
    <w:p>
      <w:pPr>
        <w:pStyle w:val="Compact"/>
        <w:numPr>
          <w:ilvl w:val="0"/>
          <w:numId w:val="1002"/>
        </w:numPr>
      </w:pPr>
      <w:r>
        <w:t xml:space="preserve">ISO 22000:2018 §8.4.3 (الاختبار الدوري)</w:t>
      </w:r>
    </w:p>
    <w:p>
      <w:pPr>
        <w:pStyle w:val="Compact"/>
        <w:numPr>
          <w:ilvl w:val="0"/>
          <w:numId w:val="1002"/>
        </w:numPr>
      </w:pPr>
      <w:r>
        <w:t xml:space="preserve">FSSC 22000 v6 Annex V (متطلبات إضافية للتحكم في الكوارث وحالات الطوارئ)</w:t>
      </w:r>
    </w:p>
    <w:p>
      <w:pPr>
        <w:pStyle w:val="Compact"/>
        <w:numPr>
          <w:ilvl w:val="0"/>
          <w:numId w:val="1002"/>
        </w:numPr>
      </w:pPr>
      <w:r>
        <w:t xml:space="preserve">ISO/TS 22002-1:2009 §4 (تصميم المباني والتخطيط)</w:t>
      </w:r>
    </w:p>
    <w:p>
      <w:pPr>
        <w:pStyle w:val="Compact"/>
        <w:numPr>
          <w:ilvl w:val="0"/>
          <w:numId w:val="1002"/>
        </w:numPr>
      </w:pPr>
      <w:r>
        <w:t xml:space="preserve">ISO/TS 22002-1:2009 §5 (المرافق المساعدة – الهواء والماء والطاقة)</w:t>
      </w:r>
    </w:p>
    <w:p>
      <w:pPr>
        <w:pStyle w:val="Compact"/>
        <w:numPr>
          <w:ilvl w:val="0"/>
          <w:numId w:val="1002"/>
        </w:numPr>
      </w:pPr>
      <w:r>
        <w:t xml:space="preserve">ISO/TS 22002-1:2009 §8 (منع التلوث المتقاطع)</w:t>
      </w:r>
    </w:p>
    <w:p>
      <w:pPr>
        <w:pStyle w:val="Compact"/>
        <w:numPr>
          <w:ilvl w:val="0"/>
          <w:numId w:val="1002"/>
        </w:numPr>
      </w:pPr>
      <w:r>
        <w:t xml:space="preserve">ISO/TS 22002-1:2009 §10 (التخزين)</w:t>
      </w:r>
    </w:p>
    <w:p>
      <w:pPr>
        <w:pStyle w:val="Compact"/>
        <w:numPr>
          <w:ilvl w:val="0"/>
          <w:numId w:val="1002"/>
        </w:numPr>
      </w:pPr>
      <w:r>
        <w:t xml:space="preserve">ISO/TS 22002-1:2009 §11 (نفايات المنتج)</w:t>
      </w:r>
    </w:p>
    <w:p>
      <w:pPr>
        <w:pStyle w:val="Compact"/>
        <w:numPr>
          <w:ilvl w:val="0"/>
          <w:numId w:val="1002"/>
        </w:numPr>
      </w:pPr>
      <w:r>
        <w:t xml:space="preserve">ISO/TS 22002-1:2009 §18 (الدفاع عن الغذاء)</w:t>
      </w:r>
    </w:p>
    <w:p>
      <w:pPr>
        <w:pStyle w:val="Compact"/>
        <w:numPr>
          <w:ilvl w:val="0"/>
          <w:numId w:val="1002"/>
        </w:numPr>
      </w:pPr>
      <w:r>
        <w:t xml:space="preserve">المواصفة القياسية المصرية ES 1589/2007 (مياه الشرب المعبأة)</w:t>
      </w:r>
    </w:p>
    <w:p>
      <w:pPr>
        <w:pStyle w:val="Compact"/>
        <w:numPr>
          <w:ilvl w:val="0"/>
          <w:numId w:val="1002"/>
        </w:numPr>
      </w:pPr>
      <w:r>
        <w:t xml:space="preserve">المواصفة القياسية المصرية ES 190 (مياه معدنية طبيعية)</w:t>
      </w:r>
    </w:p>
    <w:p>
      <w:pPr>
        <w:pStyle w:val="Compact"/>
        <w:numPr>
          <w:ilvl w:val="0"/>
          <w:numId w:val="1002"/>
        </w:numPr>
      </w:pPr>
      <w:r>
        <w:t xml:space="preserve">لائحة الهيئة القومية لسلامة الغذاء NFSA (قرار 6/2023 وتعديلاته) – خاصة المواد 10، 12، 18.</w:t>
      </w:r>
    </w:p>
    <w:p>
      <w:pPr>
        <w:pStyle w:val="Compact"/>
        <w:numPr>
          <w:ilvl w:val="0"/>
          <w:numId w:val="1002"/>
        </w:numPr>
      </w:pPr>
      <w:r>
        <w:t xml:space="preserve">قرار وزير الصحة 458/2007 ولوائحه التنفيذية (بشأن المياه المعبأة).</w:t>
      </w:r>
    </w:p>
    <w:p>
      <w:pPr>
        <w:pStyle w:val="Compact"/>
        <w:numPr>
          <w:ilvl w:val="0"/>
          <w:numId w:val="1002"/>
        </w:numPr>
      </w:pPr>
      <w:r>
        <w:t xml:space="preserve">Codex Alimentarius CAC/RCP 1-1969 rev. 2020 (مبادئ الـ HACCP).</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الدور</w:t>
            </w:r>
          </w:p>
        </w:tc>
        <w:tc>
          <w:tcPr/>
          <w:p>
            <w:pPr>
              <w:pStyle w:val="Compact"/>
            </w:pPr>
            <w:r>
              <w:t xml:space="preserve">المسؤوليات (RACI)</w:t>
            </w:r>
          </w:p>
        </w:tc>
      </w:tr>
      <w:tr>
        <w:tc>
          <w:tcPr/>
          <w:p>
            <w:pPr>
              <w:pStyle w:val="Compact"/>
            </w:pPr>
            <w:r>
              <w:rPr>
                <w:b/>
                <w:bCs/>
              </w:rPr>
              <w:t xml:space="preserve">فريق قيادة الاستجابة للطوارئ (ERT Lead)</w:t>
            </w:r>
            <w:r>
              <w:t xml:space="preserve"> </w:t>
            </w:r>
            <w:r>
              <w:t xml:space="preserve"> </w:t>
            </w:r>
            <w:r>
              <w:t xml:space="preserve">(ممثل الإدارة/مدير الجودة)</w:t>
            </w:r>
          </w:p>
        </w:tc>
        <w:tc>
          <w:tcPr/>
          <w:p>
            <w:pPr>
              <w:pStyle w:val="Compact"/>
            </w:pPr>
            <w:r>
              <w:rPr>
                <w:b/>
                <w:bCs/>
              </w:rPr>
              <w:t xml:space="preserve">R</w:t>
            </w:r>
            <w:r>
              <w:t xml:space="preserve">: السلطة النهائية في اتخاذ القرارات أثناء الطوارئ، ضمان فعالية الخطط وتطبيقها.</w:t>
            </w:r>
            <w:r>
              <w:t xml:space="preserve"> </w:t>
            </w:r>
            <w:r>
              <w:t xml:space="preserve"> </w:t>
            </w:r>
            <w:r>
              <w:rPr>
                <w:b/>
                <w:bCs/>
              </w:rPr>
              <w:t xml:space="preserve">A</w:t>
            </w:r>
            <w:r>
              <w:t xml:space="preserve">: يراجع ويوافق على خطط الطوارئ، يمثل حلقة الوصل مع الإدارة العليا.</w:t>
            </w:r>
            <w:r>
              <w:t xml:space="preserve"> </w:t>
            </w:r>
            <w:r>
              <w:t xml:space="preserve"> </w:t>
            </w:r>
            <w:r>
              <w:rPr>
                <w:b/>
                <w:bCs/>
              </w:rPr>
              <w:t xml:space="preserve">C</w:t>
            </w:r>
            <w:r>
              <w:t xml:space="preserve">: يبلغ الإدارة العليا وممثليهم عن أي حوادث طارئة، يشارك في مراجعات الأداء.</w:t>
            </w:r>
            <w:r>
              <w:t xml:space="preserve"> </w:t>
            </w:r>
            <w:r>
              <w:t xml:space="preserve"> </w:t>
            </w:r>
            <w:r>
              <w:rPr>
                <w:b/>
                <w:bCs/>
              </w:rPr>
              <w:t xml:space="preserve">I</w:t>
            </w:r>
            <w:r>
              <w:t xml:space="preserve">: يُطلع على أحدث المتطلبات والتشريعات ذات الصلة.</w:t>
            </w:r>
          </w:p>
        </w:tc>
      </w:tr>
      <w:tr>
        <w:tc>
          <w:tcPr/>
          <w:p>
            <w:pPr>
              <w:pStyle w:val="Compact"/>
            </w:pPr>
            <w:r>
              <w:rPr>
                <w:b/>
                <w:bCs/>
              </w:rPr>
              <w:t xml:space="preserve">قائد فريق سلامة الغذاء (FST Lead)</w:t>
            </w:r>
          </w:p>
        </w:tc>
        <w:tc>
          <w:tcPr/>
          <w:p>
            <w:pPr>
              <w:pStyle w:val="Compact"/>
            </w:pPr>
            <w:r>
              <w:rPr>
                <w:b/>
                <w:bCs/>
              </w:rPr>
              <w:t xml:space="preserve">R</w:t>
            </w:r>
            <w:r>
              <w:t xml:space="preserve">: تحديد وتقييم سيناريوهات الطوارئ ذات الصلة بسلامة الغذاء، تطوير خطط الاستجابة ذات الصلة.</w:t>
            </w:r>
            <w:r>
              <w:t xml:space="preserve"> </w:t>
            </w:r>
            <w:r>
              <w:t xml:space="preserve"> </w:t>
            </w:r>
            <w:r>
              <w:rPr>
                <w:b/>
                <w:bCs/>
              </w:rPr>
              <w:t xml:space="preserve">A</w:t>
            </w:r>
            <w:r>
              <w:t xml:space="preserve">: يوافق على تقييمات المخاطر والخطط الخاصة بسلامة الغذاء.</w:t>
            </w:r>
            <w:r>
              <w:t xml:space="preserve"> </w:t>
            </w:r>
            <w:r>
              <w:t xml:space="preserve"> </w:t>
            </w:r>
            <w:r>
              <w:rPr>
                <w:b/>
                <w:bCs/>
              </w:rPr>
              <w:t xml:space="preserve">C</w:t>
            </w:r>
            <w:r>
              <w:t xml:space="preserve">: يقدم المشورة الفنية لـ ERT Lead حول تداعيات الطوارئ على سلامة الغذاء.</w:t>
            </w:r>
            <w:r>
              <w:t xml:space="preserve"> </w:t>
            </w:r>
            <w:r>
              <w:t xml:space="preserve"> </w:t>
            </w:r>
            <w:r>
              <w:rPr>
                <w:b/>
                <w:bCs/>
              </w:rPr>
              <w:t xml:space="preserve">I</w:t>
            </w:r>
            <w:r>
              <w:t xml:space="preserve">: يُطلع على نتائج اختبار الخطط وأية حوادث تتعلق بسلامة الغذاء.</w:t>
            </w:r>
          </w:p>
        </w:tc>
      </w:tr>
      <w:tr>
        <w:tc>
          <w:tcPr/>
          <w:p>
            <w:pPr>
              <w:pStyle w:val="Compact"/>
            </w:pPr>
            <w:r>
              <w:rPr>
                <w:b/>
                <w:bCs/>
              </w:rPr>
              <w:t xml:space="preserve">مسؤول السلامة والصحة المهنية</w:t>
            </w:r>
          </w:p>
        </w:tc>
        <w:tc>
          <w:tcPr/>
          <w:p>
            <w:pPr>
              <w:pStyle w:val="Compact"/>
            </w:pPr>
            <w:r>
              <w:rPr>
                <w:b/>
                <w:bCs/>
              </w:rPr>
              <w:t xml:space="preserve">R</w:t>
            </w:r>
            <w:r>
              <w:t xml:space="preserve">: تطوير خطط الاستجابة للطوارئ المتعلقة بالحرائق والإخلاء والسلامة العامة، التنسيق مع الجهات الخارجية (الدفاع المدني).</w:t>
            </w:r>
            <w:r>
              <w:t xml:space="preserve"> </w:t>
            </w:r>
            <w:r>
              <w:t xml:space="preserve"> </w:t>
            </w:r>
            <w:r>
              <w:rPr>
                <w:b/>
                <w:bCs/>
              </w:rPr>
              <w:t xml:space="preserve">A</w:t>
            </w:r>
            <w:r>
              <w:t xml:space="preserve">: يراجع ويوافق على جوانب خطط الطوارئ المتعلقة بالسلامة.</w:t>
            </w:r>
            <w:r>
              <w:t xml:space="preserve"> </w:t>
            </w:r>
            <w:r>
              <w:t xml:space="preserve"> </w:t>
            </w:r>
            <w:r>
              <w:rPr>
                <w:b/>
                <w:bCs/>
              </w:rPr>
              <w:t xml:space="preserve">C</w:t>
            </w:r>
            <w:r>
              <w:t xml:space="preserve">: يبلغ فريق الطوارئ بالاحتياجات التدريبية ومعدات السلامة.</w:t>
            </w:r>
            <w:r>
              <w:t xml:space="preserve"> </w:t>
            </w:r>
            <w:r>
              <w:t xml:space="preserve"> </w:t>
            </w:r>
            <w:r>
              <w:rPr>
                <w:b/>
                <w:bCs/>
              </w:rPr>
              <w:t xml:space="preserve">I</w:t>
            </w:r>
            <w:r>
              <w:t xml:space="preserve">: يُطلع على أية حوادث أو اختبارات تتعلق بالسلامة.</w:t>
            </w:r>
          </w:p>
        </w:tc>
      </w:tr>
      <w:tr>
        <w:tc>
          <w:tcPr/>
          <w:p>
            <w:pPr>
              <w:pStyle w:val="Compact"/>
            </w:pPr>
            <w:r>
              <w:rPr>
                <w:b/>
                <w:bCs/>
              </w:rPr>
              <w:t xml:space="preserve">مدير الإنتاج</w:t>
            </w:r>
          </w:p>
        </w:tc>
        <w:tc>
          <w:tcPr/>
          <w:p>
            <w:pPr>
              <w:pStyle w:val="Compact"/>
            </w:pPr>
            <w:r>
              <w:rPr>
                <w:b/>
                <w:bCs/>
              </w:rPr>
              <w:t xml:space="preserve">R</w:t>
            </w:r>
            <w:r>
              <w:t xml:space="preserve">: تنفيذ إجراءات الإغلاق الآمن للمعدات والخطوط، ضمان تطبيق خطط الاستجابة في مناطق الإنتاج.</w:t>
            </w:r>
            <w:r>
              <w:t xml:space="preserve"> </w:t>
            </w:r>
            <w:r>
              <w:t xml:space="preserve"> </w:t>
            </w:r>
            <w:r>
              <w:rPr>
                <w:b/>
                <w:bCs/>
              </w:rPr>
              <w:t xml:space="preserve">A</w:t>
            </w:r>
            <w:r>
              <w:t xml:space="preserve">: يشارك في وضع خطط الاستجابة المتعلقة بالعمليات الإنتاجية.</w:t>
            </w:r>
            <w:r>
              <w:t xml:space="preserve"> </w:t>
            </w:r>
            <w:r>
              <w:t xml:space="preserve"> </w:t>
            </w:r>
            <w:r>
              <w:rPr>
                <w:b/>
                <w:bCs/>
              </w:rPr>
              <w:t xml:space="preserve">C</w:t>
            </w:r>
            <w:r>
              <w:t xml:space="preserve">: يبلغ عن أي مشكلات قد تؤثر على استئناف العمليات.</w:t>
            </w:r>
            <w:r>
              <w:t xml:space="preserve"> </w:t>
            </w:r>
            <w:r>
              <w:t xml:space="preserve"> </w:t>
            </w:r>
            <w:r>
              <w:rPr>
                <w:b/>
                <w:bCs/>
              </w:rPr>
              <w:t xml:space="preserve">I</w:t>
            </w:r>
            <w:r>
              <w:t xml:space="preserve">: يُطلع على نتائج مراجعات خطط الطوارئ.</w:t>
            </w:r>
          </w:p>
        </w:tc>
      </w:tr>
      <w:tr>
        <w:tc>
          <w:tcPr/>
          <w:p>
            <w:pPr>
              <w:pStyle w:val="Compact"/>
            </w:pPr>
            <w:r>
              <w:rPr>
                <w:b/>
                <w:bCs/>
              </w:rPr>
              <w:t xml:space="preserve">مدير الصيانة</w:t>
            </w:r>
          </w:p>
        </w:tc>
        <w:tc>
          <w:tcPr/>
          <w:p>
            <w:pPr>
              <w:pStyle w:val="Compact"/>
            </w:pPr>
            <w:r>
              <w:rPr>
                <w:b/>
                <w:bCs/>
              </w:rPr>
              <w:t xml:space="preserve">R</w:t>
            </w:r>
            <w:r>
              <w:t xml:space="preserve">: ضمان جاهزية وفعالية أنظمة الطوارئ (مولدات، مضخات، أنظمة إطفاء)، الاستجابة للأعطال الحرجة.</w:t>
            </w:r>
            <w:r>
              <w:t xml:space="preserve"> </w:t>
            </w:r>
            <w:r>
              <w:t xml:space="preserve"> </w:t>
            </w:r>
            <w:r>
              <w:rPr>
                <w:b/>
                <w:bCs/>
              </w:rPr>
              <w:t xml:space="preserve">A</w:t>
            </w:r>
            <w:r>
              <w:t xml:space="preserve">: يشارك في تقييم مدى جاهزية المعدات.</w:t>
            </w:r>
            <w:r>
              <w:t xml:space="preserve"> </w:t>
            </w:r>
            <w:r>
              <w:t xml:space="preserve"> </w:t>
            </w:r>
            <w:r>
              <w:rPr>
                <w:b/>
                <w:bCs/>
              </w:rPr>
              <w:t xml:space="preserve">C</w:t>
            </w:r>
            <w:r>
              <w:t xml:space="preserve">: يقدم تقارير عن صيانة واختبار أنظمة الطوارئ.</w:t>
            </w:r>
            <w:r>
              <w:t xml:space="preserve"> </w:t>
            </w:r>
            <w:r>
              <w:t xml:space="preserve"> </w:t>
            </w:r>
            <w:r>
              <w:rPr>
                <w:b/>
                <w:bCs/>
              </w:rPr>
              <w:t xml:space="preserve">I</w:t>
            </w:r>
            <w:r>
              <w:t xml:space="preserve">: يُطلع على نتائج اختبارات الطوارئ المتعلقة بالمعدات.</w:t>
            </w:r>
          </w:p>
        </w:tc>
      </w:tr>
      <w:tr>
        <w:tc>
          <w:tcPr/>
          <w:p>
            <w:pPr>
              <w:pStyle w:val="Compact"/>
            </w:pPr>
            <w:r>
              <w:rPr>
                <w:b/>
                <w:bCs/>
              </w:rPr>
              <w:t xml:space="preserve">مسؤول الموارد البشرية</w:t>
            </w:r>
          </w:p>
        </w:tc>
        <w:tc>
          <w:tcPr/>
          <w:p>
            <w:pPr>
              <w:pStyle w:val="Compact"/>
            </w:pPr>
            <w:r>
              <w:rPr>
                <w:b/>
                <w:bCs/>
              </w:rPr>
              <w:t xml:space="preserve">R</w:t>
            </w:r>
            <w:r>
              <w:t xml:space="preserve">: إدارة عمليات الإخلاء وتجميع الأفراد، تحديد نقاط التجمع، تقديم الدعم للمتضررين، تنسيق الدورات التدريبية على الطوارئ.</w:t>
            </w:r>
            <w:r>
              <w:t xml:space="preserve"> </w:t>
            </w:r>
            <w:r>
              <w:t xml:space="preserve"> </w:t>
            </w:r>
            <w:r>
              <w:rPr>
                <w:b/>
                <w:bCs/>
              </w:rPr>
              <w:t xml:space="preserve">A</w:t>
            </w:r>
            <w:r>
              <w:t xml:space="preserve">: يراجع سياسات وإجراءات التعامل مع الموظفين أثناء الطوارئ.</w:t>
            </w:r>
            <w:r>
              <w:t xml:space="preserve"> </w:t>
            </w:r>
            <w:r>
              <w:t xml:space="preserve"> </w:t>
            </w:r>
            <w:r>
              <w:rPr>
                <w:b/>
                <w:bCs/>
              </w:rPr>
              <w:t xml:space="preserve">C</w:t>
            </w:r>
            <w:r>
              <w:t xml:space="preserve">: يقدم معلومات حول سجلات التدريب وعدد المستجيبين.</w:t>
            </w:r>
            <w:r>
              <w:t xml:space="preserve"> </w:t>
            </w:r>
            <w:r>
              <w:t xml:space="preserve"> </w:t>
            </w:r>
            <w:r>
              <w:rPr>
                <w:b/>
                <w:bCs/>
              </w:rPr>
              <w:t xml:space="preserve">I</w:t>
            </w:r>
            <w:r>
              <w:t xml:space="preserve">: يُطلع على أية حوادث تؤثر على الأفراد.</w:t>
            </w:r>
          </w:p>
        </w:tc>
      </w:tr>
      <w:tr>
        <w:tc>
          <w:tcPr/>
          <w:p>
            <w:pPr>
              <w:pStyle w:val="Compact"/>
            </w:pPr>
            <w:r>
              <w:rPr>
                <w:b/>
                <w:bCs/>
              </w:rPr>
              <w:t xml:space="preserve">جميع العاملين</w:t>
            </w:r>
          </w:p>
        </w:tc>
        <w:tc>
          <w:tcPr/>
          <w:p>
            <w:pPr>
              <w:pStyle w:val="Compact"/>
            </w:pPr>
            <w:r>
              <w:rPr>
                <w:b/>
                <w:bCs/>
              </w:rPr>
              <w:t xml:space="preserve">R</w:t>
            </w:r>
            <w:r>
              <w:t xml:space="preserve">: الالتزام بتعليمات الطوارئ، الإبلاغ الفوري عن أي حوادث أو مواقف مشبوهة، المشاركة في التدريبات.</w:t>
            </w:r>
            <w:r>
              <w:t xml:space="preserve"> </w:t>
            </w:r>
            <w:r>
              <w:t xml:space="preserve"> </w:t>
            </w:r>
            <w:r>
              <w:rPr>
                <w:b/>
                <w:bCs/>
              </w:rPr>
              <w:t xml:space="preserve">A</w:t>
            </w:r>
            <w:r>
              <w:t xml:space="preserve">: يقومون بتطبيق الإجراءات عند الضرورة.</w:t>
            </w:r>
            <w:r>
              <w:t xml:space="preserve"> </w:t>
            </w:r>
            <w:r>
              <w:t xml:space="preserve"> </w:t>
            </w:r>
            <w:r>
              <w:rPr>
                <w:b/>
                <w:bCs/>
              </w:rPr>
              <w:t xml:space="preserve">C</w:t>
            </w:r>
            <w:r>
              <w:t xml:space="preserve">: يبلغون مشرفيهم عن أي مخاطر محتملة.</w:t>
            </w:r>
            <w:r>
              <w:t xml:space="preserve"> </w:t>
            </w:r>
            <w:r>
              <w:t xml:space="preserve"> </w:t>
            </w:r>
            <w:r>
              <w:rPr>
                <w:b/>
                <w:bCs/>
              </w:rPr>
              <w:t xml:space="preserve">I</w:t>
            </w:r>
            <w:r>
              <w:t xml:space="preserve">: يُعلمون بخطط الطوارئ وتحديثاتها.</w:t>
            </w:r>
          </w:p>
        </w:tc>
      </w:tr>
    </w:tbl>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تشكيل فريق الاستعداد والاستجابة للطوارئ (ERT)</w:t>
      </w:r>
      <w:r>
        <w:t xml:space="preserve"> </w:t>
      </w:r>
      <w:r>
        <w:t xml:space="preserve">6-1-1. يتم تشكيل فريق الاستعداد والاستجابة للطوارئ (ERT) بقرار رسمي من الإدارة العليا، مع تحديد قائد الفريق وأعضائه الرئيسيين (من التخصصات المذكورة في المسؤوليات).</w:t>
      </w:r>
      <w:r>
        <w:t xml:space="preserve"> </w:t>
      </w:r>
      <w:r>
        <w:t xml:space="preserve">6-1-2. يقوم قائد الفريق بتحديد صلاحيات ومسؤوليات كل عضو، وتوزيع الأدوار بوضوح داخل الفريق، مع إبلاغ جميع العاملين بتشكيل الفريق ومهامهم. (المرجع: ISO 22000:2018 §5.3).</w:t>
      </w:r>
      <w:r>
        <w:t xml:space="preserve"> </w:t>
      </w:r>
      <w:r>
        <w:t xml:space="preserve">6-1-3. يعقد الفريق اجتماعات دورية (لا تقل عن مرة كل ستة أشهر) وكلما دعت الحاجة لمراجعة وتقييم المخاطر وتحديث خطط الطوارئ. (المرجع: FSSC 22000 v6 Annex V.2.1).</w:t>
      </w:r>
    </w:p>
    <w:p>
      <w:pPr>
        <w:pStyle w:val="BodyText"/>
      </w:pPr>
      <w:r>
        <w:rPr>
          <w:b/>
          <w:bCs/>
        </w:rPr>
        <w:t xml:space="preserve">6-2. تحديد وتقييم حالات الطوارئ والحوادث المحتملة على سلامة الغذاء</w:t>
      </w:r>
      <w:r>
        <w:t xml:space="preserve"> </w:t>
      </w:r>
      <w:r>
        <w:t xml:space="preserve">6-2-1. يقوم FST Lead، بالتعاون مع ERT، بإجراء تقييم شامل للمخاطر لتحديد جميع حالات الطوارئ والحوادث المحتملة التي قد تؤثر على سلامة الغذاء (المياه المعبأة). يشمل التقييم ما يلي:</w:t>
      </w:r>
      <w:r>
        <w:t xml:space="preserve"> </w:t>
      </w:r>
      <w:r>
        <w:t xml:space="preserve">أ.</w:t>
      </w:r>
      <w:r>
        <w:t xml:space="preserve"> </w:t>
      </w:r>
      <w:r>
        <w:rPr>
          <w:b/>
          <w:bCs/>
        </w:rPr>
        <w:t xml:space="preserve">الكوارث الطبيعية</w:t>
      </w:r>
      <w:r>
        <w:t xml:space="preserve">: الحرائق، الزلازل، الفيضانات/السيول، العواصف الشديدة.</w:t>
      </w:r>
      <w:r>
        <w:t xml:space="preserve"> </w:t>
      </w:r>
      <w:r>
        <w:t xml:space="preserve">ب.</w:t>
      </w:r>
      <w:r>
        <w:t xml:space="preserve"> </w:t>
      </w:r>
      <w:r>
        <w:rPr>
          <w:b/>
          <w:bCs/>
        </w:rPr>
        <w:t xml:space="preserve">الحوادث التكنولوجية/الصناعية</w:t>
      </w:r>
      <w:r>
        <w:t xml:space="preserve">: انقطاع التيار الكهربائي طويل الأمد، انقطاع إمدادات المياه النقية، فشل أنظمة التبريد/التعقيم/المعالجة، تسرب المواد الكيميائية (مواد التنظيف، الكيماويات المعالجة)، تعطل المعدات الحيوية للإنتاج.</w:t>
      </w:r>
      <w:r>
        <w:t xml:space="preserve"> </w:t>
      </w:r>
      <w:r>
        <w:t xml:space="preserve">ج.</w:t>
      </w:r>
      <w:r>
        <w:t xml:space="preserve"> </w:t>
      </w:r>
      <w:r>
        <w:rPr>
          <w:b/>
          <w:bCs/>
        </w:rPr>
        <w:t xml:space="preserve">أزمات سلامة الغذاء</w:t>
      </w:r>
      <w:r>
        <w:t xml:space="preserve">: تلوث المياه الخام أو المنتج النهائي، استدعاء المنتجات، اكتشاف مواد غريبة، تفشي الأمراض المنقولة بالغذاء.</w:t>
      </w:r>
      <w:r>
        <w:t xml:space="preserve"> </w:t>
      </w:r>
      <w:r>
        <w:t xml:space="preserve">د.</w:t>
      </w:r>
      <w:r>
        <w:t xml:space="preserve"> </w:t>
      </w:r>
      <w:r>
        <w:rPr>
          <w:b/>
          <w:bCs/>
        </w:rPr>
        <w:t xml:space="preserve">التهديدات الأمنية المتعمدة (Food Defense)</w:t>
      </w:r>
      <w:r>
        <w:t xml:space="preserve">: التخريب المتعمد للمنشأة، تلويث المنتج بقصد الإضرار، استخدام خامات مغشوشة عن عمد.</w:t>
      </w:r>
      <w:r>
        <w:t xml:space="preserve"> </w:t>
      </w:r>
      <w:r>
        <w:t xml:space="preserve">هـ.</w:t>
      </w:r>
      <w:r>
        <w:t xml:space="preserve"> </w:t>
      </w:r>
      <w:r>
        <w:rPr>
          <w:b/>
          <w:bCs/>
        </w:rPr>
        <w:t xml:space="preserve">الأوبئة وحالات الطوارئ الصحية العامة</w:t>
      </w:r>
      <w:r>
        <w:t xml:space="preserve">: التي تؤثر على توفر القوى العاملة أو تتطلب إجراءات خاصة للسلامة.</w:t>
      </w:r>
      <w:r>
        <w:t xml:space="preserve"> </w:t>
      </w:r>
      <w:r>
        <w:t xml:space="preserve">(المرجع: ISO 22000:2018 §6.1.2، FSSC 22000 v6 Annex V.1، ISO/TS 22002-1 §§4, 5, 10, 11, 18).</w:t>
      </w:r>
      <w:r>
        <w:t xml:space="preserve"> </w:t>
      </w:r>
      <w:r>
        <w:t xml:space="preserve">6-2-2. يتم تقييم كل حالة طوارئ محتملة لتحديد مستوى المخاطر المرتبطة بها (الاحتمالية والشدة على سلامة الغذاء وسمعة المنظمة)، وتحديد الموارد اللازمة للاستجابة. (المرجع: ISO 22000:2018 §6.1.2).</w:t>
      </w:r>
      <w:r>
        <w:t xml:space="preserve"> </w:t>
      </w:r>
      <w:r>
        <w:t xml:space="preserve">6-2-3. يتم توثيق هذه التقييمات في وثيقة</w:t>
      </w:r>
      <w:r>
        <w:t xml:space="preserve"> </w:t>
      </w:r>
      <w:r>
        <w:t xml:space="preserve">“سجل تحديد وتقييم الطوارئ”</w:t>
      </w:r>
      <w:r>
        <w:t xml:space="preserve">، مع مراجعتها وتحديثها بانتظام (سنويًا أو عند حدوث تغييرات جوهرية). (المرجع: ISO 22000:2018 §7.5).</w:t>
      </w:r>
    </w:p>
    <w:p>
      <w:pPr>
        <w:pStyle w:val="BodyText"/>
      </w:pPr>
      <w:r>
        <w:rPr>
          <w:b/>
          <w:bCs/>
        </w:rPr>
        <w:t xml:space="preserve">6-3. تطوير خطة الاستعداد والاستجابة للطوارئ (Emergency Preparedness and Response Plan EDP)</w:t>
      </w:r>
      <w:r>
        <w:t xml:space="preserve"> </w:t>
      </w:r>
      <w:r>
        <w:t xml:space="preserve">6-3-1. يقوم ERT Lead بتجميع</w:t>
      </w:r>
      <w:r>
        <w:t xml:space="preserve"> </w:t>
      </w:r>
      <w:r>
        <w:t xml:space="preserve">“خطة الاستعداد والاستجابة للطوارئ (EDP)”</w:t>
      </w:r>
      <w:r>
        <w:t xml:space="preserve"> </w:t>
      </w:r>
      <w:r>
        <w:t xml:space="preserve">بناءً على تقييم المخاطر، ويجب أن تتضمن الخطة على الأقل ما يلي لكل سيناريو طارئ:</w:t>
      </w:r>
      <w:r>
        <w:t xml:space="preserve"> </w:t>
      </w:r>
      <w:r>
        <w:t xml:space="preserve">أ. وصف مفصل لحالة الطوارئ المحتملة.</w:t>
      </w:r>
      <w:r>
        <w:t xml:space="preserve"> </w:t>
      </w:r>
      <w:r>
        <w:t xml:space="preserve">ب. الإجراءات الفورية المتخذة للاستجابة (من/ماذا/متى/أين/كيف).</w:t>
      </w:r>
      <w:r>
        <w:t xml:space="preserve"> </w:t>
      </w:r>
      <w:r>
        <w:t xml:space="preserve">ج. المسؤوليات المحددة للأفراد والأقسام.</w:t>
      </w:r>
      <w:r>
        <w:t xml:space="preserve"> </w:t>
      </w:r>
      <w:r>
        <w:t xml:space="preserve">د. الموارد المطلوبة (معدات، مواد، أفراد متخصصون، عقود مع جهات خارجية).</w:t>
      </w:r>
      <w:r>
        <w:t xml:space="preserve"> </w:t>
      </w:r>
      <w:r>
        <w:t xml:space="preserve">هـ. إجراءات الاتصال الداخلية والخارجية (الجهات الحكومية مثل NFSA والجهات المختصة، العملاء، وسائل الإعلام).</w:t>
      </w:r>
      <w:r>
        <w:t xml:space="preserve"> </w:t>
      </w:r>
      <w:r>
        <w:t xml:space="preserve">و. إجراءات الإخلاء ونقاط التجمع الآمنة.</w:t>
      </w:r>
      <w:r>
        <w:t xml:space="preserve"> </w:t>
      </w:r>
      <w:r>
        <w:t xml:space="preserve">ز. إجراءات عزل المنتجات المشتبه بها والتخلص منها بأمان.</w:t>
      </w:r>
      <w:r>
        <w:t xml:space="preserve"> </w:t>
      </w:r>
      <w:r>
        <w:t xml:space="preserve">ح. إجراءات التحقق من سلامة الغذاء قبل وبعد استئناف العمليات.</w:t>
      </w:r>
      <w:r>
        <w:t xml:space="preserve"> </w:t>
      </w:r>
      <w:r>
        <w:t xml:space="preserve">ط. خطط التعافي واستمرارية العمل.</w:t>
      </w:r>
      <w:r>
        <w:t xml:space="preserve"> </w:t>
      </w:r>
      <w:r>
        <w:t xml:space="preserve">(المرجع: ISO 22000:2018 §8.4.1، FSSC 22000 v6 Annex V.1، NFSA قرار 6/2023 المادة 10).</w:t>
      </w:r>
      <w:r>
        <w:t xml:space="preserve"> </w:t>
      </w:r>
      <w:r>
        <w:t xml:space="preserve">6-3-2. يجب أن تتضمن الخطة خرائط للمنشأة توضح مسارات الإخلاء، مواقع معدات الطوارئ (طفايات الحريق، صناديق الإسعافات الأولية)، ونقاط التجمع.</w:t>
      </w:r>
      <w:r>
        <w:t xml:space="preserve"> </w:t>
      </w:r>
      <w:r>
        <w:t xml:space="preserve">6-3-3. يجب أن تتضمن الخطة بشكل خاص إجراءات مفصلة للتعامل مع انقطاع المرافق الحيوية:</w:t>
      </w:r>
      <w:r>
        <w:t xml:space="preserve"> </w:t>
      </w:r>
      <w:r>
        <w:t xml:space="preserve">أ.</w:t>
      </w:r>
      <w:r>
        <w:t xml:space="preserve"> </w:t>
      </w:r>
      <w:r>
        <w:rPr>
          <w:b/>
          <w:bCs/>
        </w:rPr>
        <w:t xml:space="preserve">انقطاع التيار الكهربائي (لمدة تزيد عن 30 دقيقة)</w:t>
      </w:r>
      <w:r>
        <w:t xml:space="preserve">:</w:t>
      </w:r>
      <w:r>
        <w:t xml:space="preserve"> </w:t>
      </w:r>
      <w:r>
        <w:t xml:space="preserve">- إيقاف خطوط الإنتاج والمعدات الحساسة بشكل آمن.</w:t>
      </w:r>
      <w:r>
        <w:t xml:space="preserve"> </w:t>
      </w:r>
      <w:r>
        <w:t xml:space="preserve">- عزل محبس خروج خط المنتج النهائي للحماية من التراجع.</w:t>
      </w:r>
      <w:r>
        <w:t xml:space="preserve"> </w:t>
      </w:r>
      <w:r>
        <w:t xml:space="preserve">- تفريغ فوري لمواد التعبئة والتغليف المفتوحة وتجميعها في حاويات النفايات المخصصة أو مناطق آمنة، مع التأكد من عدم تلوثها.</w:t>
      </w:r>
      <w:r>
        <w:t xml:space="preserve"> </w:t>
      </w:r>
      <w:r>
        <w:t xml:space="preserve">- تشغيل مولدات الطوارئ للمرافق الحيوية (إضاءة الطوارئ، أنظمة التحكم في البيئة للمناطق الحساسة إن وجدت، ضواغط الهواء، أنظمة المراقبة).</w:t>
      </w:r>
      <w:r>
        <w:t xml:space="preserve"> </w:t>
      </w:r>
      <w:r>
        <w:t xml:space="preserve">- مراقبة درجات الحرارة في مناطق التخزين الحساسة (إن وجدت) لضمان عدم تعرض المنتج للتلف.</w:t>
      </w:r>
      <w:r>
        <w:t xml:space="preserve"> </w:t>
      </w:r>
      <w:r>
        <w:t xml:space="preserve">- بعد عودة الكهرباء: يتم تفريغ المواسير المغذية لماكينات الفلتر والجالون من أي مياه راكدة، ثم يتم شطف الخطوط بالمياه المعالجة والمعقمة لمدة 15 دقيقة على الأقل، يتم بعدها أخذ عينات من المياه للتحليل البكتيري والكيميائي للتأكد من مطابقتها للمواصفات قبل استئناف الإنتاج. (المرجع: ISO 22000:2018 §8.4.1(d)، ISO/TS 22002-1 §5).</w:t>
      </w:r>
      <w:r>
        <w:t xml:space="preserve"> </w:t>
      </w:r>
      <w:r>
        <w:t xml:space="preserve">ب.</w:t>
      </w:r>
      <w:r>
        <w:t xml:space="preserve"> </w:t>
      </w:r>
      <w:r>
        <w:rPr>
          <w:b/>
          <w:bCs/>
        </w:rPr>
        <w:t xml:space="preserve">انقطاع إمداد مياه البلدية/المياه الخام (لمدة تزيد عن 15 دقيقة)</w:t>
      </w:r>
      <w:r>
        <w:t xml:space="preserve">:</w:t>
      </w:r>
      <w:r>
        <w:t xml:space="preserve"> </w:t>
      </w:r>
      <w:r>
        <w:t xml:space="preserve">- وقف فوري لجميع عمليات الإنتاج التي تعتمد على المياه.</w:t>
      </w:r>
      <w:r>
        <w:t xml:space="preserve"> </w:t>
      </w:r>
      <w:r>
        <w:t xml:space="preserve">- عزل خطوط المياه الواردة وضمان إغلاق المحابس.</w:t>
      </w:r>
      <w:r>
        <w:t xml:space="preserve"> </w:t>
      </w:r>
      <w:r>
        <w:t xml:space="preserve">- استخدام مخزون المياه المعالجة الاحتياطي في الخزانات إذا كان متاحًا ومناسبًا فقط للعمليات الحيوية، مع مراقبة مستوى المخزون.</w:t>
      </w:r>
      <w:r>
        <w:t xml:space="preserve"> </w:t>
      </w:r>
      <w:r>
        <w:t xml:space="preserve">- منع دخول أي شخص غير مصرح له إلى مناطق الإنتاج للحفاظ على مستوى النظافة.</w:t>
      </w:r>
      <w:r>
        <w:t xml:space="preserve"> </w:t>
      </w:r>
      <w:r>
        <w:t xml:space="preserve">- بعد عودة المياه: يتم إجراء شطف شامل لجميع المواسير والخزانات المتأثرة بالمياه الجديدة، مع أخذ عينات مكثفة للتحليل الكيميائي والميكروبيولوجي (تشمل مؤشرات التلوث مثل البكتيريا الكلية، القولونيات، السويدوموناس) قبل السماح باستئناف الإنتاج. (المرجع: ISO 22000:2018 §8.4.1(d)، ISO/TS 22002-1 §5).</w:t>
      </w:r>
    </w:p>
    <w:p>
      <w:pPr>
        <w:pStyle w:val="BodyText"/>
      </w:pPr>
      <w:r>
        <w:rPr>
          <w:b/>
          <w:bCs/>
        </w:rPr>
        <w:t xml:space="preserve">6-4. الدفاع عن الغذاء والاحتيال الغذائي</w:t>
      </w:r>
      <w:r>
        <w:t xml:space="preserve"> </w:t>
      </w:r>
      <w:r>
        <w:t xml:space="preserve">6-4-1. يتم إعداد خطة منفصلة للدفاع عن الغذاء والاحتيال الغذائي (Food Defense &amp; Food Fraud Plan) وتكون مرتبطة بهذا الإجراء. (المرجع: FSSC 22000 v6 Annex V.1 و ISO/TS 22002-1 §18).</w:t>
      </w:r>
      <w:r>
        <w:t xml:space="preserve"> </w:t>
      </w:r>
      <w:r>
        <w:t xml:space="preserve">6-4-2. يجب أن تتضمن الخطة الإجراءات الوقائية التالية على الأقل:</w:t>
      </w:r>
      <w:r>
        <w:t xml:space="preserve"> </w:t>
      </w:r>
      <w:r>
        <w:t xml:space="preserve">أ. حماية مصادر ونقاط سحب المياه (آبار، خزانات).</w:t>
      </w:r>
      <w:r>
        <w:t xml:space="preserve"> </w:t>
      </w:r>
      <w:r>
        <w:t xml:space="preserve">ب. التحكم في دخول الأفراد إلى المنشأة ومناطق الإنتاج والتعبئة.</w:t>
      </w:r>
      <w:r>
        <w:t xml:space="preserve"> </w:t>
      </w:r>
      <w:r>
        <w:t xml:space="preserve">ج. استخدام موردين معتمدين فقط وفحص دقيق للمواد الخام الواردة.</w:t>
      </w:r>
      <w:r>
        <w:t xml:space="preserve"> </w:t>
      </w:r>
      <w:r>
        <w:t xml:space="preserve">د. إجراء فحص خلفية للعاملين في المناطق الحساسة.</w:t>
      </w:r>
      <w:r>
        <w:t xml:space="preserve"> </w:t>
      </w:r>
      <w:r>
        <w:t xml:space="preserve">هـ. مراقبة كاميرات المراقبة بشكل مستمر.</w:t>
      </w:r>
      <w:r>
        <w:t xml:space="preserve"> </w:t>
      </w:r>
      <w:r>
        <w:t xml:space="preserve">و. مصاحبة الزوار في جميع الأوقات.</w:t>
      </w:r>
      <w:r>
        <w:t xml:space="preserve"> </w:t>
      </w:r>
      <w:r>
        <w:t xml:space="preserve">ز. إجراءات تأمين وحماية البنية التحتية الحيوية.</w:t>
      </w:r>
      <w:r>
        <w:t xml:space="preserve"> </w:t>
      </w:r>
      <w:r>
        <w:t xml:space="preserve">(المرجع: FSSC 22000 v6 Annex V.1، NFSA قرار 6/2023 المادة 12).</w:t>
      </w:r>
    </w:p>
    <w:p>
      <w:pPr>
        <w:pStyle w:val="BodyText"/>
      </w:pPr>
      <w:r>
        <w:rPr>
          <w:b/>
          <w:bCs/>
        </w:rPr>
        <w:t xml:space="preserve">6-5. التدريب والاختبار الدوري وتحديث الخطط</w:t>
      </w:r>
      <w:r>
        <w:t xml:space="preserve"> </w:t>
      </w:r>
      <w:r>
        <w:t xml:space="preserve">6-5-1. يتم تدريب ERT وجميع العاملين ذوي الصلة على خطط الطوارئ ودور كل منهم، مع التركيز على إجراءات الإبلاغ والإخلاء والاستجابة الأولية. (المرجع: ISO 22000:2018 §8.4.1(e)).</w:t>
      </w:r>
      <w:r>
        <w:t xml:space="preserve"> </w:t>
      </w:r>
      <w:r>
        <w:t xml:space="preserve">6-5-2. يتم إجراء تمرين محاكاة (Mock Emergency Drill) لسيناريو طارئ واحد على الأقل سنويًا، ويجب أن يشمل سيناريوهات خطيرة ومختلفة كل مرة (مثل حريق، تلوث كيماوي، انقطاع كهرباء طويل الأمد). (المرجع: ISO 22000:2018 §8.4.3، FSSC 22000 v6 Annex V.2.2).</w:t>
      </w:r>
      <w:r>
        <w:t xml:space="preserve"> </w:t>
      </w:r>
      <w:r>
        <w:t xml:space="preserve">6-5-3. يتم تقييم فعالية تمرين المحاكاة بعد الانتهاء منه مباشرة، وتحديد نقاط القوة والضعف والإجراءات التصحيحية اللازمة لتحسين الخطط أو التدريب. (المرجع: ISO 22000:2018 §8.4.3).</w:t>
      </w:r>
      <w:r>
        <w:t xml:space="preserve"> </w:t>
      </w:r>
      <w:r>
        <w:t xml:space="preserve">6-5-4. يتم مراجعة وتحديث خطط الطوارئ بشكل دوري (سنويًا على الأقل)، أو عند حدوث أي تغييرات في العمليات، أو بعد وقوع حادث حقيقي، أو بعد نتائج تدقيقات داخلية/خارجية، أو بعد تجارب المحاكاة. (المرجع: ISO 22000:2018 §8.4.1(e)، NFSA قرار 6/2023 المادة 10).</w:t>
      </w:r>
    </w:p>
    <w:p>
      <w:pPr>
        <w:pStyle w:val="BodyText"/>
      </w:pPr>
      <w:r>
        <w:rPr>
          <w:b/>
          <w:bCs/>
        </w:rPr>
        <w:t xml:space="preserve">6-6. الاتصال وإدارة الأزمات</w:t>
      </w:r>
      <w:r>
        <w:t xml:space="preserve"> </w:t>
      </w:r>
      <w:r>
        <w:t xml:space="preserve">6-6-1. يتم تحديد قنوات اتصال واضحة داخل وخارج المنظمة، وتحديد المسؤول عن الاتصال مع الجهات الرسمية (مثل NFSA، وزارة الصحة) ووسائل الإعلام في حالات الطوارئ.</w:t>
      </w:r>
      <w:r>
        <w:t xml:space="preserve"> </w:t>
      </w:r>
      <w:r>
        <w:t xml:space="preserve">6-6-2. يتم إعداد قائمة اتصال محدثة بجميع الأرقام الطارئة (الدفاع المدني، الإسعاف، الشرطة، NFSA، المسؤولون الرئيسيون في المنظمة).</w:t>
      </w:r>
      <w:r>
        <w:t xml:space="preserve"> </w:t>
      </w:r>
      <w:r>
        <w:t xml:space="preserve">6-6-3. في حالة وقوع حدث يهدد سلامة الغذاء، يتم إبلاغ NFSA فورًا وفقاً لقرار 6/2023 المادة 10.</w:t>
      </w:r>
      <w:r>
        <w:t xml:space="preserve"> </w:t>
      </w:r>
      <w:r>
        <w:t xml:space="preserve">6-6-4. يتم توثيق جميع الاتصالات والإجراءات المتخذة أثناء وبعد حالة الطوارئ.</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F-05-01</w:t>
            </w:r>
          </w:p>
        </w:tc>
        <w:tc>
          <w:tcPr/>
          <w:p>
            <w:pPr>
              <w:pStyle w:val="Compact"/>
            </w:pPr>
            <w:r>
              <w:t xml:space="preserve">سجل تحديد وتقييم الطوارئ</w:t>
            </w:r>
          </w:p>
        </w:tc>
        <w:tc>
          <w:tcPr/>
          <w:p>
            <w:pPr>
              <w:pStyle w:val="Compact"/>
            </w:pPr>
            <w:r>
              <w:t xml:space="preserve">قائد فريق سلامة الغذاء (FST Lead)</w:t>
            </w:r>
          </w:p>
        </w:tc>
        <w:tc>
          <w:tcPr/>
          <w:p>
            <w:pPr>
              <w:pStyle w:val="Compact"/>
            </w:pPr>
            <w:r>
              <w:t xml:space="preserve">5 سنوات بعد التحديث الأخير</w:t>
            </w:r>
          </w:p>
        </w:tc>
        <w:tc>
          <w:tcPr/>
          <w:p>
            <w:pPr>
              <w:pStyle w:val="Compact"/>
            </w:pPr>
            <w:r>
              <w:t xml:space="preserve">تقييم شامل للمخاطر لكل سيناريو طارئ محتمل (الاحتمالية، الشدة)، وتصنيف المخاطر وتحديد الإجراءات الوقائية.</w:t>
            </w:r>
          </w:p>
        </w:tc>
      </w:tr>
      <w:tr>
        <w:tc>
          <w:tcPr/>
          <w:p>
            <w:pPr>
              <w:pStyle w:val="Compact"/>
            </w:pPr>
            <w:r>
              <w:t xml:space="preserve">F-05-02</w:t>
            </w:r>
          </w:p>
        </w:tc>
        <w:tc>
          <w:tcPr/>
          <w:p>
            <w:pPr>
              <w:pStyle w:val="Compact"/>
            </w:pPr>
            <w:r>
              <w:t xml:space="preserve">خطة الاستعداد والاستجابة للطوارئ (EDP)</w:t>
            </w:r>
          </w:p>
        </w:tc>
        <w:tc>
          <w:tcPr/>
          <w:p>
            <w:pPr>
              <w:pStyle w:val="Compact"/>
            </w:pPr>
            <w:r>
              <w:t xml:space="preserve">قائد فريق قيادة الاستجابة للطوارئ (ERT Lead)</w:t>
            </w:r>
          </w:p>
        </w:tc>
        <w:tc>
          <w:tcPr/>
          <w:p>
            <w:pPr>
              <w:pStyle w:val="Compact"/>
            </w:pPr>
            <w:r>
              <w:t xml:space="preserve">5 سنوات بعد التحديث الأخير</w:t>
            </w:r>
          </w:p>
        </w:tc>
        <w:tc>
          <w:tcPr/>
          <w:p>
            <w:pPr>
              <w:pStyle w:val="Compact"/>
            </w:pPr>
            <w:r>
              <w:t xml:space="preserve">خطة مفصلة لكل سيناريو طوارئ (الإجراءات، المسؤوليات، الموارد، الاتصالات، خرائط).</w:t>
            </w:r>
          </w:p>
        </w:tc>
      </w:tr>
      <w:tr>
        <w:tc>
          <w:tcPr/>
          <w:p>
            <w:pPr>
              <w:pStyle w:val="Compact"/>
            </w:pPr>
            <w:r>
              <w:t xml:space="preserve">F-05-03</w:t>
            </w:r>
          </w:p>
        </w:tc>
        <w:tc>
          <w:tcPr/>
          <w:p>
            <w:pPr>
              <w:pStyle w:val="Compact"/>
            </w:pPr>
            <w:r>
              <w:t xml:space="preserve">قائمة اتصال الطوارئ</w:t>
            </w:r>
          </w:p>
        </w:tc>
        <w:tc>
          <w:tcPr/>
          <w:p>
            <w:pPr>
              <w:pStyle w:val="Compact"/>
            </w:pPr>
            <w:r>
              <w:t xml:space="preserve">ERT Lead/مسؤول الموارد البشرية</w:t>
            </w:r>
          </w:p>
        </w:tc>
        <w:tc>
          <w:tcPr/>
          <w:p>
            <w:pPr>
              <w:pStyle w:val="Compact"/>
            </w:pPr>
            <w:r>
              <w:t xml:space="preserve">إلى حين التحديث وتصبح غير سارية</w:t>
            </w:r>
          </w:p>
        </w:tc>
        <w:tc>
          <w:tcPr/>
          <w:p>
            <w:pPr>
              <w:pStyle w:val="Compact"/>
            </w:pPr>
            <w:r>
              <w:t xml:space="preserve">أرقام الطوارئ الداخلية والخارجية (الإسعاف، الدفاع المدني، NFSA، الخ).</w:t>
            </w:r>
          </w:p>
        </w:tc>
      </w:tr>
      <w:tr>
        <w:tc>
          <w:tcPr/>
          <w:p>
            <w:pPr>
              <w:pStyle w:val="Compact"/>
            </w:pPr>
            <w:r>
              <w:t xml:space="preserve">F-05-04</w:t>
            </w:r>
          </w:p>
        </w:tc>
        <w:tc>
          <w:tcPr/>
          <w:p>
            <w:pPr>
              <w:pStyle w:val="Compact"/>
            </w:pPr>
            <w:r>
              <w:t xml:space="preserve">تقرير تمرين محاكاة الطوارئ</w:t>
            </w:r>
          </w:p>
        </w:tc>
        <w:tc>
          <w:tcPr/>
          <w:p>
            <w:pPr>
              <w:pStyle w:val="Compact"/>
            </w:pPr>
            <w:r>
              <w:t xml:space="preserve">ERT Lead</w:t>
            </w:r>
          </w:p>
        </w:tc>
        <w:tc>
          <w:tcPr/>
          <w:p>
            <w:pPr>
              <w:pStyle w:val="Compact"/>
            </w:pPr>
            <w:r>
              <w:t xml:space="preserve">5 سنوات</w:t>
            </w:r>
          </w:p>
        </w:tc>
        <w:tc>
          <w:tcPr/>
          <w:p>
            <w:pPr>
              <w:pStyle w:val="Compact"/>
            </w:pPr>
            <w:r>
              <w:t xml:space="preserve">تاريخ التمرين، السيناريو، المشاركون، الملاحظات، نتائج التقييم، الإجراءات التصحيحية.</w:t>
            </w:r>
          </w:p>
        </w:tc>
      </w:tr>
      <w:tr>
        <w:tc>
          <w:tcPr/>
          <w:p>
            <w:pPr>
              <w:pStyle w:val="Compact"/>
            </w:pPr>
            <w:r>
              <w:t xml:space="preserve">F-05-05</w:t>
            </w:r>
          </w:p>
        </w:tc>
        <w:tc>
          <w:tcPr/>
          <w:p>
            <w:pPr>
              <w:pStyle w:val="Compact"/>
            </w:pPr>
            <w:r>
              <w:t xml:space="preserve">سجل حوادث الطوارئ والاستجابات</w:t>
            </w:r>
          </w:p>
        </w:tc>
        <w:tc>
          <w:tcPr/>
          <w:p>
            <w:pPr>
              <w:pStyle w:val="Compact"/>
            </w:pPr>
            <w:r>
              <w:t xml:space="preserve">ERT Lead/مدير الجودة</w:t>
            </w:r>
          </w:p>
        </w:tc>
        <w:tc>
          <w:tcPr/>
          <w:p>
            <w:pPr>
              <w:pStyle w:val="Compact"/>
            </w:pPr>
            <w:r>
              <w:t xml:space="preserve">5 سنوات</w:t>
            </w:r>
          </w:p>
        </w:tc>
        <w:tc>
          <w:tcPr/>
          <w:p>
            <w:pPr>
              <w:pStyle w:val="Compact"/>
            </w:pPr>
            <w:r>
              <w:t xml:space="preserve">تاريخ الحادث، وصفه، الإجراءات المتخذة، المنتجات المتأثرة، تحليل السبب الجذري، الإجراءات التصحيحية، نتائج التحقق.</w:t>
            </w:r>
          </w:p>
        </w:tc>
      </w:tr>
      <w:tr>
        <w:tc>
          <w:tcPr/>
          <w:p>
            <w:pPr>
              <w:pStyle w:val="Compact"/>
            </w:pPr>
            <w:r>
              <w:t xml:space="preserve">F-05-06</w:t>
            </w:r>
          </w:p>
        </w:tc>
        <w:tc>
          <w:tcPr/>
          <w:p>
            <w:pPr>
              <w:pStyle w:val="Compact"/>
            </w:pPr>
            <w:r>
              <w:t xml:space="preserve">سجل تدريب على الطوارئ</w:t>
            </w:r>
          </w:p>
        </w:tc>
        <w:tc>
          <w:tcPr/>
          <w:p>
            <w:pPr>
              <w:pStyle w:val="Compact"/>
            </w:pPr>
            <w:r>
              <w:t xml:space="preserve">مسؤول الموارد البشرية</w:t>
            </w:r>
          </w:p>
        </w:tc>
        <w:tc>
          <w:tcPr/>
          <w:p>
            <w:pPr>
              <w:pStyle w:val="Compact"/>
            </w:pPr>
            <w:r>
              <w:t xml:space="preserve">5 سنوات</w:t>
            </w:r>
          </w:p>
        </w:tc>
        <w:tc>
          <w:tcPr/>
          <w:p>
            <w:pPr>
              <w:pStyle w:val="Compact"/>
            </w:pPr>
            <w:r>
              <w:t xml:space="preserve">أسماء المتدربين، تاريخ التدريب، محتوى التدريب، الملاحظات والتقييم.</w:t>
            </w:r>
          </w:p>
        </w:tc>
      </w:tr>
      <w:tr>
        <w:tc>
          <w:tcPr/>
          <w:p>
            <w:pPr>
              <w:pStyle w:val="Compact"/>
            </w:pPr>
            <w:r>
              <w:t xml:space="preserve">F-05-07</w:t>
            </w:r>
          </w:p>
        </w:tc>
        <w:tc>
          <w:tcPr/>
          <w:p>
            <w:pPr>
              <w:pStyle w:val="Compact"/>
            </w:pPr>
            <w:r>
              <w:t xml:space="preserve">خطة الدفاع عن الغذاء والاحتيال الغذائي</w:t>
            </w:r>
          </w:p>
        </w:tc>
        <w:tc>
          <w:tcPr/>
          <w:p>
            <w:pPr>
              <w:pStyle w:val="Compact"/>
            </w:pPr>
            <w:r>
              <w:t xml:space="preserve">FST Lead</w:t>
            </w:r>
          </w:p>
        </w:tc>
        <w:tc>
          <w:tcPr/>
          <w:p>
            <w:pPr>
              <w:pStyle w:val="Compact"/>
            </w:pPr>
            <w:r>
              <w:t xml:space="preserve">5 سنوات بعد التحديث الأخير</w:t>
            </w:r>
          </w:p>
        </w:tc>
        <w:tc>
          <w:tcPr/>
          <w:p>
            <w:pPr>
              <w:pStyle w:val="Compact"/>
            </w:pPr>
            <w:r>
              <w:t xml:space="preserve">تقييم نقاط الضعف ضد التهديدات المتعمدة والاقتصادية، إجراءات التحكم الوقائية، المسؤوليات.</w:t>
            </w:r>
          </w:p>
        </w:tc>
      </w:tr>
    </w:tbl>
    <w:bookmarkEnd w:id="18"/>
    <w:bookmarkStart w:id="19" w:name="معايير-قياس-فاعلية-الأداء-kpis"/>
    <w:p>
      <w:pPr>
        <w:pStyle w:val="Heading3"/>
      </w:pPr>
      <w:r>
        <w:t xml:space="preserve">8. معايير قياس فاعلية الأداء (KPIs)</w:t>
      </w:r>
    </w:p>
    <w:p>
      <w:pPr>
        <w:pStyle w:val="FirstParagraph"/>
      </w:pPr>
      <w:r>
        <w:t xml:space="preserve">أ.</w:t>
      </w:r>
      <w:r>
        <w:t xml:space="preserve"> </w:t>
      </w:r>
      <w:r>
        <w:rPr>
          <w:b/>
          <w:bCs/>
        </w:rPr>
        <w:t xml:space="preserve">نسبة تلبية متطلبات خطة الطوارئ في تمارين المحاكاة</w:t>
      </w:r>
      <w:r>
        <w:t xml:space="preserve">: (عدد الملاحظات الناتجة عن تمارين المحاكاة / العدد الكلي لخطوات الخطة التي تم اختبارها) * 100%. (الهدف: أقل من 5% ملاحظات).</w:t>
      </w:r>
      <w:r>
        <w:t xml:space="preserve"> </w:t>
      </w:r>
      <w:r>
        <w:t xml:space="preserve">ب.</w:t>
      </w:r>
      <w:r>
        <w:t xml:space="preserve"> </w:t>
      </w:r>
      <w:r>
        <w:rPr>
          <w:b/>
          <w:bCs/>
        </w:rPr>
        <w:t xml:space="preserve">نسبة استكمال الإجراءات التصحيحية بعد كل حالة طوارئ حقيقية أو تمرين محاكاة</w:t>
      </w:r>
      <w:r>
        <w:t xml:space="preserve">: (عدد الإجراءات التصحيحية المكتملة في الوقت المحدد / العدد الكلي للإجراءات التصحيحية المطلوبة) * 100%. (الهدف: 100%).</w:t>
      </w:r>
      <w:r>
        <w:t xml:space="preserve"> </w:t>
      </w:r>
      <w:r>
        <w:t xml:space="preserve">ج.</w:t>
      </w:r>
      <w:r>
        <w:t xml:space="preserve"> </w:t>
      </w:r>
      <w:r>
        <w:rPr>
          <w:b/>
          <w:bCs/>
        </w:rPr>
        <w:t xml:space="preserve">عدد تمارين المحاكاة المنفذة سنوياً</w:t>
      </w:r>
      <w:r>
        <w:t xml:space="preserve">: (الهدف: لا يقل عن تمرين واحد شامل لكافة سيناريوهات الطوارئ).</w:t>
      </w:r>
      <w:r>
        <w:t xml:space="preserve"> </w:t>
      </w:r>
      <w:r>
        <w:t xml:space="preserve">د.</w:t>
      </w:r>
      <w:r>
        <w:t xml:space="preserve"> </w:t>
      </w:r>
      <w:r>
        <w:rPr>
          <w:b/>
          <w:bCs/>
        </w:rPr>
        <w:t xml:space="preserve">عدد الحوادث أو الطوارئ التي أثرت على سلامة الغذاء ولم تتم الاستجابة لها بفعالية</w:t>
      </w:r>
      <w:r>
        <w:t xml:space="preserve">: (الهدف: صفر). (المرجع: ISO 22000:2018 §9.1.1).</w:t>
      </w:r>
      <w:r>
        <w:t xml:space="preserve"> </w:t>
      </w:r>
      <w:r>
        <w:t xml:space="preserve">هـ.</w:t>
      </w:r>
      <w:r>
        <w:t xml:space="preserve"> </w:t>
      </w:r>
      <w:r>
        <w:rPr>
          <w:b/>
          <w:bCs/>
        </w:rPr>
        <w:t xml:space="preserve">نسبة تحديث خطط الطوارئ</w:t>
      </w:r>
      <w:r>
        <w:t xml:space="preserve">: (عدد الخطط التي تم تحديثها في الوقت المحدد / العدد الكلي للخطط التي تتطلب تحديثًا) * 100%. (الهدف: 100% سنوياً أو عند الحاجة).</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5 - FSP-05</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2026-06-29T08:43:12Z</dcterms:created>
  <dcterms:modified xsi:type="dcterms:W3CDTF">2026-06-29T08:43:12Z</dcterms:modified>
</cp:coreProperties>
</file>

<file path=docProps/custom.xml><?xml version="1.0" encoding="utf-8"?>
<Properties xmlns="http://schemas.openxmlformats.org/officeDocument/2006/custom-properties" xmlns:vt="http://schemas.openxmlformats.org/officeDocument/2006/docPropsVTypes"/>
</file>