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X9b2e8de292651a734cb8baeeee9dcc0a56f2db7"/>
    <w:p>
      <w:pPr>
        <w:pStyle w:val="Heading1"/>
      </w:pPr>
      <w:r>
        <w:t xml:space="preserve">إدارة حالات عدم المطابقة والإجراءات التصحيحية</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إدارة حالات عدم المطابقة والإجراءات التصحيحية</w:t>
            </w:r>
          </w:p>
        </w:tc>
      </w:tr>
      <w:tr>
        <w:tc>
          <w:tcPr/>
          <w:p>
            <w:pPr>
              <w:pStyle w:val="Compact"/>
            </w:pPr>
            <w:r>
              <w:rPr>
                <w:b/>
                <w:bCs/>
              </w:rPr>
              <w:t xml:space="preserve">كود الوثيقة</w:t>
            </w:r>
          </w:p>
        </w:tc>
        <w:tc>
          <w:tcPr/>
          <w:p>
            <w:pPr>
              <w:pStyle w:val="Compact"/>
            </w:pPr>
            <w:r>
              <w:t xml:space="preserve">FSP-13</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19a47e66ee3a74fd53669820fafc17d81d11aa9"/>
    <w:p>
      <w:pPr>
        <w:pStyle w:val="Heading1"/>
      </w:pPr>
      <w:r>
        <w:t xml:space="preserve">الإجراء رقم 13: إدارة حالات عدم المطابقة والإجراءات التصحيحية</w:t>
      </w:r>
    </w:p>
    <w:bookmarkStart w:id="12" w:name="الغرض-purpose"/>
    <w:p>
      <w:pPr>
        <w:pStyle w:val="Heading3"/>
      </w:pPr>
      <w:r>
        <w:t xml:space="preserve">1. الغرض (Purpose)</w:t>
      </w:r>
    </w:p>
    <w:p>
      <w:pPr>
        <w:pStyle w:val="FirstParagraph"/>
      </w:pPr>
      <w:r>
        <w:t xml:space="preserve">يهدف هذا الإجراء إلى إنشاء نظام إداري موثق وفعّال للتعامل مع حالات عدم المطابقة، بما في ذلك تجاوز الحدود الحرجة لنقاط التحكم الحرجة (CCPs) أو فقدان السيطرة على برامج المتطلبات الأولية التشغيلية (OPRPs)، أو اكتشاف أي انحراف يؤثر على سلامة المنتج أو جودته. يحدد الإجراء آليات تطبيق التصحيحات الفورية للقضاء على عدم المطابقة المكتشفة، وتوثيقها، بالإضافة إلى تحديد وتحليل الأسباب الجذرية وراء هذه الحالات، وتطوير وتنفيذ الإجراءات التصحيحية اللازمة لمنع تكرارها، وضمان فعالية هذه الإجراءات. يضمن ذلك عدم تسويق منتجات غير آمنة أو غير مطابقة للمواصفات والتشريعات الغذائية ذات الصلة (ISO 22000:2018 §10.1, §10.2).</w:t>
      </w:r>
    </w:p>
    <w:bookmarkEnd w:id="12"/>
    <w:bookmarkStart w:id="13" w:name="النطاق-scope"/>
    <w:p>
      <w:pPr>
        <w:pStyle w:val="Heading3"/>
      </w:pPr>
      <w:r>
        <w:t xml:space="preserve">2. النطاق (Scope)</w:t>
      </w:r>
    </w:p>
    <w:p>
      <w:pPr>
        <w:pStyle w:val="FirstParagraph"/>
      </w:pPr>
      <w:r>
        <w:t xml:space="preserve">يطبق هذا الإجراء على جميع الأنشطة والعمليات داخل المصنع لتعبئة المياه الطبيعية، والتي قد تؤدي إلى حالات عدم مطابقة لنظام إدارة سلامة الغذاء، بدءاً من اكتشاف أي انحراف (مثال: تجاوز الحدود الحرجة، فقدان السيطرة على برنامج متطلب أولي تشغيلي، عدم مطابقة لمنتج، شكوى عميل، نتيجة تدقيق داخلي أو خارجي) وحتى إغلاق الإجراء التصحيحي بالتحقق من فعاليته ومنع تكرار عدم المطابقة (ISO 22000:2018 §10.1.1, §10.2.1). يشمل التعامل مع المنتجات التي يُحتمل أنها غير آمنة (ISO 22000:2018 §8.9.2).</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السلامة الغذائية (Food Safety)</w:t>
      </w:r>
      <w:r>
        <w:t xml:space="preserve">: تأكيد بأن الغذاء لن يسبب ضرراً للمستهلك عندما يتم إعداده و/أو استهلاكه وفقاً للاستخدام المقصود منه (ISO 22000:2018 §3.1).</w:t>
      </w:r>
    </w:p>
    <w:p>
      <w:pPr>
        <w:pStyle w:val="Compact"/>
        <w:numPr>
          <w:ilvl w:val="0"/>
          <w:numId w:val="1001"/>
        </w:numPr>
      </w:pPr>
      <w:r>
        <w:rPr>
          <w:b/>
          <w:bCs/>
        </w:rPr>
        <w:t xml:space="preserve">نقطة التحكم الحرجة (CCP - Critical Control Point)</w:t>
      </w:r>
      <w:r>
        <w:t xml:space="preserve">: خطوة يمكن عندها تطبيق التحكم وهي ضرورية لمنع أو إزالة مخاطر السلامة الغذائية أو تقليلها إلى مستوى مقبول (ISO 22000:2018 §3.8).</w:t>
      </w:r>
    </w:p>
    <w:p>
      <w:pPr>
        <w:pStyle w:val="Compact"/>
        <w:numPr>
          <w:ilvl w:val="0"/>
          <w:numId w:val="1001"/>
        </w:numPr>
      </w:pPr>
      <w:r>
        <w:rPr>
          <w:b/>
          <w:bCs/>
        </w:rPr>
        <w:t xml:space="preserve">الحد الحرج (Critical Limit)</w:t>
      </w:r>
      <w:r>
        <w:t xml:space="preserve">: القيمة القصوى و/أو الدنيا التي يجب ألا تتجاوزها المعلمة المراقبة عند نقطة التحكم الحرجة لمنع أو إزالة مخاطر السلامة الغذائية أو تقليلها إلى مستوى مقبول (ISO 22000:2018 §3.9).</w:t>
      </w:r>
    </w:p>
    <w:p>
      <w:pPr>
        <w:pStyle w:val="Compact"/>
        <w:numPr>
          <w:ilvl w:val="0"/>
          <w:numId w:val="1001"/>
        </w:numPr>
      </w:pPr>
      <w:r>
        <w:rPr>
          <w:b/>
          <w:bCs/>
        </w:rPr>
        <w:t xml:space="preserve">برنامج المتطلبات الأولية التشغيلية (OPRP - Operational Prerequisite Programme)</w:t>
      </w:r>
      <w:r>
        <w:t xml:space="preserve">: برنامج متطلب أولي تم تحديده من خلال تحليل المخاطر كضروري للتحكم في احتمال إدخال مخاطر السلامة الغذائية إلى المنتج و/أو معالجته و/أو في البيئة المعالجة أو انتشارها، و/أو للتحكم في بقاء أو تكاثر مخاطر السلامة الغذائية في المنتج و/أو البيئة المعالجة (ISO 22000:2018 §3.10).</w:t>
      </w:r>
    </w:p>
    <w:p>
      <w:pPr>
        <w:pStyle w:val="Compact"/>
        <w:numPr>
          <w:ilvl w:val="0"/>
          <w:numId w:val="1001"/>
        </w:numPr>
      </w:pPr>
      <w:r>
        <w:rPr>
          <w:b/>
          <w:bCs/>
        </w:rPr>
        <w:t xml:space="preserve">عدم المطابقة (Nonconformity)</w:t>
      </w:r>
      <w:r>
        <w:t xml:space="preserve">: عدم الوفاء بمتطلب (ISO 22000:2018 §3.17). وقد تكون داخلية (نتيجة رصد، تدقيق داخلي) أو خارجية (شكوى عميل، تدقيق خارجي).</w:t>
      </w:r>
    </w:p>
    <w:p>
      <w:pPr>
        <w:pStyle w:val="Compact"/>
        <w:numPr>
          <w:ilvl w:val="0"/>
          <w:numId w:val="1001"/>
        </w:numPr>
      </w:pPr>
      <w:r>
        <w:rPr>
          <w:b/>
          <w:bCs/>
        </w:rPr>
        <w:t xml:space="preserve">التصحيح (Correction)</w:t>
      </w:r>
      <w:r>
        <w:t xml:space="preserve">: إجراء للقضاء على عدم المطابقة المكتشفة (ISO 22000:2018 §3.18). التصحيح إجراء فوري.</w:t>
      </w:r>
    </w:p>
    <w:p>
      <w:pPr>
        <w:pStyle w:val="Compact"/>
        <w:numPr>
          <w:ilvl w:val="0"/>
          <w:numId w:val="1001"/>
        </w:numPr>
      </w:pPr>
      <w:r>
        <w:rPr>
          <w:b/>
          <w:bCs/>
        </w:rPr>
        <w:t xml:space="preserve">الإجراء التصحيحي (Corrective Action)</w:t>
      </w:r>
      <w:r>
        <w:t xml:space="preserve">: إجراء للقضاء على سبب عدم المطابقة ومنع تكرارها (ISO 22000:2018 §3.19). يجب أن يتناسب مع تأثير عدم المطابقة.</w:t>
      </w:r>
    </w:p>
    <w:p>
      <w:pPr>
        <w:pStyle w:val="Compact"/>
        <w:numPr>
          <w:ilvl w:val="0"/>
          <w:numId w:val="1001"/>
        </w:numPr>
      </w:pPr>
      <w:r>
        <w:rPr>
          <w:b/>
          <w:bCs/>
        </w:rPr>
        <w:t xml:space="preserve">التحليل الجذري (Root Cause Analysis)</w:t>
      </w:r>
      <w:r>
        <w:t xml:space="preserve">: عملية منهجية لتحديد الأسباب الأساسية لعدم المطابقة.</w:t>
      </w:r>
    </w:p>
    <w:p>
      <w:pPr>
        <w:pStyle w:val="Compact"/>
        <w:numPr>
          <w:ilvl w:val="0"/>
          <w:numId w:val="1001"/>
        </w:numPr>
      </w:pPr>
      <w:r>
        <w:rPr>
          <w:b/>
          <w:bCs/>
        </w:rPr>
        <w:t xml:space="preserve">الحالة الحرجة (Critical)</w:t>
      </w:r>
      <w:r>
        <w:t xml:space="preserve">: عدم مطابقة تؤدي إلى خطر مباشر على سلامة الغذاء أو فشل كامل بالنظام.</w:t>
      </w:r>
    </w:p>
    <w:p>
      <w:pPr>
        <w:pStyle w:val="Compact"/>
        <w:numPr>
          <w:ilvl w:val="0"/>
          <w:numId w:val="1001"/>
        </w:numPr>
      </w:pPr>
      <w:r>
        <w:rPr>
          <w:b/>
          <w:bCs/>
        </w:rPr>
        <w:t xml:space="preserve">الحالة الكبرى (Major)</w:t>
      </w:r>
      <w:r>
        <w:t xml:space="preserve">: عدم مطابقة قد تؤثر على سلامة الغذاء أو كفاءة النظام وقد تؤدي إلى مخاطر جسيمة.</w:t>
      </w:r>
    </w:p>
    <w:p>
      <w:pPr>
        <w:pStyle w:val="Compact"/>
        <w:numPr>
          <w:ilvl w:val="0"/>
          <w:numId w:val="1001"/>
        </w:numPr>
      </w:pPr>
      <w:r>
        <w:rPr>
          <w:b/>
          <w:bCs/>
        </w:rPr>
        <w:t xml:space="preserve">الحالة الصغرى (Minor)</w:t>
      </w:r>
      <w:r>
        <w:t xml:space="preserve">: عدم مطابقة لا تؤثر بشكل مباشر على سلامة الغذاء ولا تؤدي إلى فشل كامل بالنظام.</w:t>
      </w:r>
    </w:p>
    <w:bookmarkEnd w:id="14"/>
    <w:bookmarkStart w:id="15" w:name="المراجع-references"/>
    <w:p>
      <w:pPr>
        <w:pStyle w:val="Heading3"/>
      </w:pPr>
      <w:r>
        <w:t xml:space="preserve">4. المراجع (References)</w:t>
      </w:r>
    </w:p>
    <w:p>
      <w:pPr>
        <w:pStyle w:val="Compact"/>
        <w:numPr>
          <w:ilvl w:val="0"/>
          <w:numId w:val="1002"/>
        </w:numPr>
      </w:pPr>
      <w:r>
        <w:t xml:space="preserve">المواصفة القياسية الدولية ISO 22000:2018 - نظم إدارة سلامة الغذاء. (البنود: 5.3, 7.4, 7.5.1, 8.5.2, 8.5.4, 8.9.2, 9.1.1, 10.1, 10.2)</w:t>
      </w:r>
    </w:p>
    <w:p>
      <w:pPr>
        <w:pStyle w:val="Compact"/>
        <w:numPr>
          <w:ilvl w:val="0"/>
          <w:numId w:val="1002"/>
        </w:numPr>
      </w:pPr>
      <w:r>
        <w:t xml:space="preserve">المواصفة القياسية الدولية ISO 9001:2015 - نظم إدارة الجودة. (البنود: 10.2)</w:t>
      </w:r>
    </w:p>
    <w:p>
      <w:pPr>
        <w:pStyle w:val="Compact"/>
        <w:numPr>
          <w:ilvl w:val="0"/>
          <w:numId w:val="1002"/>
        </w:numPr>
      </w:pPr>
      <w:r>
        <w:t xml:space="preserve">وثيقة Codex Alimentarius CAC/RCP 1-1969 - المبادئ العامة لنظافة الغذاء - نظام تحليل المخاطر ونقاط التحكم الحرجة والقواعد الإرشادية لتطبيقه (HACCP).</w:t>
      </w:r>
    </w:p>
    <w:p>
      <w:pPr>
        <w:pStyle w:val="Compact"/>
        <w:numPr>
          <w:ilvl w:val="0"/>
          <w:numId w:val="1002"/>
        </w:numPr>
      </w:pPr>
      <w:r>
        <w:t xml:space="preserve">FSSC 22000 v6 Standard - Part 2, Requirements for Organizations, Clause 2.5.4 (Control of nonconformities and potentially unsafe products &amp; Corrective actions).</w:t>
      </w:r>
    </w:p>
    <w:p>
      <w:pPr>
        <w:pStyle w:val="Compact"/>
        <w:numPr>
          <w:ilvl w:val="0"/>
          <w:numId w:val="1002"/>
        </w:numPr>
      </w:pPr>
      <w:r>
        <w:t xml:space="preserve">المواصفة القياسية المصرية ES 1589/2007 - مياه الشرب المعبأة.</w:t>
      </w:r>
    </w:p>
    <w:p>
      <w:pPr>
        <w:pStyle w:val="Compact"/>
        <w:numPr>
          <w:ilvl w:val="0"/>
          <w:numId w:val="1002"/>
        </w:numPr>
      </w:pPr>
      <w:r>
        <w:t xml:space="preserve">المواصفة القياسية المصرية ES 190 - مياه معدنية طبيعية.</w:t>
      </w:r>
    </w:p>
    <w:p>
      <w:pPr>
        <w:pStyle w:val="Compact"/>
        <w:numPr>
          <w:ilvl w:val="0"/>
          <w:numId w:val="1002"/>
        </w:numPr>
      </w:pPr>
      <w:r>
        <w:t xml:space="preserve">قرار الهيئة القومية لسلامة الغذاء NFSA رقم 6 لسنة 2023 وتعديلاته - بشأن الاشتراطات العامة الواجب توافرها في المنشآت الغذائية. (مثال: المادة 41 الخاصة بحفظ السجلات).</w:t>
      </w:r>
    </w:p>
    <w:p>
      <w:pPr>
        <w:pStyle w:val="Compact"/>
        <w:numPr>
          <w:ilvl w:val="0"/>
          <w:numId w:val="1002"/>
        </w:numPr>
      </w:pPr>
      <w:r>
        <w:t xml:space="preserve">قرار وزير الصحة والسكان رقم 458 لسنة 2007 وتعديلاته - بشأن متطلبات ترخيص ومتابعة مصانع تعبئة المياه الطبيعية والمعدنية.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الدور/المسؤول</w:t>
            </w:r>
          </w:p>
        </w:tc>
        <w:tc>
          <w:tcPr/>
          <w:p>
            <w:pPr>
              <w:pStyle w:val="Compact"/>
            </w:pPr>
            <w:r>
              <w:t xml:space="preserve">المسؤوليات</w:t>
            </w:r>
          </w:p>
        </w:tc>
        <w:tc>
          <w:tcPr/>
          <w:p>
            <w:pPr>
              <w:pStyle w:val="Compact"/>
            </w:pPr>
            <w:r>
              <w:t xml:space="preserve">الصلاحيات</w:t>
            </w:r>
          </w:p>
        </w:tc>
        <w:tc>
          <w:tcPr/>
          <w:p>
            <w:pPr>
              <w:pStyle w:val="Compact"/>
            </w:pPr>
            <w:r>
              <w:t xml:space="preserve">المساءلة</w:t>
            </w:r>
          </w:p>
        </w:tc>
      </w:tr>
      <w:tr>
        <w:tc>
          <w:tcPr/>
          <w:p>
            <w:pPr>
              <w:pStyle w:val="Compact"/>
            </w:pPr>
            <w:r>
              <w:rPr>
                <w:b/>
                <w:bCs/>
              </w:rPr>
              <w:t xml:space="preserve">مدير الجودة</w:t>
            </w:r>
          </w:p>
        </w:tc>
        <w:tc>
          <w:tcPr/>
          <w:p>
            <w:pPr>
              <w:pStyle w:val="Compact"/>
            </w:pPr>
            <w:r>
              <w:t xml:space="preserve">الإشراف العام على تطبيق هذا الإجراء، ضمان التحليل الجذري الفعال، متابعة فعالية الإجراءات التصحيحية، إجازة الإجراءات التصحيحية، التنسيق مع الجهات الخارجية (NFSA, جهات منح الشهادات).</w:t>
            </w:r>
          </w:p>
        </w:tc>
        <w:tc>
          <w:tcPr/>
          <w:p>
            <w:pPr>
              <w:pStyle w:val="Compact"/>
            </w:pPr>
            <w:r>
              <w:t xml:space="preserve">إيقاف خطوط الإنتاج والمنتجات المتأثرة، إجازة التصحيحات والإجراءات التصحيحية، التواصل مع الإدارة العليا.</w:t>
            </w:r>
          </w:p>
        </w:tc>
        <w:tc>
          <w:tcPr/>
          <w:p>
            <w:pPr>
              <w:pStyle w:val="Compact"/>
            </w:pPr>
            <w:r>
              <w:t xml:space="preserve">فعالية نظام إدارة حالات عدم المطابقة وجودة المنتجات المتعامل معها.</w:t>
            </w:r>
          </w:p>
        </w:tc>
      </w:tr>
      <w:tr>
        <w:tc>
          <w:tcPr/>
          <w:p>
            <w:pPr>
              <w:pStyle w:val="Compact"/>
            </w:pPr>
            <w:r>
              <w:rPr>
                <w:b/>
                <w:bCs/>
              </w:rPr>
              <w:t xml:space="preserve">رئيس فريق سلامة الغذاء</w:t>
            </w:r>
          </w:p>
        </w:tc>
        <w:tc>
          <w:tcPr/>
          <w:p>
            <w:pPr>
              <w:pStyle w:val="Compact"/>
            </w:pPr>
            <w:r>
              <w:t xml:space="preserve">قيادة فريق سلامة الغذاء في تحليل حالات عدم المطابقة، تحديد الأسباب الجذرية، اقتراح الإجراءات التصحيحية، متابعة تنفيذها، ضمان تقييم المنتجات التي يُحتمل أنها غير آمنة.</w:t>
            </w:r>
          </w:p>
        </w:tc>
        <w:tc>
          <w:tcPr/>
          <w:p>
            <w:pPr>
              <w:pStyle w:val="Compact"/>
            </w:pPr>
            <w:r>
              <w:t xml:space="preserve">التوصية بإيقاف الإنتاج أو احتجاز المنتجات، طلب الموارد اللازمة للتعامل مع عدم المطابقة.</w:t>
            </w:r>
          </w:p>
        </w:tc>
        <w:tc>
          <w:tcPr/>
          <w:p>
            <w:pPr>
              <w:pStyle w:val="Compact"/>
            </w:pPr>
            <w:r>
              <w:t xml:space="preserve">تنفيذ خطة HACCP ومواءمة الإجراءات مع متطلباتها.</w:t>
            </w:r>
          </w:p>
        </w:tc>
      </w:tr>
      <w:tr>
        <w:tc>
          <w:tcPr/>
          <w:p>
            <w:pPr>
              <w:pStyle w:val="Compact"/>
            </w:pPr>
            <w:r>
              <w:rPr>
                <w:b/>
                <w:bCs/>
              </w:rPr>
              <w:t xml:space="preserve">قادة الأقسام/المشرفون (الإنتاج، الصيانة، المخازن، إلخ.)</w:t>
            </w:r>
          </w:p>
        </w:tc>
        <w:tc>
          <w:tcPr/>
          <w:p>
            <w:pPr>
              <w:pStyle w:val="Compact"/>
            </w:pPr>
            <w:r>
              <w:t xml:space="preserve">الإبلاغ الفوري عن حالات عدم المطابقة، تنفيذ التصحيحات الفورية، المساهمة في تحليل الأسباب الجذرية، تنفيذ الإجراءات التصحيحية المحددة ضمن نطاق مسؤولياتهم، تدريب العاملين.</w:t>
            </w:r>
          </w:p>
        </w:tc>
        <w:tc>
          <w:tcPr/>
          <w:p>
            <w:pPr>
              <w:pStyle w:val="Compact"/>
            </w:pPr>
            <w:r>
              <w:t xml:space="preserve">تطبيق الإجراءات الفورية لوقف عدم المطابقة.</w:t>
            </w:r>
          </w:p>
        </w:tc>
        <w:tc>
          <w:tcPr/>
          <w:p>
            <w:pPr>
              <w:pStyle w:val="Compact"/>
            </w:pPr>
            <w:r>
              <w:t xml:space="preserve">تنفيذ التعليمات الخاصة بالمعالجة الفورية ومنع التكرار في نطاق إداراتهم.</w:t>
            </w:r>
          </w:p>
        </w:tc>
      </w:tr>
      <w:tr>
        <w:tc>
          <w:tcPr/>
          <w:p>
            <w:pPr>
              <w:pStyle w:val="Compact"/>
            </w:pPr>
            <w:r>
              <w:rPr>
                <w:b/>
                <w:bCs/>
              </w:rPr>
              <w:t xml:space="preserve">جميع العاملين</w:t>
            </w:r>
          </w:p>
        </w:tc>
        <w:tc>
          <w:tcPr/>
          <w:p>
            <w:pPr>
              <w:pStyle w:val="Compact"/>
            </w:pPr>
            <w:r>
              <w:t xml:space="preserve">الالتزام بالتعليمات التشغيلية، الإبلاغ الفوري عن أية انحرافات أو مؤشرات لعدم المطابقة أو تجاوز الحدود الحرجة أو فقدان السيطرة على OPRPs.</w:t>
            </w:r>
          </w:p>
        </w:tc>
        <w:tc>
          <w:tcPr/>
          <w:p>
            <w:pPr>
              <w:pStyle w:val="Compact"/>
            </w:pPr>
            <w:r>
              <w:t xml:space="preserve">إيقاف العملية أو الإبلاغ الفوري عند اكتشاف عدم مطابقة.</w:t>
            </w:r>
          </w:p>
        </w:tc>
        <w:tc>
          <w:tcPr/>
          <w:p>
            <w:pPr>
              <w:pStyle w:val="Compact"/>
            </w:pPr>
            <w:r>
              <w:t xml:space="preserve">الالتزام بسياسات وإجراءات سلامة الغذاء.</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اكتشاف وتسجيل عدم المطابقة:</w:t>
      </w:r>
      <w:r>
        <w:t xml:space="preserve"> </w:t>
      </w:r>
      <w:r>
        <w:t xml:space="preserve">-</w:t>
      </w:r>
      <w:r>
        <w:t xml:space="preserve"> </w:t>
      </w:r>
      <w:r>
        <w:rPr>
          <w:b/>
          <w:bCs/>
        </w:rPr>
        <w:t xml:space="preserve">من:</w:t>
      </w:r>
      <w:r>
        <w:t xml:space="preserve"> </w:t>
      </w:r>
      <w:r>
        <w:t xml:space="preserve">الموظف المسؤول عن الرصد (المشغل، فني الجودة، مشرف)، أفراد فريق سلامة الغذاء.</w:t>
      </w:r>
      <w:r>
        <w:t xml:space="preserve"> </w:t>
      </w:r>
      <w:r>
        <w:t xml:space="preserve">-</w:t>
      </w:r>
      <w:r>
        <w:t xml:space="preserve"> </w:t>
      </w:r>
      <w:r>
        <w:rPr>
          <w:b/>
          <w:bCs/>
        </w:rPr>
        <w:t xml:space="preserve">ماذا:</w:t>
      </w:r>
      <w:r>
        <w:t xml:space="preserve"> </w:t>
      </w:r>
      <w:r>
        <w:t xml:space="preserve">عند اكتشاف أي انحراف عن المتطلبات المحددة (سواء في CCPs، OPRPs، المنتجات، الخدمات، أو نتيجة شكاوى العملاء أو التدقيقات).</w:t>
      </w:r>
      <w:r>
        <w:t xml:space="preserve"> </w:t>
      </w:r>
      <w:r>
        <w:t xml:space="preserve">-</w:t>
      </w:r>
      <w:r>
        <w:t xml:space="preserve"> </w:t>
      </w:r>
      <w:r>
        <w:rPr>
          <w:b/>
          <w:bCs/>
        </w:rPr>
        <w:t xml:space="preserve">متى:</w:t>
      </w:r>
      <w:r>
        <w:t xml:space="preserve"> </w:t>
      </w:r>
      <w:r>
        <w:t xml:space="preserve">فور اكتشاف عدم المطابقة.</w:t>
      </w:r>
      <w:r>
        <w:t xml:space="preserve"> </w:t>
      </w:r>
      <w:r>
        <w:t xml:space="preserve">-</w:t>
      </w:r>
      <w:r>
        <w:t xml:space="preserve"> </w:t>
      </w:r>
      <w:r>
        <w:rPr>
          <w:b/>
          <w:bCs/>
        </w:rPr>
        <w:t xml:space="preserve">أين:</w:t>
      </w:r>
      <w:r>
        <w:t xml:space="preserve"> </w:t>
      </w:r>
      <w:r>
        <w:t xml:space="preserve">في نقطة الاكتشاف (خط الإنتاج، منطقة التخزين، المخبر، إلخ.).</w:t>
      </w:r>
      <w:r>
        <w:t xml:space="preserve"> </w:t>
      </w:r>
      <w:r>
        <w:t xml:space="preserve">-</w:t>
      </w:r>
      <w:r>
        <w:t xml:space="preserve"> </w:t>
      </w:r>
      <w:r>
        <w:rPr>
          <w:b/>
          <w:bCs/>
        </w:rPr>
        <w:t xml:space="preserve">كيف:</w:t>
      </w:r>
      <w:r>
        <w:t xml:space="preserve"> </w:t>
      </w:r>
      <w:r>
        <w:t xml:space="preserve">6-1-1. يتم الإبلاغ الفوري عن عدم المطابقة إلى مشرف المنطقة/قائد الفريق ورئيس فريق سلامة الغذاء ومدير الجودة (ISO 22000:2018 §8.5.2.3, §8.5.4.3).</w:t>
      </w:r>
      <w:r>
        <w:t xml:space="preserve"> </w:t>
      </w:r>
      <w:r>
        <w:t xml:space="preserve">6-1-2. يقوم المسؤول بإعداد</w:t>
      </w:r>
      <w:r>
        <w:t xml:space="preserve"> </w:t>
      </w:r>
      <w:r>
        <w:t xml:space="preserve">“تقرير عدم مطابقة”</w:t>
      </w:r>
      <w:r>
        <w:t xml:space="preserve"> </w:t>
      </w:r>
      <w:r>
        <w:t xml:space="preserve">(NCR) (نموذج F-13-01) مع توضيح وصف دقيق ومفصل لعدم المطابقة، مكانها، تاريخ وزمن الاكتشاف، والمسؤول عن الاكتشاف (ISO 22000:2018 §10.1.1).</w:t>
      </w:r>
      <w:r>
        <w:t xml:space="preserve"> </w:t>
      </w:r>
      <w:r>
        <w:t xml:space="preserve">6-1-3. يتم تسجيل عدم المطابقة في</w:t>
      </w:r>
      <w:r>
        <w:t xml:space="preserve"> </w:t>
      </w:r>
      <w:r>
        <w:t xml:space="preserve">“سجل متابعة حالات عدم المطابقة”</w:t>
      </w:r>
      <w:r>
        <w:t xml:space="preserve"> </w:t>
      </w:r>
      <w:r>
        <w:t xml:space="preserve">(F-13-02) (ISO 22000:2018 §7.5.1).</w:t>
      </w:r>
    </w:p>
    <w:p>
      <w:pPr>
        <w:pStyle w:val="BodyText"/>
      </w:pPr>
      <w:r>
        <w:rPr>
          <w:b/>
          <w:bCs/>
        </w:rPr>
        <w:t xml:space="preserve">6-2. التصحيحات الفورية (Corrections):</w:t>
      </w:r>
      <w:r>
        <w:t xml:space="preserve"> </w:t>
      </w:r>
      <w:r>
        <w:t xml:space="preserve">-</w:t>
      </w:r>
      <w:r>
        <w:t xml:space="preserve"> </w:t>
      </w:r>
      <w:r>
        <w:rPr>
          <w:b/>
          <w:bCs/>
        </w:rPr>
        <w:t xml:space="preserve">من:</w:t>
      </w:r>
      <w:r>
        <w:t xml:space="preserve"> </w:t>
      </w:r>
      <w:r>
        <w:t xml:space="preserve">المشرف المسؤول عن المنطقة التي حدثت فيها عدم المطابقة بالتعاون مع فريق سلامة الغذاء.</w:t>
      </w:r>
      <w:r>
        <w:t xml:space="preserve"> </w:t>
      </w:r>
      <w:r>
        <w:t xml:space="preserve">-</w:t>
      </w:r>
      <w:r>
        <w:t xml:space="preserve"> </w:t>
      </w:r>
      <w:r>
        <w:rPr>
          <w:b/>
          <w:bCs/>
        </w:rPr>
        <w:t xml:space="preserve">ماذا:</w:t>
      </w:r>
      <w:r>
        <w:t xml:space="preserve"> </w:t>
      </w:r>
      <w:r>
        <w:t xml:space="preserve">اتخاذ إجراءات فورية للقضاء على عدم المطابقة المكتشفة.</w:t>
      </w:r>
      <w:r>
        <w:t xml:space="preserve"> </w:t>
      </w:r>
      <w:r>
        <w:t xml:space="preserve">-</w:t>
      </w:r>
      <w:r>
        <w:t xml:space="preserve"> </w:t>
      </w:r>
      <w:r>
        <w:rPr>
          <w:b/>
          <w:bCs/>
        </w:rPr>
        <w:t xml:space="preserve">متى:</w:t>
      </w:r>
      <w:r>
        <w:t xml:space="preserve"> </w:t>
      </w:r>
      <w:r>
        <w:t xml:space="preserve">فور اكتشاف عدم المطابقة.</w:t>
      </w:r>
      <w:r>
        <w:t xml:space="preserve"> </w:t>
      </w:r>
      <w:r>
        <w:t xml:space="preserve">-</w:t>
      </w:r>
      <w:r>
        <w:t xml:space="preserve"> </w:t>
      </w:r>
      <w:r>
        <w:rPr>
          <w:b/>
          <w:bCs/>
        </w:rPr>
        <w:t xml:space="preserve">أين:</w:t>
      </w:r>
      <w:r>
        <w:t xml:space="preserve"> </w:t>
      </w:r>
      <w:r>
        <w:t xml:space="preserve">في مكان حدوث عدم المطابقة.</w:t>
      </w:r>
      <w:r>
        <w:t xml:space="preserve"> </w:t>
      </w:r>
      <w:r>
        <w:t xml:space="preserve">-</w:t>
      </w:r>
      <w:r>
        <w:t xml:space="preserve"> </w:t>
      </w:r>
      <w:r>
        <w:rPr>
          <w:b/>
          <w:bCs/>
        </w:rPr>
        <w:t xml:space="preserve">كيف:</w:t>
      </w:r>
      <w:r>
        <w:t xml:space="preserve"> </w:t>
      </w:r>
      <w:r>
        <w:t xml:space="preserve">6-2-1.</w:t>
      </w:r>
      <w:r>
        <w:t xml:space="preserve"> </w:t>
      </w:r>
      <w:r>
        <w:rPr>
          <w:b/>
          <w:bCs/>
        </w:rPr>
        <w:t xml:space="preserve">للمنتجات:</w:t>
      </w:r>
      <w:r>
        <w:t xml:space="preserve"> </w:t>
      </w:r>
      <w:r>
        <w:t xml:space="preserve">- يتم احتجاز وتحديد المنتجات المتضررة بشكل واضح لمنع استخدامها غير المقصود، وتوثيق الكميات المتأثرة واللوطات (ISO 22000:2018 §8.9.2).</w:t>
      </w:r>
      <w:r>
        <w:t xml:space="preserve"> </w:t>
      </w:r>
      <w:r>
        <w:t xml:space="preserve">- يتم تقييم المنتجات المحتجزة لتحديد مدى تأثير عدم المطابقة على سلامتها وجودتها.</w:t>
      </w:r>
      <w:r>
        <w:t xml:space="preserve"> </w:t>
      </w:r>
      <w:r>
        <w:t xml:space="preserve">- يتم التعامل مع المنتجات التي يُحتمل أنها غير آمنة أو غير مطابقة وفقاً لإجراء</w:t>
      </w:r>
      <w:r>
        <w:t xml:space="preserve"> </w:t>
      </w:r>
      <w:r>
        <w:t xml:space="preserve">“التحكم في المنتجات غير المطابقة والمنتجات التي يُحتمل أنها غير آمنة”</w:t>
      </w:r>
      <w:r>
        <w:t xml:space="preserve"> </w:t>
      </w:r>
      <w:r>
        <w:t xml:space="preserve">(FSP-XX) (ISO 22000:2018 §8.9.2.1, Codex Alimentarius CAC/RCP 1-1969 §II.4.3).</w:t>
      </w:r>
      <w:r>
        <w:t xml:space="preserve"> </w:t>
      </w:r>
      <w:r>
        <w:t xml:space="preserve">- قد يشمل ذلك: إعادة التجهيز/المعالجة، إعادة الاستخدام المقصود، الإتلاف، أو أي قرار آخر يتم اعتماده من قبل مدير الجودة ورئيس فريق سلامة الغذاء. يجب تسجيل جميع القرارات المتعلقة بأيلولة المنتج (ISO 22000:2018 §8.9.2.2, §8.9.2.3).</w:t>
      </w:r>
      <w:r>
        <w:t xml:space="preserve"> </w:t>
      </w:r>
      <w:r>
        <w:t xml:space="preserve">6-2-2.</w:t>
      </w:r>
      <w:r>
        <w:t xml:space="preserve"> </w:t>
      </w:r>
      <w:r>
        <w:rPr>
          <w:b/>
          <w:bCs/>
        </w:rPr>
        <w:t xml:space="preserve">للعمليات/الأنظمة:</w:t>
      </w:r>
      <w:r>
        <w:t xml:space="preserve"> </w:t>
      </w:r>
      <w:r>
        <w:t xml:space="preserve">- يتم اتخاذ الإجراء الفوري لاستعادة السيطرة على العملية أو النظام (مثال: ضبط إعدادات المعدة، إصلاح عطل بسيط، إعادة تدريب فوري) (ISO 22000:2018 §10.1.1).</w:t>
      </w:r>
      <w:r>
        <w:t xml:space="preserve"> </w:t>
      </w:r>
      <w:r>
        <w:t xml:space="preserve">6-2-3. يتم توثيق التصحيحات المتخذة والمسؤول عنها في</w:t>
      </w:r>
      <w:r>
        <w:t xml:space="preserve"> </w:t>
      </w:r>
      <w:r>
        <w:t xml:space="preserve">“تقرير عدم مطابقة”</w:t>
      </w:r>
      <w:r>
        <w:t xml:space="preserve"> </w:t>
      </w:r>
      <w:r>
        <w:t xml:space="preserve">(F-13-01) (ISO 22000:2018 §10.1.1).</w:t>
      </w:r>
    </w:p>
    <w:p>
      <w:pPr>
        <w:pStyle w:val="BodyText"/>
      </w:pPr>
      <w:r>
        <w:rPr>
          <w:b/>
          <w:bCs/>
        </w:rPr>
        <w:t xml:space="preserve">6-3. تحليل السبب الجذري والإجراءات التصحيحية:</w:t>
      </w:r>
      <w:r>
        <w:t xml:space="preserve"> </w:t>
      </w:r>
      <w:r>
        <w:t xml:space="preserve">-</w:t>
      </w:r>
      <w:r>
        <w:t xml:space="preserve"> </w:t>
      </w:r>
      <w:r>
        <w:rPr>
          <w:b/>
          <w:bCs/>
        </w:rPr>
        <w:t xml:space="preserve">من:</w:t>
      </w:r>
      <w:r>
        <w:t xml:space="preserve"> </w:t>
      </w:r>
      <w:r>
        <w:t xml:space="preserve">فريق سلامة الغذاء بمشاركة الأقسام المعنية.</w:t>
      </w:r>
      <w:r>
        <w:t xml:space="preserve"> </w:t>
      </w:r>
      <w:r>
        <w:t xml:space="preserve">-</w:t>
      </w:r>
      <w:r>
        <w:t xml:space="preserve"> </w:t>
      </w:r>
      <w:r>
        <w:rPr>
          <w:b/>
          <w:bCs/>
        </w:rPr>
        <w:t xml:space="preserve">ماذا:</w:t>
      </w:r>
      <w:r>
        <w:t xml:space="preserve"> </w:t>
      </w:r>
      <w:r>
        <w:t xml:space="preserve">تحليل السبب الجذري لعدم المطابقة وتحديد الإجراءات التصحيحية اللازمة.</w:t>
      </w:r>
      <w:r>
        <w:t xml:space="preserve"> </w:t>
      </w:r>
      <w:r>
        <w:t xml:space="preserve">-</w:t>
      </w:r>
      <w:r>
        <w:t xml:space="preserve"> </w:t>
      </w:r>
      <w:r>
        <w:rPr>
          <w:b/>
          <w:bCs/>
        </w:rPr>
        <w:t xml:space="preserve">متى:</w:t>
      </w:r>
      <w:r>
        <w:t xml:space="preserve"> </w:t>
      </w:r>
      <w:r>
        <w:t xml:space="preserve">خلال 3 أيام عمل من تاريخ اكتشاف عدم المطابقة، خاصة للحالات الحرجة والكبرى.</w:t>
      </w:r>
      <w:r>
        <w:t xml:space="preserve"> </w:t>
      </w:r>
      <w:r>
        <w:t xml:space="preserve">-</w:t>
      </w:r>
      <w:r>
        <w:t xml:space="preserve"> </w:t>
      </w:r>
      <w:r>
        <w:rPr>
          <w:b/>
          <w:bCs/>
        </w:rPr>
        <w:t xml:space="preserve">أين:</w:t>
      </w:r>
      <w:r>
        <w:t xml:space="preserve"> </w:t>
      </w:r>
      <w:r>
        <w:t xml:space="preserve">في اجتماعات فريق سلامة الغذاء أو نقاشات مع الأقسام المعنية.</w:t>
      </w:r>
      <w:r>
        <w:t xml:space="preserve"> </w:t>
      </w:r>
      <w:r>
        <w:t xml:space="preserve">-</w:t>
      </w:r>
      <w:r>
        <w:t xml:space="preserve"> </w:t>
      </w:r>
      <w:r>
        <w:rPr>
          <w:b/>
          <w:bCs/>
        </w:rPr>
        <w:t xml:space="preserve">كيف:</w:t>
      </w:r>
      <w:r>
        <w:t xml:space="preserve"> </w:t>
      </w:r>
      <w:r>
        <w:t xml:space="preserve">6-3-1. يقوم فريق سلامة الغذاء بتحليل عدم المطابقة باستخدام أدوات التحليل الجذري المناسبة (مثال: طريقة 5 Why، مخطط إيشيكاوا/عظم السمكة) لتحديد السبب أو الأسباب الجذرية التي أدت إلى حدوث عدم المطابقة (ISO 22000:2018 §10.2.1-b).</w:t>
      </w:r>
      <w:r>
        <w:t xml:space="preserve"> </w:t>
      </w:r>
      <w:r>
        <w:t xml:space="preserve">6-3-2. بناءً على تحليل السبب الجذري، يتم تحديد الإجراءات التصحيحية اللازمة للقضاء على هذا السبب ومنع تكراره. يجب أن تكون الإجراءات التصحيحية مناسبة لتأثير عدم المطابقة المكتشفة (ISO 22000:2018 §10.2.1-c).</w:t>
      </w:r>
      <w:r>
        <w:t xml:space="preserve"> </w:t>
      </w:r>
      <w:r>
        <w:t xml:space="preserve">6-3-3. يتم تسجيل الإجراءات التصحيحية المقترحة، والمسؤول عن تنفيذها، والتاريخ المستهدف للتنفيذ في</w:t>
      </w:r>
      <w:r>
        <w:t xml:space="preserve"> </w:t>
      </w:r>
      <w:r>
        <w:t xml:space="preserve">“تقرير عدم مطابقة”</w:t>
      </w:r>
      <w:r>
        <w:t xml:space="preserve"> </w:t>
      </w:r>
      <w:r>
        <w:t xml:space="preserve">(F-13-01) و</w:t>
      </w:r>
      <w:r>
        <w:t xml:space="preserve"> </w:t>
      </w:r>
      <w:r>
        <w:t xml:space="preserve">“سجل الإجراءات التصحيحية”</w:t>
      </w:r>
      <w:r>
        <w:t xml:space="preserve"> </w:t>
      </w:r>
      <w:r>
        <w:t xml:space="preserve">(F-13-03).</w:t>
      </w:r>
      <w:r>
        <w:t xml:space="preserve"> </w:t>
      </w:r>
      <w:r>
        <w:t xml:space="preserve">6-3-4. تتم مراجعة الإجراءات التصحيحية المقترحة وإجازتها من مدير الجودة ورئيس فريق سلامة الغذاء.</w:t>
      </w:r>
    </w:p>
    <w:p>
      <w:pPr>
        <w:pStyle w:val="BodyText"/>
      </w:pPr>
      <w:r>
        <w:rPr>
          <w:b/>
          <w:bCs/>
        </w:rPr>
        <w:t xml:space="preserve">6-4. تنفيذ الإجراءات التصحيحية:</w:t>
      </w:r>
      <w:r>
        <w:t xml:space="preserve"> </w:t>
      </w:r>
      <w:r>
        <w:t xml:space="preserve">-</w:t>
      </w:r>
      <w:r>
        <w:t xml:space="preserve"> </w:t>
      </w:r>
      <w:r>
        <w:rPr>
          <w:b/>
          <w:bCs/>
        </w:rPr>
        <w:t xml:space="preserve">من:</w:t>
      </w:r>
      <w:r>
        <w:t xml:space="preserve"> </w:t>
      </w:r>
      <w:r>
        <w:t xml:space="preserve">المسؤول عن تنفيذ الإجراء التصحيحي المحدد.</w:t>
      </w:r>
      <w:r>
        <w:t xml:space="preserve"> </w:t>
      </w:r>
      <w:r>
        <w:t xml:space="preserve">-</w:t>
      </w:r>
      <w:r>
        <w:t xml:space="preserve"> </w:t>
      </w:r>
      <w:r>
        <w:rPr>
          <w:b/>
          <w:bCs/>
        </w:rPr>
        <w:t xml:space="preserve">ماذا:</w:t>
      </w:r>
      <w:r>
        <w:t xml:space="preserve"> </w:t>
      </w:r>
      <w:r>
        <w:t xml:space="preserve">تنفيذ الإجراءات التصحيحية في الموعد المحدد.</w:t>
      </w:r>
      <w:r>
        <w:t xml:space="preserve"> </w:t>
      </w:r>
      <w:r>
        <w:t xml:space="preserve">-</w:t>
      </w:r>
      <w:r>
        <w:t xml:space="preserve"> </w:t>
      </w:r>
      <w:r>
        <w:rPr>
          <w:b/>
          <w:bCs/>
        </w:rPr>
        <w:t xml:space="preserve">متى:</w:t>
      </w:r>
      <w:r>
        <w:t xml:space="preserve"> </w:t>
      </w:r>
      <w:r>
        <w:t xml:space="preserve">حسب التاريخ المستهدف المحدد في</w:t>
      </w:r>
      <w:r>
        <w:t xml:space="preserve"> </w:t>
      </w:r>
      <w:r>
        <w:t xml:space="preserve">“تقرير عدم مطابقة”</w:t>
      </w:r>
      <w:r>
        <w:t xml:space="preserve"> </w:t>
      </w:r>
      <w:r>
        <w:t xml:space="preserve">(F-13-01).</w:t>
      </w:r>
      <w:r>
        <w:t xml:space="preserve"> </w:t>
      </w:r>
      <w:r>
        <w:t xml:space="preserve">-</w:t>
      </w:r>
      <w:r>
        <w:t xml:space="preserve"> </w:t>
      </w:r>
      <w:r>
        <w:rPr>
          <w:b/>
          <w:bCs/>
        </w:rPr>
        <w:t xml:space="preserve">أين:</w:t>
      </w:r>
      <w:r>
        <w:t xml:space="preserve"> </w:t>
      </w:r>
      <w:r>
        <w:t xml:space="preserve">في الأقسام أو العمليات المعنية.</w:t>
      </w:r>
      <w:r>
        <w:t xml:space="preserve"> </w:t>
      </w:r>
      <w:r>
        <w:t xml:space="preserve">-</w:t>
      </w:r>
      <w:r>
        <w:t xml:space="preserve"> </w:t>
      </w:r>
      <w:r>
        <w:rPr>
          <w:b/>
          <w:bCs/>
        </w:rPr>
        <w:t xml:space="preserve">كيف:</w:t>
      </w:r>
      <w:r>
        <w:t xml:space="preserve"> </w:t>
      </w:r>
      <w:r>
        <w:t xml:space="preserve">6-4-1. يتم تنفيذ الإجراءات التصحيحية مثل (تعديل المستندات، تدريب العاملين، تغيير المعدات، تحسين إجراءات الصيانة، مراجعة وتحديث خطة HACCP أو OPRPs، إلخ.) (ISO 22000:2018 §10.2.1-c).</w:t>
      </w:r>
      <w:r>
        <w:t xml:space="preserve"> </w:t>
      </w:r>
      <w:r>
        <w:t xml:space="preserve">6-4-2. يتم توثيق تفاصيل التنفيذ وتاريخ الانتهاء في</w:t>
      </w:r>
      <w:r>
        <w:t xml:space="preserve"> </w:t>
      </w:r>
      <w:r>
        <w:t xml:space="preserve">“تقرير عدم مطابقة”</w:t>
      </w:r>
      <w:r>
        <w:t xml:space="preserve"> </w:t>
      </w:r>
      <w:r>
        <w:t xml:space="preserve">(F-13-01) (ISO 22000:2018 §7.5.1).</w:t>
      </w:r>
    </w:p>
    <w:p>
      <w:pPr>
        <w:pStyle w:val="BodyText"/>
      </w:pPr>
      <w:r>
        <w:rPr>
          <w:b/>
          <w:bCs/>
        </w:rPr>
        <w:t xml:space="preserve">6-5. التحقق من فعالية الإجراءات التصحيحية:</w:t>
      </w:r>
      <w:r>
        <w:t xml:space="preserve"> </w:t>
      </w:r>
      <w:r>
        <w:t xml:space="preserve">-</w:t>
      </w:r>
      <w:r>
        <w:t xml:space="preserve"> </w:t>
      </w:r>
      <w:r>
        <w:rPr>
          <w:b/>
          <w:bCs/>
        </w:rPr>
        <w:t xml:space="preserve">من:</w:t>
      </w:r>
      <w:r>
        <w:t xml:space="preserve"> </w:t>
      </w:r>
      <w:r>
        <w:t xml:space="preserve">مدير الجودة أو عضو مفوض من فريق سلامة الغذاء.</w:t>
      </w:r>
      <w:r>
        <w:t xml:space="preserve"> </w:t>
      </w:r>
      <w:r>
        <w:t xml:space="preserve">-</w:t>
      </w:r>
      <w:r>
        <w:t xml:space="preserve"> </w:t>
      </w:r>
      <w:r>
        <w:rPr>
          <w:b/>
          <w:bCs/>
        </w:rPr>
        <w:t xml:space="preserve">ماذا:</w:t>
      </w:r>
      <w:r>
        <w:t xml:space="preserve"> </w:t>
      </w:r>
      <w:r>
        <w:t xml:space="preserve">التحقق من أن الإجراءات التصحيحية المطبقة قد قضت بالفعل على السبب الجذري لعدم المطابقة ومنعت تكرارها.</w:t>
      </w:r>
      <w:r>
        <w:t xml:space="preserve"> </w:t>
      </w:r>
      <w:r>
        <w:t xml:space="preserve">-</w:t>
      </w:r>
      <w:r>
        <w:t xml:space="preserve"> </w:t>
      </w:r>
      <w:r>
        <w:rPr>
          <w:b/>
          <w:bCs/>
        </w:rPr>
        <w:t xml:space="preserve">متى:</w:t>
      </w:r>
      <w:r>
        <w:t xml:space="preserve"> </w:t>
      </w:r>
      <w:r>
        <w:t xml:space="preserve">بعد فترة زمنية كافية من تنفيذ الإجراء التصحيحي للسماح بظهور النتائج، وتحدد هذه الفترة بناءً على طبيعة عدم المطابقة.</w:t>
      </w:r>
      <w:r>
        <w:t xml:space="preserve"> </w:t>
      </w:r>
      <w:r>
        <w:t xml:space="preserve">-</w:t>
      </w:r>
      <w:r>
        <w:t xml:space="preserve"> </w:t>
      </w:r>
      <w:r>
        <w:rPr>
          <w:b/>
          <w:bCs/>
        </w:rPr>
        <w:t xml:space="preserve">أين:</w:t>
      </w:r>
      <w:r>
        <w:t xml:space="preserve"> </w:t>
      </w:r>
      <w:r>
        <w:t xml:space="preserve">في موقع تطبيق الإجراء التصحيحي أو بمراجعة السجلات والبيانات.</w:t>
      </w:r>
      <w:r>
        <w:t xml:space="preserve"> </w:t>
      </w:r>
      <w:r>
        <w:t xml:space="preserve">-</w:t>
      </w:r>
      <w:r>
        <w:t xml:space="preserve"> </w:t>
      </w:r>
      <w:r>
        <w:rPr>
          <w:b/>
          <w:bCs/>
        </w:rPr>
        <w:t xml:space="preserve">كيف:</w:t>
      </w:r>
      <w:r>
        <w:t xml:space="preserve"> </w:t>
      </w:r>
      <w:r>
        <w:t xml:space="preserve">6-5-1. يتم التحقق من فعالية الإجراءات التصحيحية من خلال (متابعة مؤشرات الأداء، مراجعة السجلات، إجراء تدقيقات متابعة، تحليل بيانات الرصد) للتأكد من عدم تكرار عدم المطابقة (ISO 22000:2018 §10.2.1-d).</w:t>
      </w:r>
      <w:r>
        <w:t xml:space="preserve"> </w:t>
      </w:r>
      <w:r>
        <w:t xml:space="preserve">6-5-2. يتم توثيق نتائج التحقق من الفعالية والمسؤول عنها وتاريخ التحقق في</w:t>
      </w:r>
      <w:r>
        <w:t xml:space="preserve"> </w:t>
      </w:r>
      <w:r>
        <w:t xml:space="preserve">“تقرير عدم مطابقة”</w:t>
      </w:r>
      <w:r>
        <w:t xml:space="preserve"> </w:t>
      </w:r>
      <w:r>
        <w:t xml:space="preserve">(F-13-01).</w:t>
      </w:r>
      <w:r>
        <w:t xml:space="preserve"> </w:t>
      </w:r>
      <w:r>
        <w:t xml:space="preserve">6-5-3. في حالة عدم فعالية الإجراء التصحيحي، يتم إعادة تتبع الخطوات من 6-3 (تحليل السبب الجذري وتحديد إجراءات تصحيحية جديدة).</w:t>
      </w:r>
    </w:p>
    <w:p>
      <w:pPr>
        <w:pStyle w:val="BodyText"/>
      </w:pPr>
      <w:r>
        <w:rPr>
          <w:b/>
          <w:bCs/>
        </w:rPr>
        <w:t xml:space="preserve">6-6. إغلاق عدم المطابقة:</w:t>
      </w:r>
      <w:r>
        <w:t xml:space="preserve"> </w:t>
      </w:r>
      <w:r>
        <w:t xml:space="preserve">-</w:t>
      </w:r>
      <w:r>
        <w:t xml:space="preserve"> </w:t>
      </w:r>
      <w:r>
        <w:rPr>
          <w:b/>
          <w:bCs/>
        </w:rPr>
        <w:t xml:space="preserve">من:</w:t>
      </w:r>
      <w:r>
        <w:t xml:space="preserve"> </w:t>
      </w:r>
      <w:r>
        <w:t xml:space="preserve">مدير الجودة أو رئيس فريق سلامة الغذاء.</w:t>
      </w:r>
      <w:r>
        <w:t xml:space="preserve"> </w:t>
      </w:r>
      <w:r>
        <w:t xml:space="preserve">-</w:t>
      </w:r>
      <w:r>
        <w:t xml:space="preserve"> </w:t>
      </w:r>
      <w:r>
        <w:rPr>
          <w:b/>
          <w:bCs/>
        </w:rPr>
        <w:t xml:space="preserve">ماذا:</w:t>
      </w:r>
      <w:r>
        <w:t xml:space="preserve"> </w:t>
      </w:r>
      <w:r>
        <w:t xml:space="preserve">إغلاق سجل عدم المطابقة بعد التأكد من فعاليتها.</w:t>
      </w:r>
      <w:r>
        <w:t xml:space="preserve"> </w:t>
      </w:r>
      <w:r>
        <w:t xml:space="preserve">-</w:t>
      </w:r>
      <w:r>
        <w:t xml:space="preserve"> </w:t>
      </w:r>
      <w:r>
        <w:rPr>
          <w:b/>
          <w:bCs/>
        </w:rPr>
        <w:t xml:space="preserve">متى:</w:t>
      </w:r>
      <w:r>
        <w:t xml:space="preserve"> </w:t>
      </w:r>
      <w:r>
        <w:t xml:space="preserve">بعد التحقق بنجاح من فعالية الإجراء التصحيحي.</w:t>
      </w:r>
      <w:r>
        <w:t xml:space="preserve"> </w:t>
      </w:r>
      <w:r>
        <w:t xml:space="preserve">-</w:t>
      </w:r>
      <w:r>
        <w:t xml:space="preserve"> </w:t>
      </w:r>
      <w:r>
        <w:rPr>
          <w:b/>
          <w:bCs/>
        </w:rPr>
        <w:t xml:space="preserve">أين:</w:t>
      </w:r>
      <w:r>
        <w:t xml:space="preserve"> </w:t>
      </w:r>
      <w:r>
        <w:t xml:space="preserve">في مكتب الجودة.</w:t>
      </w:r>
      <w:r>
        <w:t xml:space="preserve"> </w:t>
      </w:r>
      <w:r>
        <w:t xml:space="preserve">-</w:t>
      </w:r>
      <w:r>
        <w:t xml:space="preserve"> </w:t>
      </w:r>
      <w:r>
        <w:rPr>
          <w:b/>
          <w:bCs/>
        </w:rPr>
        <w:t xml:space="preserve">كيف:</w:t>
      </w:r>
      <w:r>
        <w:t xml:space="preserve"> </w:t>
      </w:r>
      <w:r>
        <w:t xml:space="preserve">6-6-1. بعد التأكد من فعالية الإجراء التصحيحي، يتم اعتماد إغلاق</w:t>
      </w:r>
      <w:r>
        <w:t xml:space="preserve"> </w:t>
      </w:r>
      <w:r>
        <w:t xml:space="preserve">“تقرير عدم مطابقة”</w:t>
      </w:r>
      <w:r>
        <w:t xml:space="preserve"> </w:t>
      </w:r>
      <w:r>
        <w:t xml:space="preserve">(F-13-01) و</w:t>
      </w:r>
      <w:r>
        <w:t xml:space="preserve"> </w:t>
      </w:r>
      <w:r>
        <w:t xml:space="preserve">“سجل الإجراءات التصحيحية”</w:t>
      </w:r>
      <w:r>
        <w:t xml:space="preserve"> </w:t>
      </w:r>
      <w:r>
        <w:t xml:space="preserve">(F-13-03) (ISO 22000:2018 §7.5.1).</w:t>
      </w:r>
      <w:r>
        <w:t xml:space="preserve"> </w:t>
      </w:r>
      <w:r>
        <w:t xml:space="preserve">6-6-2. يتم تحديث</w:t>
      </w:r>
      <w:r>
        <w:t xml:space="preserve"> </w:t>
      </w:r>
      <w:r>
        <w:t xml:space="preserve">“سجل متابعة حالات عدم المطابقة”</w:t>
      </w:r>
      <w:r>
        <w:t xml:space="preserve"> </w:t>
      </w:r>
      <w:r>
        <w:t xml:space="preserve">(F-13-02) بحالة الإغلاق.</w:t>
      </w:r>
    </w:p>
    <w:p>
      <w:pPr>
        <w:pStyle w:val="BodyText"/>
      </w:pPr>
      <w:r>
        <w:rPr>
          <w:b/>
          <w:bCs/>
        </w:rPr>
        <w:t xml:space="preserve">6-7. مراجعة الإدارة (Management Review):</w:t>
      </w:r>
      <w:r>
        <w:t xml:space="preserve"> </w:t>
      </w:r>
      <w:r>
        <w:t xml:space="preserve">-</w:t>
      </w:r>
      <w:r>
        <w:t xml:space="preserve"> </w:t>
      </w:r>
      <w:r>
        <w:rPr>
          <w:b/>
          <w:bCs/>
        </w:rPr>
        <w:t xml:space="preserve">من:</w:t>
      </w:r>
      <w:r>
        <w:t xml:space="preserve"> </w:t>
      </w:r>
      <w:r>
        <w:t xml:space="preserve">الإدارة العليا بقيادة مدير الجودة.</w:t>
      </w:r>
      <w:r>
        <w:t xml:space="preserve"> </w:t>
      </w:r>
      <w:r>
        <w:t xml:space="preserve">-</w:t>
      </w:r>
      <w:r>
        <w:t xml:space="preserve"> </w:t>
      </w:r>
      <w:r>
        <w:rPr>
          <w:b/>
          <w:bCs/>
        </w:rPr>
        <w:t xml:space="preserve">ماذا:</w:t>
      </w:r>
      <w:r>
        <w:t xml:space="preserve"> </w:t>
      </w:r>
      <w:r>
        <w:t xml:space="preserve">مراجعة وتحليل بيانات عدم المطابقة والإجراءات التصحيحية (ISO 22000:2018 §9.3.2).</w:t>
      </w:r>
      <w:r>
        <w:t xml:space="preserve"> </w:t>
      </w:r>
      <w:r>
        <w:t xml:space="preserve">-</w:t>
      </w:r>
      <w:r>
        <w:t xml:space="preserve"> </w:t>
      </w:r>
      <w:r>
        <w:rPr>
          <w:b/>
          <w:bCs/>
        </w:rPr>
        <w:t xml:space="preserve">متى:</w:t>
      </w:r>
      <w:r>
        <w:t xml:space="preserve"> </w:t>
      </w:r>
      <w:r>
        <w:t xml:space="preserve">بشكل دوري، على الأقل مرة واحدة سنوياً.</w:t>
      </w:r>
      <w:r>
        <w:t xml:space="preserve"> </w:t>
      </w:r>
      <w:r>
        <w:t xml:space="preserve">-</w:t>
      </w:r>
      <w:r>
        <w:t xml:space="preserve"> </w:t>
      </w:r>
      <w:r>
        <w:rPr>
          <w:b/>
          <w:bCs/>
        </w:rPr>
        <w:t xml:space="preserve">أين:</w:t>
      </w:r>
      <w:r>
        <w:t xml:space="preserve"> </w:t>
      </w:r>
      <w:r>
        <w:t xml:space="preserve">في اجتماعات مراجعة الإدارة.</w:t>
      </w:r>
      <w:r>
        <w:t xml:space="preserve"> </w:t>
      </w:r>
      <w:r>
        <w:t xml:space="preserve">-</w:t>
      </w:r>
      <w:r>
        <w:t xml:space="preserve"> </w:t>
      </w:r>
      <w:r>
        <w:rPr>
          <w:b/>
          <w:bCs/>
        </w:rPr>
        <w:t xml:space="preserve">كيف:</w:t>
      </w:r>
      <w:r>
        <w:t xml:space="preserve"> </w:t>
      </w:r>
      <w:r>
        <w:t xml:space="preserve">يتم عرض ملخص لحالات عدم المطابقة والإجراءات التصحيحية المتخذة وفاعليتها خلال اجتماعات مراجعة الإدارة بهدف التقييم الشامل للنظام والتحسين المستمر (ISO 22000:2018 §9.3.2).</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F-13-01</w:t>
            </w:r>
          </w:p>
        </w:tc>
        <w:tc>
          <w:tcPr/>
          <w:p>
            <w:pPr>
              <w:pStyle w:val="Compact"/>
            </w:pPr>
            <w:r>
              <w:t xml:space="preserve">تقرير عدم مطابقة (NCR)</w:t>
            </w:r>
          </w:p>
        </w:tc>
        <w:tc>
          <w:tcPr/>
          <w:p>
            <w:pPr>
              <w:pStyle w:val="Compact"/>
            </w:pPr>
            <w:r>
              <w:t xml:space="preserve">مدير الجودة / رئيس فريق سلامة الغذاء</w:t>
            </w:r>
          </w:p>
        </w:tc>
        <w:tc>
          <w:tcPr/>
          <w:p>
            <w:pPr>
              <w:pStyle w:val="Compact"/>
            </w:pPr>
            <w:r>
              <w:t xml:space="preserve">5 سنوات بعد تاريخ إنتاج وبيع آخر منتج متأثر (أو حسب أطول مدة صلاحية للمنتج + سنتين، أيهما أطول)، وبما يتوافق مع NFSA قرار 6/2023 المادة 41 وما ينص عليه FSSC 22000 v6</w:t>
            </w:r>
          </w:p>
        </w:tc>
        <w:tc>
          <w:tcPr/>
          <w:p>
            <w:pPr>
              <w:pStyle w:val="Compact"/>
            </w:pPr>
            <w:r>
              <w:rPr>
                <w:b/>
                <w:bCs/>
              </w:rPr>
              <w:t xml:space="preserve">1. بيانات عامة:</w:t>
            </w:r>
            <w:r>
              <w:t xml:space="preserve"> </w:t>
            </w:r>
            <w:r>
              <w:t xml:space="preserve">تاريخ عدم المطابقة، رقم NCR، القسم.</w:t>
            </w:r>
            <w:r>
              <w:t xml:space="preserve"> </w:t>
            </w:r>
            <w:r>
              <w:rPr>
                <w:b/>
                <w:bCs/>
              </w:rPr>
              <w:t xml:space="preserve">2. وصف عدم المطابقة:</w:t>
            </w:r>
            <w:r>
              <w:t xml:space="preserve"> </w:t>
            </w:r>
            <w:r>
              <w:t xml:space="preserve">تفصيل واضح، صورة (إن أمكن).</w:t>
            </w:r>
            <w:r>
              <w:t xml:space="preserve"> </w:t>
            </w:r>
            <w:r>
              <w:rPr>
                <w:b/>
                <w:bCs/>
              </w:rPr>
              <w:t xml:space="preserve">3. الإجراء الفوري (التصحيح):</w:t>
            </w:r>
            <w:r>
              <w:t xml:space="preserve"> </w:t>
            </w:r>
            <w:r>
              <w:t xml:space="preserve">الإجراء المتخذ، المسؤول، تاريخ التنفيذ، تقييم المنتج المتأثر وأيلولته.</w:t>
            </w:r>
            <w:r>
              <w:t xml:space="preserve"> </w:t>
            </w:r>
            <w:r>
              <w:rPr>
                <w:b/>
                <w:bCs/>
              </w:rPr>
              <w:t xml:space="preserve">4. تحليل السبب الجذري:</w:t>
            </w:r>
            <w:r>
              <w:t xml:space="preserve"> </w:t>
            </w:r>
            <w:r>
              <w:t xml:space="preserve">الأدوات المستخدمة، الأسباب المحددة.</w:t>
            </w:r>
            <w:r>
              <w:t xml:space="preserve"> </w:t>
            </w:r>
            <w:r>
              <w:rPr>
                <w:b/>
                <w:bCs/>
              </w:rPr>
              <w:t xml:space="preserve">5. الإجراء التصحيحي المقترح:</w:t>
            </w:r>
            <w:r>
              <w:t xml:space="preserve"> </w:t>
            </w:r>
            <w:r>
              <w:t xml:space="preserve">الإجراء، المسؤول عن التنفيذ، التاريخ المستهدف.</w:t>
            </w:r>
            <w:r>
              <w:t xml:space="preserve"> </w:t>
            </w:r>
            <w:r>
              <w:rPr>
                <w:b/>
                <w:bCs/>
              </w:rPr>
              <w:t xml:space="preserve">6. تنفيذ الإجراء التصحيحي:</w:t>
            </w:r>
            <w:r>
              <w:t xml:space="preserve"> </w:t>
            </w:r>
            <w:r>
              <w:t xml:space="preserve">تاريخ التنفيذ الفعلي، إرفاق إثباتات (تدريب، مستندات معدلة).</w:t>
            </w:r>
            <w:r>
              <w:t xml:space="preserve"> </w:t>
            </w:r>
            <w:r>
              <w:rPr>
                <w:b/>
                <w:bCs/>
              </w:rPr>
              <w:t xml:space="preserve">7. التحقق من الفعالية:</w:t>
            </w:r>
            <w:r>
              <w:t xml:space="preserve"> </w:t>
            </w:r>
            <w:r>
              <w:t xml:space="preserve">الإجراء المتبع، المسؤول عن التحقق، تاريخ التحقق.</w:t>
            </w:r>
            <w:r>
              <w:t xml:space="preserve"> </w:t>
            </w:r>
            <w:r>
              <w:rPr>
                <w:b/>
                <w:bCs/>
              </w:rPr>
              <w:t xml:space="preserve">8. إغلاق عدم المطابقة:</w:t>
            </w:r>
            <w:r>
              <w:t xml:space="preserve"> </w:t>
            </w:r>
            <w:r>
              <w:t xml:space="preserve">تاريخ الإغلاق، اعتماد مدير الجودة.</w:t>
            </w:r>
          </w:p>
        </w:tc>
      </w:tr>
      <w:tr>
        <w:tc>
          <w:tcPr/>
          <w:p>
            <w:pPr>
              <w:pStyle w:val="Compact"/>
            </w:pPr>
            <w:r>
              <w:t xml:space="preserve">F-13-02</w:t>
            </w:r>
          </w:p>
        </w:tc>
        <w:tc>
          <w:tcPr/>
          <w:p>
            <w:pPr>
              <w:pStyle w:val="Compact"/>
            </w:pPr>
            <w:r>
              <w:t xml:space="preserve">سجل متابعة حالات عدم مطابقة</w:t>
            </w:r>
          </w:p>
        </w:tc>
        <w:tc>
          <w:tcPr/>
          <w:p>
            <w:pPr>
              <w:pStyle w:val="Compact"/>
            </w:pPr>
            <w:r>
              <w:t xml:space="preserve">مدير الجودة / رئيس فريق سلامة الغذاء</w:t>
            </w:r>
          </w:p>
        </w:tc>
        <w:tc>
          <w:tcPr/>
          <w:p>
            <w:pPr>
              <w:pStyle w:val="Compact"/>
            </w:pPr>
            <w:r>
              <w:t xml:space="preserve">5 سنوات بعد تاريخ إنتاج وبيع آخر منتج متأثر</w:t>
            </w:r>
          </w:p>
        </w:tc>
        <w:tc>
          <w:tcPr/>
          <w:p>
            <w:pPr>
              <w:pStyle w:val="Compact"/>
            </w:pPr>
            <w:r>
              <w:t xml:space="preserve">رقم NCR، تاريخ الاكتشاف، وصف مختصر، القسم المسؤول، حالة عدم المطابقة (قيد التنفيذ / مغلق)، تاريخ الإغلاق.</w:t>
            </w:r>
          </w:p>
        </w:tc>
      </w:tr>
      <w:tr>
        <w:tc>
          <w:tcPr/>
          <w:p>
            <w:pPr>
              <w:pStyle w:val="Compact"/>
            </w:pPr>
            <w:r>
              <w:t xml:space="preserve">F-13-03</w:t>
            </w:r>
          </w:p>
        </w:tc>
        <w:tc>
          <w:tcPr/>
          <w:p>
            <w:pPr>
              <w:pStyle w:val="Compact"/>
            </w:pPr>
            <w:r>
              <w:t xml:space="preserve">سجل الإجراءات التصحيحية</w:t>
            </w:r>
          </w:p>
        </w:tc>
        <w:tc>
          <w:tcPr/>
          <w:p>
            <w:pPr>
              <w:pStyle w:val="Compact"/>
            </w:pPr>
            <w:r>
              <w:t xml:space="preserve">مدير الجودة / رئيس فريق سلامة الغذاء</w:t>
            </w:r>
          </w:p>
        </w:tc>
        <w:tc>
          <w:tcPr/>
          <w:p>
            <w:pPr>
              <w:pStyle w:val="Compact"/>
            </w:pPr>
            <w:r>
              <w:t xml:space="preserve">5 سنوات بعد تاريخ إنتاج وبيع آخر منتج متأثر</w:t>
            </w:r>
          </w:p>
        </w:tc>
        <w:tc>
          <w:tcPr/>
          <w:p>
            <w:pPr>
              <w:pStyle w:val="Compact"/>
            </w:pPr>
            <w:r>
              <w:t xml:space="preserve">رقم NCR، السبب الجذري، الإجراء التصحيحي المحدد، المسؤول، التاريخ المستهدف، تاريخ التنفيذ الفعلي، تاريخ التحقق من الفعالية، حالة الإغلاق.</w:t>
            </w:r>
          </w:p>
        </w:tc>
      </w:tr>
      <w:tr>
        <w:tc>
          <w:tcPr/>
          <w:p>
            <w:pPr>
              <w:pStyle w:val="Compact"/>
            </w:pPr>
            <w:r>
              <w:t xml:space="preserve">F-13-04</w:t>
            </w:r>
          </w:p>
        </w:tc>
        <w:tc>
          <w:tcPr/>
          <w:p>
            <w:pPr>
              <w:pStyle w:val="Compact"/>
            </w:pPr>
            <w:r>
              <w:t xml:space="preserve">طلب تصحيح / إجراء تصحيحي</w:t>
            </w:r>
          </w:p>
        </w:tc>
        <w:tc>
          <w:tcPr/>
          <w:p>
            <w:pPr>
              <w:pStyle w:val="Compact"/>
            </w:pPr>
            <w:r>
              <w:t xml:space="preserve">مشرف المنطقة/ مدير الجودة</w:t>
            </w:r>
          </w:p>
        </w:tc>
        <w:tc>
          <w:tcPr/>
          <w:p>
            <w:pPr>
              <w:pStyle w:val="Compact"/>
            </w:pPr>
            <w:r>
              <w:t xml:space="preserve">5 سنوات بعد تاريخ إنتاج وبيع آخر منتج متأثر</w:t>
            </w:r>
          </w:p>
        </w:tc>
        <w:tc>
          <w:tcPr/>
          <w:p>
            <w:pPr>
              <w:pStyle w:val="Compact"/>
            </w:pPr>
            <w:r>
              <w:t xml:space="preserve">يمكن دمجه مع</w:t>
            </w:r>
            <w:r>
              <w:t xml:space="preserve"> </w:t>
            </w:r>
            <w:r>
              <w:rPr>
                <w:b/>
                <w:bCs/>
              </w:rPr>
              <w:t xml:space="preserve">F-13-01</w:t>
            </w:r>
            <w:r>
              <w:t xml:space="preserve"> </w:t>
            </w:r>
            <w:r>
              <w:t xml:space="preserve">(تقرير عدم مطابقة) لتوحيد عملية التسجيل، وإلا فيجب أن يتضمن تفاصيل مماثلة لـ F-13-01 فيما يخص طلب التصحيح.</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3"/>
        </w:numPr>
      </w:pPr>
      <w:r>
        <w:rPr>
          <w:b/>
          <w:bCs/>
        </w:rPr>
        <w:t xml:space="preserve">نسبة الإجراءات التصحيحية المنفذة في الموعد المحدد:</w:t>
      </w:r>
      <w:r>
        <w:t xml:space="preserve"> </w:t>
      </w:r>
      <w:r>
        <w:t xml:space="preserve">(عدد الإجراءات التصحيحية المنفذة في الموعد المحدد / إجمالي الإجراءات التصحيحية المخطط لها) * 100%. (يجب أن تكون النسبة المستهدفة &gt; 90%).</w:t>
      </w:r>
    </w:p>
    <w:p>
      <w:pPr>
        <w:pStyle w:val="Compact"/>
        <w:numPr>
          <w:ilvl w:val="0"/>
          <w:numId w:val="1003"/>
        </w:numPr>
      </w:pPr>
      <w:r>
        <w:rPr>
          <w:b/>
          <w:bCs/>
        </w:rPr>
        <w:t xml:space="preserve">نسبة الإجراءات التصحيحية المغلقة بعد التحقق من الفعالية:</w:t>
      </w:r>
      <w:r>
        <w:t xml:space="preserve"> </w:t>
      </w:r>
      <w:r>
        <w:t xml:space="preserve">(عدد الإجراءات التصحيحية التي تم التحقق من فعاليتها / إجمالي الإجراءات التصحيحية المخطط لها) * 100%. (يجب أن تكون النسبة المستهدفة &gt; 95% وفقًا لـ FSSC 22000 v6 Part 2, 2.5.4).</w:t>
      </w:r>
    </w:p>
    <w:p>
      <w:pPr>
        <w:pStyle w:val="Compact"/>
        <w:numPr>
          <w:ilvl w:val="0"/>
          <w:numId w:val="1003"/>
        </w:numPr>
      </w:pPr>
      <w:r>
        <w:rPr>
          <w:b/>
          <w:bCs/>
        </w:rPr>
        <w:t xml:space="preserve">معدل تكرار حالات عدم المطابقة الحرجة والكبرى:</w:t>
      </w:r>
      <w:r>
        <w:t xml:space="preserve"> </w:t>
      </w:r>
      <w:r>
        <w:t xml:space="preserve">(عدد حالات عدم المطابقة المتكررة من نفس النوع / إجمالي حالات عدم المطابقة الحرجة والكبرى) * 100%. المستهدف: 0% أو أقل من 5%.</w:t>
      </w:r>
    </w:p>
    <w:p>
      <w:pPr>
        <w:pStyle w:val="Compact"/>
        <w:numPr>
          <w:ilvl w:val="0"/>
          <w:numId w:val="1003"/>
        </w:numPr>
      </w:pPr>
      <w:r>
        <w:rPr>
          <w:b/>
          <w:bCs/>
        </w:rPr>
        <w:t xml:space="preserve">متوسط زمن إغلاق حالات عدم المطابقة الحرجة والكبرى:</w:t>
      </w:r>
      <w:r>
        <w:t xml:space="preserve"> </w:t>
      </w:r>
      <w:r>
        <w:t xml:space="preserve">يتم قياسه باليوم/الساعة من تاريخ الاكتشاف حتى تاريخ الإغلاق. المستهدف: أقل من 10 أيام عمل للحالات الكبرى، و24 ساعة للحالات الحرجة كإجراءات أولية.</w:t>
      </w:r>
    </w:p>
    <w:p>
      <w:pPr>
        <w:pStyle w:val="Compact"/>
        <w:numPr>
          <w:ilvl w:val="0"/>
          <w:numId w:val="1003"/>
        </w:numPr>
      </w:pPr>
      <w:r>
        <w:rPr>
          <w:b/>
          <w:bCs/>
        </w:rPr>
        <w:t xml:space="preserve">عدد الشكاوى الناتجة عن عدم مطابقة المنتج بعد تطبيق الإجراءات التصحيحية:</w:t>
      </w:r>
      <w:r>
        <w:t xml:space="preserve"> </w:t>
      </w:r>
      <w:r>
        <w:t xml:space="preserve">المستهدف: لا يوجد تكرار لشكوى سابقة تم اتخاذ إجراء تصحيحي بشأنها.</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13 - FSP-13</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2026-06-29T08:43:13Z</dcterms:created>
  <dcterms:modified xsi:type="dcterms:W3CDTF">2026-06-29T08:43:13Z</dcterms:modified>
</cp:coreProperties>
</file>

<file path=docProps/custom.xml><?xml version="1.0" encoding="utf-8"?>
<Properties xmlns="http://schemas.openxmlformats.org/officeDocument/2006/custom-properties" xmlns:vt="http://schemas.openxmlformats.org/officeDocument/2006/docPropsVTypes"/>
</file>