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0" w:name="شركة-لإنتاج-وتعبئة-المياه-الطبيعية"/>
    <w:p>
      <w:pPr>
        <w:pStyle w:val="Heading1"/>
      </w:pPr>
      <w:r>
        <w:t xml:space="preserve">شركة لإنتاج وتعبئة المياه الطبيعية</w:t>
      </w:r>
    </w:p>
    <w:bookmarkStart w:id="9" w:name="company-co."/>
    <w:p>
      <w:pPr>
        <w:pStyle w:val="Heading2"/>
      </w:pPr>
      <w:r>
        <w:t xml:space="preserve">Company Co.</w:t>
      </w:r>
    </w:p>
    <w:p>
      <w:pPr>
        <w:pStyle w:val="FirstParagraph"/>
      </w:pPr>
    </w:p>
    <w:bookmarkEnd w:id="9"/>
    <w:bookmarkEnd w:id="10"/>
    <w:bookmarkStart w:id="11" w:name="تصديق-التدابير-التحكمية"/>
    <w:p>
      <w:pPr>
        <w:pStyle w:val="Heading1"/>
      </w:pPr>
      <w:r>
        <w:t xml:space="preserve">تصديق التدابير التحكمية</w:t>
      </w:r>
    </w:p>
    <w:p>
      <w:pPr>
        <w:pStyle w:val="FirstParagraph"/>
      </w:pP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البيان</w:t>
            </w:r>
          </w:p>
        </w:tc>
        <w:tc>
          <w:tcPr/>
          <w:p>
            <w:pPr>
              <w:pStyle w:val="Compact"/>
            </w:pPr>
            <w:r>
              <w:t xml:space="preserve">التفصيل</w:t>
            </w:r>
          </w:p>
        </w:tc>
      </w:tr>
      <w:tr>
        <w:tc>
          <w:tcPr/>
          <w:p>
            <w:pPr>
              <w:pStyle w:val="Compact"/>
            </w:pPr>
            <w:r>
              <w:rPr>
                <w:b/>
                <w:bCs/>
              </w:rPr>
              <w:t xml:space="preserve">اسم الإجراء</w:t>
            </w:r>
          </w:p>
        </w:tc>
        <w:tc>
          <w:tcPr/>
          <w:p>
            <w:pPr>
              <w:pStyle w:val="Compact"/>
            </w:pPr>
            <w:r>
              <w:t xml:space="preserve">تصديق التدابير التحكمية</w:t>
            </w:r>
          </w:p>
        </w:tc>
      </w:tr>
      <w:tr>
        <w:tc>
          <w:tcPr/>
          <w:p>
            <w:pPr>
              <w:pStyle w:val="Compact"/>
            </w:pPr>
            <w:r>
              <w:rPr>
                <w:b/>
                <w:bCs/>
              </w:rPr>
              <w:t xml:space="preserve">كود الوثيقة</w:t>
            </w:r>
          </w:p>
        </w:tc>
        <w:tc>
          <w:tcPr/>
          <w:p>
            <w:pPr>
              <w:pStyle w:val="Compact"/>
            </w:pPr>
            <w:r>
              <w:t xml:space="preserve">FSP-16</w:t>
            </w:r>
          </w:p>
        </w:tc>
      </w:tr>
      <w:tr>
        <w:tc>
          <w:tcPr/>
          <w:p>
            <w:pPr>
              <w:pStyle w:val="Compact"/>
            </w:pPr>
            <w:r>
              <w:rPr>
                <w:b/>
                <w:bCs/>
              </w:rPr>
              <w:t xml:space="preserve">رقم الإصدار</w:t>
            </w:r>
          </w:p>
        </w:tc>
        <w:tc>
          <w:tcPr/>
          <w:p>
            <w:pPr>
              <w:pStyle w:val="Compact"/>
            </w:pPr>
            <w:r>
              <w:t xml:space="preserve">02</w:t>
            </w:r>
          </w:p>
        </w:tc>
      </w:tr>
      <w:tr>
        <w:tc>
          <w:tcPr/>
          <w:p>
            <w:pPr>
              <w:pStyle w:val="Compact"/>
            </w:pPr>
            <w:r>
              <w:rPr>
                <w:b/>
                <w:bCs/>
              </w:rPr>
              <w:t xml:space="preserve">تاريخ الاعتماد</w:t>
            </w:r>
          </w:p>
        </w:tc>
        <w:tc>
          <w:tcPr/>
          <w:p>
            <w:pPr>
              <w:pStyle w:val="Compact"/>
            </w:pPr>
            <w:r>
              <w:t xml:space="preserve">01/06/2026</w:t>
            </w:r>
          </w:p>
        </w:tc>
      </w:tr>
      <w:tr>
        <w:tc>
          <w:tcPr/>
          <w:p>
            <w:pPr>
              <w:pStyle w:val="Compact"/>
            </w:pPr>
            <w:r>
              <w:rPr>
                <w:b/>
                <w:bCs/>
              </w:rPr>
              <w:t xml:space="preserve">تاريخ المراجعة القادمة</w:t>
            </w:r>
          </w:p>
        </w:tc>
        <w:tc>
          <w:tcPr/>
          <w:p>
            <w:pPr>
              <w:pStyle w:val="Compact"/>
            </w:pPr>
            <w:r>
              <w:t xml:space="preserve">01/06/2027</w:t>
            </w:r>
          </w:p>
        </w:tc>
      </w:tr>
      <w:tr>
        <w:tc>
          <w:tcPr/>
          <w:p>
            <w:pPr>
              <w:pStyle w:val="Compact"/>
            </w:pPr>
            <w:r>
              <w:rPr>
                <w:b/>
                <w:bCs/>
              </w:rPr>
              <w:t xml:space="preserve">أعدّ بواسطة</w:t>
            </w:r>
          </w:p>
        </w:tc>
        <w:tc>
          <w:tcPr/>
          <w:p>
            <w:pPr>
              <w:pStyle w:val="Compact"/>
            </w:pPr>
            <w:r>
              <w:t xml:space="preserve">مسؤول ضمان الجودة</w:t>
            </w:r>
          </w:p>
        </w:tc>
      </w:tr>
      <w:tr>
        <w:tc>
          <w:tcPr/>
          <w:p>
            <w:pPr>
              <w:pStyle w:val="Compact"/>
            </w:pPr>
            <w:r>
              <w:rPr>
                <w:b/>
                <w:bCs/>
              </w:rPr>
              <w:t xml:space="preserve">اعتُمد بواسطة</w:t>
            </w:r>
          </w:p>
        </w:tc>
        <w:tc>
          <w:tcPr/>
          <w:p>
            <w:pPr>
              <w:pStyle w:val="Compact"/>
            </w:pPr>
            <w:r>
              <w:t xml:space="preserve">المدير العام</w:t>
            </w:r>
          </w:p>
        </w:tc>
      </w:tr>
    </w:tbl>
    <w:bookmarkEnd w:id="11"/>
    <w:p>
      <w:r>
        <w:pict>
          <v:rect style="width:0;height:1.5pt" o:hralign="center" o:hrstd="t" o:hr="t"/>
        </w:pict>
      </w:r>
    </w:p>
    <w:bookmarkStart w:id="23" w:name="الإجراء-رقم-16-تصديق-التدابير-التحكمية"/>
    <w:p>
      <w:pPr>
        <w:pStyle w:val="Heading1"/>
      </w:pPr>
      <w:r>
        <w:t xml:space="preserve">الإجراء رقم 16: تصديق التدابير التحكمية</w:t>
      </w:r>
    </w:p>
    <w:bookmarkStart w:id="12" w:name="الغرض-purpose"/>
    <w:p>
      <w:pPr>
        <w:pStyle w:val="Heading3"/>
      </w:pPr>
      <w:r>
        <w:t xml:space="preserve">1. الغرض (Purpose)</w:t>
      </w:r>
    </w:p>
    <w:p>
      <w:pPr>
        <w:pStyle w:val="FirstParagraph"/>
      </w:pPr>
      <w:r>
        <w:t xml:space="preserve">يهدف هذا الإجراء إلى تحديد منهجية شاملة ومنظمة لتصديق التدابير التحكمية التي تم تحديدها ضمن نظام إدارة سلامة الغذاء، سواء تلك المدرجة في خطة تحليل المخاطر ونقاط التحكم الحرجة (HACCP) أو ضمن برامج المتطلبات الأولية التشغيلية (OPRPs). يضمن هذا التصديق أن التدابير التحكمية المختارة، مجتمعة أو منفردة، قادرة على تحقيق التحكم المطلوب في مخاطر سلامة الغذاء المعرّفة، والوصول إلى مستويات مقبولة للحدود الحرجة أو معايير الإجراءات. كما يهدف إلى ضمان الاستمرارية في فعالية هذه التدابير بعد أي تغيير قد يطرأ على المنتجات، العمليات، المعدات، أو المتطلبات. يسهم هذا التصديق في تحقيق متطلبات ISO 22000:2018 §8.5.2 و FSSC 22000 v6 الجزء 2.5.3 ولائحة NFSA قرار 6/2023 المادة 32.</w:t>
      </w:r>
    </w:p>
    <w:bookmarkEnd w:id="12"/>
    <w:bookmarkStart w:id="13" w:name="النطاق-scope"/>
    <w:p>
      <w:pPr>
        <w:pStyle w:val="Heading3"/>
      </w:pPr>
      <w:r>
        <w:t xml:space="preserve">2. النطاق (Scope)</w:t>
      </w:r>
    </w:p>
    <w:p>
      <w:pPr>
        <w:pStyle w:val="FirstParagraph"/>
      </w:pPr>
      <w:r>
        <w:t xml:space="preserve">يطبق هذا الإجراء على جميع التدابير التحكمية (Control Measures) المحددة في مصنع Company لتعبئة المياه الطبيعية، والتي تشمل، على سبيل المثال لا الحصر:</w:t>
      </w:r>
      <w:r>
        <w:t xml:space="preserve"> </w:t>
      </w:r>
      <w:r>
        <w:t xml:space="preserve">- نقاط التحكم الحرجة (CCPs) ضمن خطة HACCP.</w:t>
      </w:r>
      <w:r>
        <w:t xml:space="preserve"> </w:t>
      </w:r>
      <w:r>
        <w:t xml:space="preserve">- برامج المتطلبات الأولية التشغيلية (OPRPs).</w:t>
      </w:r>
      <w:r>
        <w:t xml:space="preserve"> </w:t>
      </w:r>
      <w:r>
        <w:t xml:space="preserve">- أي تدابير تحكمية أخرى ضرورية لضمان سلامة المنتج وفقاً لتقييم المخاطر.</w:t>
      </w:r>
      <w:r>
        <w:t xml:space="preserve"> </w:t>
      </w:r>
      <w:r>
        <w:t xml:space="preserve">يشمل النطاق عملية التصديق الأولي قبل التطبيق الكامل للنظام، وعمليات إعادة التصديق الدورية، وبعد أي تغيير قد يؤثر على فعالية التدابير التحكمية.</w:t>
      </w:r>
    </w:p>
    <w:bookmarkEnd w:id="13"/>
    <w:bookmarkStart w:id="14" w:name="التعريفات-والمختصرات"/>
    <w:p>
      <w:pPr>
        <w:pStyle w:val="Heading3"/>
      </w:pPr>
      <w:r>
        <w:t xml:space="preserve">3. التعريفات والمختصرات</w:t>
      </w:r>
    </w:p>
    <w:p>
      <w:pPr>
        <w:pStyle w:val="Compact"/>
        <w:numPr>
          <w:ilvl w:val="0"/>
          <w:numId w:val="1001"/>
        </w:numPr>
      </w:pPr>
      <w:r>
        <w:rPr>
          <w:b/>
          <w:bCs/>
        </w:rPr>
        <w:t xml:space="preserve">التصديق (Validation)</w:t>
      </w:r>
      <w:r>
        <w:t xml:space="preserve">: الحصول على دليل موضوعي يؤكد أن التدابير التحكمية (أو مجموعة منها) قادرة على تحقيق التحكم المقصود (ISO 22000:2018 §3.18).</w:t>
      </w:r>
    </w:p>
    <w:p>
      <w:pPr>
        <w:pStyle w:val="Compact"/>
        <w:numPr>
          <w:ilvl w:val="0"/>
          <w:numId w:val="1001"/>
        </w:numPr>
      </w:pPr>
      <w:r>
        <w:rPr>
          <w:b/>
          <w:bCs/>
        </w:rPr>
        <w:t xml:space="preserve">التحقق (Verification)</w:t>
      </w:r>
      <w:r>
        <w:t xml:space="preserve">: تأكيد، من خلال توفير دليل موضوعي، أن المتطلبات المحددة قد تم الوفاء بها (ISO 22000:2018 §3.22).</w:t>
      </w:r>
    </w:p>
    <w:p>
      <w:pPr>
        <w:pStyle w:val="Compact"/>
        <w:numPr>
          <w:ilvl w:val="0"/>
          <w:numId w:val="1001"/>
        </w:numPr>
      </w:pPr>
      <w:r>
        <w:rPr>
          <w:b/>
          <w:bCs/>
        </w:rPr>
        <w:t xml:space="preserve">HACCP (Hazard Analysis and Critical Control Points)</w:t>
      </w:r>
      <w:r>
        <w:t xml:space="preserve">: نظام تحليل المخاطر ونقاط التحكم الحرجة (ISO 22000:2018 §3.23).</w:t>
      </w:r>
    </w:p>
    <w:p>
      <w:pPr>
        <w:pStyle w:val="Compact"/>
        <w:numPr>
          <w:ilvl w:val="0"/>
          <w:numId w:val="1001"/>
        </w:numPr>
      </w:pPr>
      <w:r>
        <w:rPr>
          <w:b/>
          <w:bCs/>
        </w:rPr>
        <w:t xml:space="preserve">CCP (Critical Control Point)</w:t>
      </w:r>
      <w:r>
        <w:t xml:space="preserve">: نقطة تحكم حرجة (ISO 22000:2018 §3.7).</w:t>
      </w:r>
    </w:p>
    <w:p>
      <w:pPr>
        <w:pStyle w:val="Compact"/>
        <w:numPr>
          <w:ilvl w:val="0"/>
          <w:numId w:val="1001"/>
        </w:numPr>
      </w:pPr>
      <w:r>
        <w:rPr>
          <w:b/>
          <w:bCs/>
        </w:rPr>
        <w:t xml:space="preserve">OPRP (Operational Prerequisite Programme)</w:t>
      </w:r>
      <w:r>
        <w:t xml:space="preserve">: برنامج المتطلبات الأولية التشغيلي (ISO 22000:2018 §3.10).</w:t>
      </w:r>
    </w:p>
    <w:p>
      <w:pPr>
        <w:pStyle w:val="Compact"/>
        <w:numPr>
          <w:ilvl w:val="0"/>
          <w:numId w:val="1001"/>
        </w:numPr>
      </w:pPr>
      <w:r>
        <w:rPr>
          <w:b/>
          <w:bCs/>
        </w:rPr>
        <w:t xml:space="preserve">PRPs (Prerequisite Programmes)</w:t>
      </w:r>
      <w:r>
        <w:t xml:space="preserve">: برامج المتطلبات الأولية (ISO 22000:2018 §3.9).</w:t>
      </w:r>
    </w:p>
    <w:p>
      <w:pPr>
        <w:pStyle w:val="Compact"/>
        <w:numPr>
          <w:ilvl w:val="0"/>
          <w:numId w:val="1001"/>
        </w:numPr>
      </w:pPr>
      <w:r>
        <w:rPr>
          <w:b/>
          <w:bCs/>
        </w:rPr>
        <w:t xml:space="preserve">NFSA</w:t>
      </w:r>
      <w:r>
        <w:t xml:space="preserve">: الهيئة القومية لسلامة الغذاء المصرية.</w:t>
      </w:r>
    </w:p>
    <w:p>
      <w:pPr>
        <w:pStyle w:val="Compact"/>
        <w:numPr>
          <w:ilvl w:val="0"/>
          <w:numId w:val="1001"/>
        </w:numPr>
      </w:pPr>
      <w:r>
        <w:rPr>
          <w:b/>
          <w:bCs/>
        </w:rPr>
        <w:t xml:space="preserve">فريق سلامة الغذاء (Food Safety Team - FST)</w:t>
      </w:r>
      <w:r>
        <w:t xml:space="preserve">: مجموعة من الأفراد لديهم الخبرة والمعرفة اللازمة لتطوير وتطبيق وصيانة نظام إدارة سلامة الغذاء (ISO 22000:2018 §3.20).</w:t>
      </w:r>
    </w:p>
    <w:bookmarkEnd w:id="14"/>
    <w:bookmarkStart w:id="15" w:name="المراجع-references"/>
    <w:p>
      <w:pPr>
        <w:pStyle w:val="Heading3"/>
      </w:pPr>
      <w:r>
        <w:t xml:space="preserve">4. المراجع (References)</w:t>
      </w:r>
    </w:p>
    <w:p>
      <w:pPr>
        <w:pStyle w:val="Compact"/>
        <w:numPr>
          <w:ilvl w:val="0"/>
          <w:numId w:val="1002"/>
        </w:numPr>
      </w:pPr>
      <w:r>
        <w:t xml:space="preserve">ISO 22000:2018: نظام إدارة سلامة الغذاء – متطلبات أي منظمة في السلسلة الغذائية.</w:t>
      </w:r>
    </w:p>
    <w:p>
      <w:pPr>
        <w:pStyle w:val="Compact"/>
        <w:numPr>
          <w:ilvl w:val="1"/>
          <w:numId w:val="1003"/>
        </w:numPr>
      </w:pPr>
      <w:r>
        <w:t xml:space="preserve">§4.4 نظام إدارة سلامة الغذاء وعملياته.</w:t>
      </w:r>
    </w:p>
    <w:p>
      <w:pPr>
        <w:pStyle w:val="Compact"/>
        <w:numPr>
          <w:ilvl w:val="1"/>
          <w:numId w:val="1003"/>
        </w:numPr>
      </w:pPr>
      <w:r>
        <w:t xml:space="preserve">§5.3 الأدوار والمسؤوليات والصلاحيات التنظيمية.</w:t>
      </w:r>
    </w:p>
    <w:p>
      <w:pPr>
        <w:pStyle w:val="Compact"/>
        <w:numPr>
          <w:ilvl w:val="1"/>
          <w:numId w:val="1003"/>
        </w:numPr>
      </w:pPr>
      <w:r>
        <w:t xml:space="preserve">§7.5 المعلومات الموثقة.</w:t>
      </w:r>
    </w:p>
    <w:p>
      <w:pPr>
        <w:pStyle w:val="Compact"/>
        <w:numPr>
          <w:ilvl w:val="1"/>
          <w:numId w:val="1003"/>
        </w:numPr>
      </w:pPr>
      <w:r>
        <w:t xml:space="preserve">§8.2 خطوة 8: التخطيط للتحكم في المخاطر.</w:t>
      </w:r>
    </w:p>
    <w:p>
      <w:pPr>
        <w:pStyle w:val="Compact"/>
        <w:numPr>
          <w:ilvl w:val="1"/>
          <w:numId w:val="1003"/>
        </w:numPr>
      </w:pPr>
      <w:r>
        <w:t xml:space="preserve">§8.5.2 التصديق على التدابير التحكمية.</w:t>
      </w:r>
    </w:p>
    <w:p>
      <w:pPr>
        <w:pStyle w:val="Compact"/>
        <w:numPr>
          <w:ilvl w:val="1"/>
          <w:numId w:val="1003"/>
        </w:numPr>
      </w:pPr>
      <w:r>
        <w:t xml:space="preserve">§8.8 أنشطة التحقق المتعلقة بـ PRPs وخطة HACCP.</w:t>
      </w:r>
    </w:p>
    <w:p>
      <w:pPr>
        <w:pStyle w:val="Compact"/>
        <w:numPr>
          <w:ilvl w:val="1"/>
          <w:numId w:val="1003"/>
        </w:numPr>
      </w:pPr>
      <w:r>
        <w:t xml:space="preserve">§9.1.1 المراقبة والقياس والتحليل والتقييم.</w:t>
      </w:r>
    </w:p>
    <w:p>
      <w:pPr>
        <w:pStyle w:val="Compact"/>
        <w:numPr>
          <w:ilvl w:val="0"/>
          <w:numId w:val="1002"/>
        </w:numPr>
      </w:pPr>
      <w:r>
        <w:t xml:space="preserve">ISO 9001:2015: نظام إدارة الجودة – المتطلبات.</w:t>
      </w:r>
    </w:p>
    <w:p>
      <w:pPr>
        <w:pStyle w:val="Compact"/>
        <w:numPr>
          <w:ilvl w:val="1"/>
          <w:numId w:val="1004"/>
        </w:numPr>
      </w:pPr>
      <w:r>
        <w:t xml:space="preserve">§4.4 نظام إدارة الجودة وعملياته.</w:t>
      </w:r>
    </w:p>
    <w:p>
      <w:pPr>
        <w:pStyle w:val="Compact"/>
        <w:numPr>
          <w:ilvl w:val="0"/>
          <w:numId w:val="1002"/>
        </w:numPr>
      </w:pPr>
      <w:r>
        <w:t xml:space="preserve">Codex Alimentarius CAC/RCP 1-1969 (المبادئ العامة لنظافة الغذاء - المراجعة الخامسة 2020)</w:t>
      </w:r>
    </w:p>
    <w:p>
      <w:pPr>
        <w:pStyle w:val="Compact"/>
        <w:numPr>
          <w:ilvl w:val="1"/>
          <w:numId w:val="1005"/>
        </w:numPr>
      </w:pPr>
      <w:r>
        <w:t xml:space="preserve">المبدأ 6: إنشاء إجراءات التحقق.</w:t>
      </w:r>
    </w:p>
    <w:p>
      <w:pPr>
        <w:pStyle w:val="Compact"/>
        <w:numPr>
          <w:ilvl w:val="0"/>
          <w:numId w:val="1002"/>
        </w:numPr>
      </w:pPr>
      <w:r>
        <w:t xml:space="preserve">FSSC 22000 v6: نظام شهادة سلامة الغذاء.</w:t>
      </w:r>
    </w:p>
    <w:p>
      <w:pPr>
        <w:pStyle w:val="Compact"/>
        <w:numPr>
          <w:ilvl w:val="1"/>
          <w:numId w:val="1006"/>
        </w:numPr>
      </w:pPr>
      <w:r>
        <w:t xml:space="preserve">الجزء 2.1.2: نظام إدارة سلامة الغذاء.</w:t>
      </w:r>
    </w:p>
    <w:p>
      <w:pPr>
        <w:pStyle w:val="Compact"/>
        <w:numPr>
          <w:ilvl w:val="1"/>
          <w:numId w:val="1006"/>
        </w:numPr>
      </w:pPr>
      <w:r>
        <w:t xml:space="preserve">الجزء 2.5.3: التصديق على التدابير.</w:t>
      </w:r>
    </w:p>
    <w:p>
      <w:pPr>
        <w:pStyle w:val="Compact"/>
        <w:numPr>
          <w:ilvl w:val="1"/>
          <w:numId w:val="1006"/>
        </w:numPr>
      </w:pPr>
      <w:r>
        <w:t xml:space="preserve">ISO/TS 22002-1:2009: برامج المتطلبات الأساسية لسلامة الغذاء في تصنيع الأغذية.</w:t>
      </w:r>
    </w:p>
    <w:p>
      <w:pPr>
        <w:pStyle w:val="Compact"/>
        <w:numPr>
          <w:ilvl w:val="0"/>
          <w:numId w:val="1002"/>
        </w:numPr>
      </w:pPr>
      <w:r>
        <w:t xml:space="preserve">المواصفة القياسية المصرية ES 1589/2007 وتعديلاتها: مياه الشرب المعبأة.</w:t>
      </w:r>
    </w:p>
    <w:p>
      <w:pPr>
        <w:pStyle w:val="Compact"/>
        <w:numPr>
          <w:ilvl w:val="0"/>
          <w:numId w:val="1002"/>
        </w:numPr>
      </w:pPr>
      <w:r>
        <w:t xml:space="preserve">المواصفة القياسية المصرية ES 190 وتعديلاتها: المياه المعدنية الطبيعية.</w:t>
      </w:r>
    </w:p>
    <w:p>
      <w:pPr>
        <w:pStyle w:val="Compact"/>
        <w:numPr>
          <w:ilvl w:val="0"/>
          <w:numId w:val="1002"/>
        </w:numPr>
      </w:pPr>
      <w:r>
        <w:t xml:space="preserve">لائحة الهيئة القومية لسلامة الغذاء (NFSA) قرار 6/2023 وتعديلاته: تنظيم تداول الغذاء.</w:t>
      </w:r>
    </w:p>
    <w:p>
      <w:pPr>
        <w:pStyle w:val="Compact"/>
        <w:numPr>
          <w:ilvl w:val="1"/>
          <w:numId w:val="1007"/>
        </w:numPr>
      </w:pPr>
      <w:r>
        <w:t xml:space="preserve">المادة 32: عمليات التحقق والتصديق لنظام سلامة الغذاء.</w:t>
      </w:r>
    </w:p>
    <w:p>
      <w:pPr>
        <w:pStyle w:val="Compact"/>
        <w:numPr>
          <w:ilvl w:val="0"/>
          <w:numId w:val="1002"/>
        </w:numPr>
      </w:pPr>
      <w:r>
        <w:t xml:space="preserve">قرار وزير الصحة والسكان رقم 458 لسنة 2007 ولوائحه التنفيذية بشأن متطلبات المياه المعبأة.</w:t>
      </w:r>
    </w:p>
    <w:bookmarkEnd w:id="15"/>
    <w:bookmarkStart w:id="16" w:name="المسؤوليات-responsibilities"/>
    <w:p>
      <w:pPr>
        <w:pStyle w:val="Heading3"/>
      </w:pPr>
      <w:r>
        <w:t xml:space="preserve">5. المسؤوليات (Responsibilities)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الدور</w:t>
            </w:r>
          </w:p>
        </w:tc>
        <w:tc>
          <w:tcPr/>
          <w:p>
            <w:pPr>
              <w:pStyle w:val="Compact"/>
            </w:pPr>
            <w:r>
              <w:t xml:space="preserve">المسؤوليات (RACI)</w:t>
            </w:r>
          </w:p>
        </w:tc>
      </w:tr>
      <w:tr>
        <w:tc>
          <w:tcPr/>
          <w:p>
            <w:pPr>
              <w:pStyle w:val="Compact"/>
            </w:pPr>
            <w:r>
              <w:rPr>
                <w:b/>
                <w:bCs/>
              </w:rPr>
              <w:t xml:space="preserve">مدير الجودة (Accountable)</w:t>
            </w:r>
          </w:p>
        </w:tc>
        <w:tc>
          <w:tcPr/>
          <w:p>
            <w:pPr>
              <w:pStyle w:val="Compact"/>
            </w:pPr>
            <w:r>
              <w:t xml:space="preserve">- المسؤولية النهائية عن ضمان تطبيق وتوثيق عملية التصديق وفقاً لهذا الإجراء. - مراجعة واعتماد خطط التصديق وتقارير النتائج. - مسؤول عن ضمان توافق الإجراء مع متطلبات المواصفات التشريعية والمعايير الدولية.</w:t>
            </w:r>
          </w:p>
        </w:tc>
      </w:tr>
      <w:tr>
        <w:tc>
          <w:tcPr/>
          <w:p>
            <w:pPr>
              <w:pStyle w:val="Compact"/>
            </w:pPr>
            <w:r>
              <w:rPr>
                <w:b/>
                <w:bCs/>
              </w:rPr>
              <w:t xml:space="preserve">قائد فريق سلامة الغذاء (Responsible)</w:t>
            </w:r>
          </w:p>
        </w:tc>
        <w:tc>
          <w:tcPr/>
          <w:p>
            <w:pPr>
              <w:pStyle w:val="Compact"/>
            </w:pPr>
            <w:r>
              <w:t xml:space="preserve">- تطوير خطة التصديق لكل تدبير تحكمي أو مجموعة من التدابير. - الإشراف على تنفيذ أنشطة التصديق المحددة. - تجميع وتحليل البيانات والأدلة لدعم عملية التصديق. - إعداد تقارير التصديق وتقديمها للمراجعة. - التنسيق مع الأطراف المعنية (إنتاج، صيانة، معمل) خلال عملية التصديق.</w:t>
            </w:r>
          </w:p>
        </w:tc>
      </w:tr>
      <w:tr>
        <w:tc>
          <w:tcPr/>
          <w:p>
            <w:pPr>
              <w:pStyle w:val="Compact"/>
            </w:pPr>
            <w:r>
              <w:rPr>
                <w:b/>
                <w:bCs/>
              </w:rPr>
              <w:t xml:space="preserve">أعضاء فريق سلامة الغذاء (Consulted)</w:t>
            </w:r>
          </w:p>
        </w:tc>
        <w:tc>
          <w:tcPr/>
          <w:p>
            <w:pPr>
              <w:pStyle w:val="Compact"/>
            </w:pPr>
            <w:r>
              <w:t xml:space="preserve">- تقديم المدخلات الفنية والخبرة ذات الصلة بمجال اختصاصهم. - المشاركة في تحليل البيانات وتحديد التدابير التصحيحية إذا لزم الأمر.</w:t>
            </w:r>
          </w:p>
        </w:tc>
      </w:tr>
      <w:tr>
        <w:tc>
          <w:tcPr/>
          <w:p>
            <w:pPr>
              <w:pStyle w:val="Compact"/>
            </w:pPr>
            <w:r>
              <w:rPr>
                <w:b/>
                <w:bCs/>
              </w:rPr>
              <w:t xml:space="preserve">إدارة الإنتاج (Informed, Consulted)</w:t>
            </w:r>
          </w:p>
        </w:tc>
        <w:tc>
          <w:tcPr/>
          <w:p>
            <w:pPr>
              <w:pStyle w:val="Compact"/>
            </w:pPr>
            <w:r>
              <w:t xml:space="preserve">- توفير الموارد اللازمة لتنفيذ أنشطة التصديق (معدات، عمالة). - الالتزام بتطبيق التدابير التحكمية وفقاً لمتطلباتها أثناء الاختبارات. - إبلاغ فريق سلامة الغذاء بأي تغييرات محتملة قد تؤثر على التدابير التحكمية.</w:t>
            </w:r>
          </w:p>
        </w:tc>
      </w:tr>
      <w:tr>
        <w:tc>
          <w:tcPr/>
          <w:p>
            <w:pPr>
              <w:pStyle w:val="Compact"/>
            </w:pPr>
            <w:r>
              <w:rPr>
                <w:b/>
                <w:bCs/>
              </w:rPr>
              <w:t xml:space="preserve">إدارة المعمل (Informed, Consulted)</w:t>
            </w:r>
          </w:p>
        </w:tc>
        <w:tc>
          <w:tcPr/>
          <w:p>
            <w:pPr>
              <w:pStyle w:val="Compact"/>
            </w:pPr>
            <w:r>
              <w:t xml:space="preserve">- إجراء التحاليل والاختبارات اللازمة لدعم عملية التصديق وتوفير النتائج الموثوقة. - تقديم المشورة الفنية بشأن طرق التحليل ومعايير قبول النتائج.</w:t>
            </w:r>
          </w:p>
        </w:tc>
      </w:tr>
      <w:tr>
        <w:tc>
          <w:tcPr/>
          <w:p>
            <w:pPr>
              <w:pStyle w:val="Compact"/>
            </w:pPr>
            <w:r>
              <w:rPr>
                <w:b/>
                <w:bCs/>
              </w:rPr>
              <w:t xml:space="preserve">إدارة الصيانة (Informed, Consulted)</w:t>
            </w:r>
          </w:p>
        </w:tc>
        <w:tc>
          <w:tcPr/>
          <w:p>
            <w:pPr>
              <w:pStyle w:val="Compact"/>
            </w:pPr>
            <w:r>
              <w:t xml:space="preserve">- ضمان جاهزية المعدات المستخدمة في التدابير التحكمية أو في عملية التصديق. - تنفيذ أي تعديلات فنية مطلوبة على المعدات بناءً على نتائج التصديق.</w:t>
            </w:r>
          </w:p>
        </w:tc>
      </w:tr>
    </w:tbl>
    <w:bookmarkEnd w:id="16"/>
    <w:bookmarkStart w:id="17" w:name="خطوات-التنفيذ-التفصيلية-procedures"/>
    <w:p>
      <w:pPr>
        <w:pStyle w:val="Heading3"/>
      </w:pPr>
      <w:r>
        <w:t xml:space="preserve">6. خطوات التنفيذ التفصيلية (Procedures)</w:t>
      </w:r>
    </w:p>
    <w:p>
      <w:pPr>
        <w:pStyle w:val="FirstParagraph"/>
      </w:pPr>
      <w:r>
        <w:rPr>
          <w:b/>
          <w:bCs/>
        </w:rPr>
        <w:t xml:space="preserve">6-1 تحديد الحاجة إلى التصديق:</w:t>
      </w:r>
      <w:r>
        <w:t xml:space="preserve"> </w:t>
      </w:r>
      <w:r>
        <w:t xml:space="preserve">6-1-1 يتم تحديد الحاجة إلى التصديق في الحالات التالية (ISO 22000:2018 §8.5.2.1 و FSSC 22000 v6 الجزء 2.5.3):</w:t>
      </w:r>
      <w:r>
        <w:t xml:space="preserve"> </w:t>
      </w:r>
      <w:r>
        <w:t xml:space="preserve">- قبل التنفيذ الأولي وتحميل نظام إدارة سلامة الغذاء.</w:t>
      </w:r>
      <w:r>
        <w:t xml:space="preserve"> </w:t>
      </w:r>
      <w:r>
        <w:t xml:space="preserve">- عند إدخال تدابير تحكمية جديدة (CCPs أو OPRPs).</w:t>
      </w:r>
      <w:r>
        <w:t xml:space="preserve"> </w:t>
      </w:r>
      <w:r>
        <w:t xml:space="preserve">- عند إجراء أي تعديلات على تدبير تحكمي قائم (مثل تغييرات في حد حرج، وقت، درجة حرارة، تركيز مادة).</w:t>
      </w:r>
      <w:r>
        <w:t xml:space="preserve"> </w:t>
      </w:r>
      <w:r>
        <w:t xml:space="preserve">- عند إدخال منتج جديد، عملية إنتاج جديدة، أو تعديلات جوهرية على عملية قائمة.</w:t>
      </w:r>
      <w:r>
        <w:t xml:space="preserve"> </w:t>
      </w:r>
      <w:r>
        <w:t xml:space="preserve">- عند تقديم معدات جديدة أو تعديلات جوهرية على المعدات القائمة.</w:t>
      </w:r>
      <w:r>
        <w:t xml:space="preserve"> </w:t>
      </w:r>
      <w:r>
        <w:t xml:space="preserve">- بناءً على نتائج مراجعات نظام سلامة الغذاء أو تحليل بيانات التحقق التي تشير إلى عدم فعالية التدابير.</w:t>
      </w:r>
      <w:r>
        <w:t xml:space="preserve"> </w:t>
      </w:r>
      <w:r>
        <w:t xml:space="preserve">- بناءً على متطلبات تشريعية جديدة أو توصيات من السلطات الرقابية (مثل NFSA).</w:t>
      </w:r>
    </w:p>
    <w:p>
      <w:pPr>
        <w:pStyle w:val="BodyText"/>
      </w:pPr>
      <w:r>
        <w:rPr>
          <w:b/>
          <w:bCs/>
        </w:rPr>
        <w:t xml:space="preserve">6-2 تخطيط عملية التصديق:</w:t>
      </w:r>
      <w:r>
        <w:t xml:space="preserve"> </w:t>
      </w:r>
      <w:r>
        <w:t xml:space="preserve">6-2-1</w:t>
      </w:r>
      <w:r>
        <w:t xml:space="preserve"> </w:t>
      </w:r>
      <w:r>
        <w:rPr>
          <w:b/>
          <w:bCs/>
        </w:rPr>
        <w:t xml:space="preserve">فريق سلامة الغذاء</w:t>
      </w:r>
      <w:r>
        <w:t xml:space="preserve"> </w:t>
      </w:r>
      <w:r>
        <w:t xml:space="preserve">(المسؤول) يقوم بوضع خطة تفصيلية للتصديق لكل تدبير تحكمي أو مجموعة من التدابير المتحكمية المعنية، باستخدام النموذج FSP-16-01</w:t>
      </w:r>
      <w:r>
        <w:t xml:space="preserve"> </w:t>
      </w:r>
      <w:r>
        <w:t xml:space="preserve">“خطة تصديق التدابير التحكمية”</w:t>
      </w:r>
      <w:r>
        <w:t xml:space="preserve">، على أن تشمل الخطة ما يلي (ISO 22000:2018 §8.5.2.2 و FSSC 22000 v6 الجزء 2.5.3):</w:t>
      </w:r>
      <w:r>
        <w:t xml:space="preserve"> </w:t>
      </w:r>
      <w:r>
        <w:t xml:space="preserve">-</w:t>
      </w:r>
      <w:r>
        <w:t xml:space="preserve"> </w:t>
      </w:r>
      <w:r>
        <w:rPr>
          <w:b/>
          <w:bCs/>
        </w:rPr>
        <w:t xml:space="preserve">التدبير التحكمي أو المجموعة المستهدفة بالتصديق</w:t>
      </w:r>
      <w:r>
        <w:t xml:space="preserve">: اسم التدبير ونوعه (CCP, OPRP).</w:t>
      </w:r>
      <w:r>
        <w:t xml:space="preserve"> </w:t>
      </w:r>
      <w:r>
        <w:t xml:space="preserve">-</w:t>
      </w:r>
      <w:r>
        <w:t xml:space="preserve"> </w:t>
      </w:r>
      <w:r>
        <w:rPr>
          <w:b/>
          <w:bCs/>
        </w:rPr>
        <w:t xml:space="preserve">مخاطر سلامة الغذاء المستهدفة</w:t>
      </w:r>
      <w:r>
        <w:t xml:space="preserve">: تحديد المخاطر التي صمم التدبير للتحكم فيها.</w:t>
      </w:r>
      <w:r>
        <w:t xml:space="preserve"> </w:t>
      </w:r>
      <w:r>
        <w:t xml:space="preserve">-</w:t>
      </w:r>
      <w:r>
        <w:t xml:space="preserve"> </w:t>
      </w:r>
      <w:r>
        <w:rPr>
          <w:b/>
          <w:bCs/>
        </w:rPr>
        <w:t xml:space="preserve">الغرض من التصديق</w:t>
      </w:r>
      <w:r>
        <w:t xml:space="preserve">: تحديد ما يجب إثباته (مثال: هل التدبير قادر على تقليل الليستيريا إلى مستوى آمن؟).</w:t>
      </w:r>
      <w:r>
        <w:t xml:space="preserve"> </w:t>
      </w:r>
      <w:r>
        <w:t xml:space="preserve">-</w:t>
      </w:r>
      <w:r>
        <w:t xml:space="preserve"> </w:t>
      </w:r>
      <w:r>
        <w:rPr>
          <w:b/>
          <w:bCs/>
        </w:rPr>
        <w:t xml:space="preserve">المنهجية المستخدمة للتصديق</w:t>
      </w:r>
      <w:r>
        <w:t xml:space="preserve">: وصف للطريقة المتبعة (مثل، جمع بيانات تاريخية، إجراء دراسات تجريبية، تحدي الأخطار، تحليل إحصائي، دراسات الميكرويولوجيا، تقييم الأدبيات العلمية).</w:t>
      </w:r>
      <w:r>
        <w:t xml:space="preserve"> </w:t>
      </w:r>
      <w:r>
        <w:t xml:space="preserve">-</w:t>
      </w:r>
      <w:r>
        <w:t xml:space="preserve"> </w:t>
      </w:r>
      <w:r>
        <w:rPr>
          <w:b/>
          <w:bCs/>
        </w:rPr>
        <w:t xml:space="preserve">المؤشرات (Parameters) التي سيتم قياسها / مراقبتها</w:t>
      </w:r>
      <w:r>
        <w:t xml:space="preserve">: تحديد المتغيرات التي سيتم جمع بيانات عنها.</w:t>
      </w:r>
      <w:r>
        <w:t xml:space="preserve"> </w:t>
      </w:r>
      <w:r>
        <w:t xml:space="preserve">-</w:t>
      </w:r>
      <w:r>
        <w:t xml:space="preserve"> </w:t>
      </w:r>
      <w:r>
        <w:rPr>
          <w:b/>
          <w:bCs/>
        </w:rPr>
        <w:t xml:space="preserve">الحدود الحرجة أو معايير الإجراءات المطلوبة</w:t>
      </w:r>
      <w:r>
        <w:t xml:space="preserve">: المستويات التي يجب تحقيقها أو عدم تجاوزها لضمان السلامة.</w:t>
      </w:r>
      <w:r>
        <w:t xml:space="preserve"> </w:t>
      </w:r>
      <w:r>
        <w:t xml:space="preserve">-</w:t>
      </w:r>
      <w:r>
        <w:t xml:space="preserve"> </w:t>
      </w:r>
      <w:r>
        <w:rPr>
          <w:b/>
          <w:bCs/>
        </w:rPr>
        <w:t xml:space="preserve">معايير القبول</w:t>
      </w:r>
      <w:r>
        <w:t xml:space="preserve">: المعايير التي سيتم على أساسها الحكم بفعالية التدبير.</w:t>
      </w:r>
      <w:r>
        <w:t xml:space="preserve"> </w:t>
      </w:r>
      <w:r>
        <w:t xml:space="preserve">-</w:t>
      </w:r>
      <w:r>
        <w:t xml:space="preserve"> </w:t>
      </w:r>
      <w:r>
        <w:rPr>
          <w:b/>
          <w:bCs/>
        </w:rPr>
        <w:t xml:space="preserve">المسؤوليات</w:t>
      </w:r>
      <w:r>
        <w:t xml:space="preserve">: تحديد الأفراد والأقسام المسؤولة عن تنفيذ كل خطوة في عملية التصديق.</w:t>
      </w:r>
      <w:r>
        <w:t xml:space="preserve"> </w:t>
      </w:r>
      <w:r>
        <w:t xml:space="preserve">-</w:t>
      </w:r>
      <w:r>
        <w:t xml:space="preserve"> </w:t>
      </w:r>
      <w:r>
        <w:rPr>
          <w:b/>
          <w:bCs/>
        </w:rPr>
        <w:t xml:space="preserve">الموارد المطلوبة</w:t>
      </w:r>
      <w:r>
        <w:t xml:space="preserve">: المعدات، المواد، الموظفون، الوقت، الميزانية.</w:t>
      </w:r>
      <w:r>
        <w:t xml:space="preserve"> </w:t>
      </w:r>
      <w:r>
        <w:t xml:space="preserve">-</w:t>
      </w:r>
      <w:r>
        <w:t xml:space="preserve"> </w:t>
      </w:r>
      <w:r>
        <w:rPr>
          <w:b/>
          <w:bCs/>
        </w:rPr>
        <w:t xml:space="preserve">الجدول الزمني</w:t>
      </w:r>
      <w:r>
        <w:t xml:space="preserve">: تواريخ البدء والانتهاء لكل مرحلة.</w:t>
      </w:r>
      <w:r>
        <w:t xml:space="preserve"> </w:t>
      </w:r>
      <w:r>
        <w:t xml:space="preserve">-</w:t>
      </w:r>
      <w:r>
        <w:t xml:space="preserve"> </w:t>
      </w:r>
      <w:r>
        <w:rPr>
          <w:b/>
          <w:bCs/>
        </w:rPr>
        <w:t xml:space="preserve">طرق توثيق النتائج وجمع الأدلة</w:t>
      </w:r>
      <w:r>
        <w:t xml:space="preserve">: كيفية تسجيل البيانات والحفاظ عليها.</w:t>
      </w:r>
      <w:r>
        <w:t xml:space="preserve"> </w:t>
      </w:r>
      <w:r>
        <w:t xml:space="preserve">6-2-2</w:t>
      </w:r>
      <w:r>
        <w:t xml:space="preserve"> </w:t>
      </w:r>
      <w:r>
        <w:rPr>
          <w:b/>
          <w:bCs/>
        </w:rPr>
        <w:t xml:space="preserve">مدير الجودة</w:t>
      </w:r>
      <w:r>
        <w:t xml:space="preserve"> </w:t>
      </w:r>
      <w:r>
        <w:t xml:space="preserve">(المسؤول) يراجع خطة التصديق ويعتمدها لضمان كفايتها ومطابقتها للمتطلبات.</w:t>
      </w:r>
    </w:p>
    <w:p>
      <w:pPr>
        <w:pStyle w:val="BodyText"/>
      </w:pPr>
      <w:r>
        <w:rPr>
          <w:b/>
          <w:bCs/>
        </w:rPr>
        <w:t xml:space="preserve">6-3 تنفيذ عملية التصديق:</w:t>
      </w:r>
      <w:r>
        <w:t xml:space="preserve"> </w:t>
      </w:r>
      <w:r>
        <w:t xml:space="preserve">6-3-1</w:t>
      </w:r>
      <w:r>
        <w:t xml:space="preserve"> </w:t>
      </w:r>
      <w:r>
        <w:rPr>
          <w:b/>
          <w:bCs/>
        </w:rPr>
        <w:t xml:space="preserve">فريق سلامة الغذاء</w:t>
      </w:r>
      <w:r>
        <w:t xml:space="preserve"> </w:t>
      </w:r>
      <w:r>
        <w:t xml:space="preserve">و</w:t>
      </w:r>
      <w:r>
        <w:rPr>
          <w:b/>
          <w:bCs/>
        </w:rPr>
        <w:t xml:space="preserve">الأقسام المعنية</w:t>
      </w:r>
      <w:r>
        <w:t xml:space="preserve"> </w:t>
      </w:r>
      <w:r>
        <w:t xml:space="preserve">(الإنتاج، المعمل) يقومون بتنفيذ الأنشطة المحددة في خطة التصديق، مع الالتزام بالمنهجية والمعايير المحددة (ISO 22000:2018 §8.5.2.2).</w:t>
      </w:r>
      <w:r>
        <w:t xml:space="preserve"> </w:t>
      </w:r>
      <w:r>
        <w:t xml:space="preserve">6-3-2 تتضمن الأنشطة ما يلي (على سبيل المثال لا الحصر):</w:t>
      </w:r>
      <w:r>
        <w:t xml:space="preserve"> </w:t>
      </w:r>
      <w:r>
        <w:t xml:space="preserve">- جمع عينات للمياه الخام والمعالجة والمياه المعبأة من نقاط محددة.</w:t>
      </w:r>
      <w:r>
        <w:t xml:space="preserve"> </w:t>
      </w:r>
      <w:r>
        <w:t xml:space="preserve">- إجراء اختبارات ميكروبيولوجية وكيميائية وفيزيائية في معمل الشركة أو معامل خارجية معتمدة وفقاً لـ ES 1589/2007 و ES 190.</w:t>
      </w:r>
      <w:r>
        <w:t xml:space="preserve"> </w:t>
      </w:r>
      <w:r>
        <w:t xml:space="preserve">- مراقبة وتسجيل بيانات العمليات (مثل، درجات حرارة، ضغوط، أوقات، تركيزات المعقمات) بدقة خلال فترة التصديق.</w:t>
      </w:r>
      <w:r>
        <w:t xml:space="preserve"> </w:t>
      </w:r>
      <w:r>
        <w:t xml:space="preserve">- إجراء دراسات تحدي لتقييم فعالية التدابير التحكمية في ظروف</w:t>
      </w:r>
      <w:r>
        <w:t xml:space="preserve"> </w:t>
      </w:r>
      <w:r>
        <w:t xml:space="preserve">“الأسوأ سيناريو”</w:t>
      </w:r>
      <w:r>
        <w:t xml:space="preserve"> </w:t>
      </w:r>
      <w:r>
        <w:t xml:space="preserve">إن أمكن.</w:t>
      </w:r>
      <w:r>
        <w:t xml:space="preserve"> </w:t>
      </w:r>
      <w:r>
        <w:t xml:space="preserve">- جمع وتحليل البيانات التاريخية للتدبير التحكمي المعني، إن وجدت.</w:t>
      </w:r>
    </w:p>
    <w:p>
      <w:pPr>
        <w:pStyle w:val="BodyText"/>
      </w:pPr>
      <w:r>
        <w:rPr>
          <w:b/>
          <w:bCs/>
        </w:rPr>
        <w:t xml:space="preserve">6-4 تحليل نتائج التصديق واتخاذ القرارات:</w:t>
      </w:r>
      <w:r>
        <w:t xml:space="preserve"> </w:t>
      </w:r>
      <w:r>
        <w:t xml:space="preserve">6-4-1</w:t>
      </w:r>
      <w:r>
        <w:t xml:space="preserve"> </w:t>
      </w:r>
      <w:r>
        <w:rPr>
          <w:b/>
          <w:bCs/>
        </w:rPr>
        <w:t xml:space="preserve">فريق سلامة الغذاء</w:t>
      </w:r>
      <w:r>
        <w:t xml:space="preserve"> </w:t>
      </w:r>
      <w:r>
        <w:t xml:space="preserve">(المسؤول) يقوم بجمع وتحليل جميع البيانات والأدلة التي تم الحصول عليها خلال عملية التصديق.</w:t>
      </w:r>
      <w:r>
        <w:t xml:space="preserve"> </w:t>
      </w:r>
      <w:r>
        <w:t xml:space="preserve">6-4-2 يتم مقارنة النتائج بمعايير القبول المحددة في الخطة.</w:t>
      </w:r>
      <w:r>
        <w:t xml:space="preserve"> </w:t>
      </w:r>
      <w:r>
        <w:t xml:space="preserve">6-4-3 يتم إعداد تقرير تصديق (FSP-16-02</w:t>
      </w:r>
      <w:r>
        <w:t xml:space="preserve"> </w:t>
      </w:r>
      <w:r>
        <w:t xml:space="preserve">“تقرير تصديق التدابير التحكمية”</w:t>
      </w:r>
      <w:r>
        <w:t xml:space="preserve">) يوضح ما يلي (ISO 22000:2018 §8.5.2.2):</w:t>
      </w:r>
      <w:r>
        <w:t xml:space="preserve"> </w:t>
      </w:r>
      <w:r>
        <w:t xml:space="preserve">- ملخص عن التدبير التحكمي وغرض التصديق.</w:t>
      </w:r>
      <w:r>
        <w:t xml:space="preserve"> </w:t>
      </w:r>
      <w:r>
        <w:t xml:space="preserve">- المنهجية المتبعة.</w:t>
      </w:r>
      <w:r>
        <w:t xml:space="preserve"> </w:t>
      </w:r>
      <w:r>
        <w:t xml:space="preserve">- عرض تحليلي للبيانات والنتائج.</w:t>
      </w:r>
      <w:r>
        <w:t xml:space="preserve"> </w:t>
      </w:r>
      <w:r>
        <w:t xml:space="preserve">- تقييم لفعالية التدبير التحكمي بناءً على معايير القبول.</w:t>
      </w:r>
      <w:r>
        <w:t xml:space="preserve"> </w:t>
      </w:r>
      <w:r>
        <w:t xml:space="preserve">- استنتاجات وتوصيات واضحة حول ما إذا كان التدبير التحكمي قادرًا على تحقيق التحكم المقصود.</w:t>
      </w:r>
      <w:r>
        <w:t xml:space="preserve"> </w:t>
      </w:r>
      <w:r>
        <w:t xml:space="preserve">6-4-4</w:t>
      </w:r>
      <w:r>
        <w:t xml:space="preserve"> </w:t>
      </w:r>
      <w:r>
        <w:rPr>
          <w:b/>
          <w:bCs/>
        </w:rPr>
        <w:t xml:space="preserve">مدير الجودة</w:t>
      </w:r>
      <w:r>
        <w:t xml:space="preserve"> </w:t>
      </w:r>
      <w:r>
        <w:t xml:space="preserve">(المسؤول) يراجع تقرير التصديق ويتخذ القرار النهائي بشأن قبول أو رفض التدبير التحكمي بعد التصديق (ISO 22000:2018 §8.5.2.2).</w:t>
      </w:r>
    </w:p>
    <w:p>
      <w:pPr>
        <w:pStyle w:val="BodyText"/>
      </w:pPr>
      <w:r>
        <w:rPr>
          <w:b/>
          <w:bCs/>
        </w:rPr>
        <w:t xml:space="preserve">6-5 الإجراءات التصحيحية وإعادة التصديق:</w:t>
      </w:r>
      <w:r>
        <w:t xml:space="preserve"> </w:t>
      </w:r>
      <w:r>
        <w:t xml:space="preserve">6-5-1 في حال تبين أن التدبير التحكمي غير فعال في تحقيق التحكم المطلوب (فشل التصديق)، يتم اتخاذ الإجراءات التالية (ISO 22000:2018 §8.5.2.2):</w:t>
      </w:r>
      <w:r>
        <w:t xml:space="preserve"> </w:t>
      </w:r>
      <w:r>
        <w:t xml:space="preserve">- يقوم</w:t>
      </w:r>
      <w:r>
        <w:t xml:space="preserve"> </w:t>
      </w:r>
      <w:r>
        <w:rPr>
          <w:b/>
          <w:bCs/>
        </w:rPr>
        <w:t xml:space="preserve">فريق سلامة الغذاء</w:t>
      </w:r>
      <w:r>
        <w:t xml:space="preserve"> </w:t>
      </w:r>
      <w:r>
        <w:t xml:space="preserve">(المسؤول) بتحديد السبب الجذري لعدم الفعالية.</w:t>
      </w:r>
      <w:r>
        <w:t xml:space="preserve"> </w:t>
      </w:r>
      <w:r>
        <w:t xml:space="preserve">- يتم مراجعة وتحليل خطة HACCP أو OPRPs.</w:t>
      </w:r>
      <w:r>
        <w:t xml:space="preserve"> </w:t>
      </w:r>
      <w:r>
        <w:t xml:space="preserve">- يتم إجراء التعديلات اللازمة على التدبير التحكمي، أو على العملية، أو على المعدات، أو على الحدود الحرجة/معايير الإجراءات.</w:t>
      </w:r>
      <w:r>
        <w:t xml:space="preserve"> </w:t>
      </w:r>
      <w:r>
        <w:t xml:space="preserve">- يتم إعادة تقييم مخاطر سلامة الغذاء ومراجعة تحليل المخاطر.</w:t>
      </w:r>
      <w:r>
        <w:t xml:space="preserve"> </w:t>
      </w:r>
      <w:r>
        <w:t xml:space="preserve">- يتم إعادة التصديق للتدبير التحكمي المعدل بالكامل أو جزئياً، باتباع الخطوات من 6-2 إلى 6-4 لضمان فعاليته الجديدة.</w:t>
      </w:r>
      <w:r>
        <w:t xml:space="preserve"> </w:t>
      </w:r>
      <w:r>
        <w:t xml:space="preserve">6-5-2 يجب أن يتم تصديق أي تدابير تحسينية أو تعديلات جوهرية على التدابير التحكمية بشكل فعال قبل إعادة تطبيقها.</w:t>
      </w:r>
    </w:p>
    <w:p>
      <w:pPr>
        <w:pStyle w:val="BodyText"/>
      </w:pPr>
      <w:r>
        <w:rPr>
          <w:b/>
          <w:bCs/>
        </w:rPr>
        <w:t xml:space="preserve">6-6 الحفاظ على المعلومات الموثقة:</w:t>
      </w:r>
      <w:r>
        <w:t xml:space="preserve"> </w:t>
      </w:r>
      <w:r>
        <w:t xml:space="preserve">6-6-1 جميع السجلات المرتبطة بعملية التصديق (خطط، تقارير، بيانات خام، تحاليل معملية) يتم حفظها وفقاً للإجراء رقم FSP-04</w:t>
      </w:r>
      <w:r>
        <w:t xml:space="preserve"> </w:t>
      </w:r>
      <w:r>
        <w:t xml:space="preserve">“ضبط المعلومات الموثقة”</w:t>
      </w:r>
      <w:r>
        <w:t xml:space="preserve"> </w:t>
      </w:r>
      <w:r>
        <w:t xml:space="preserve">ولفترة لا تقل عن ثلاث سنوات، أو حسب متطلبات NFSA وقرار 458/2007 (ISO 22000:2018 §7.5.3).</w:t>
      </w:r>
    </w:p>
    <w:bookmarkEnd w:id="17"/>
    <w:bookmarkStart w:id="18" w:name="السجلات-والنماذج-المرتبطة"/>
    <w:p>
      <w:pPr>
        <w:pStyle w:val="Heading3"/>
      </w:pPr>
      <w:r>
        <w:t xml:space="preserve">7. السجلات والنماذج المرتبطة</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الكود</w:t>
            </w:r>
          </w:p>
        </w:tc>
        <w:tc>
          <w:tcPr/>
          <w:p>
            <w:pPr>
              <w:pStyle w:val="Compact"/>
            </w:pPr>
            <w:r>
              <w:t xml:space="preserve">الاسم</w:t>
            </w:r>
          </w:p>
        </w:tc>
        <w:tc>
          <w:tcPr/>
          <w:p>
            <w:pPr>
              <w:pStyle w:val="Compact"/>
            </w:pPr>
            <w:r>
              <w:t xml:space="preserve">المسؤول عن الحفظ</w:t>
            </w:r>
          </w:p>
        </w:tc>
        <w:tc>
          <w:tcPr/>
          <w:p>
            <w:pPr>
              <w:pStyle w:val="Compact"/>
            </w:pPr>
            <w:r>
              <w:t xml:space="preserve">مدة الحفظ</w:t>
            </w:r>
          </w:p>
        </w:tc>
        <w:tc>
          <w:tcPr/>
          <w:p>
            <w:pPr>
              <w:pStyle w:val="Compact"/>
            </w:pPr>
            <w:r>
              <w:t xml:space="preserve">المحتوى المقترح</w:t>
            </w:r>
          </w:p>
        </w:tc>
      </w:tr>
      <w:tr>
        <w:tc>
          <w:tcPr/>
          <w:p>
            <w:pPr>
              <w:pStyle w:val="Compact"/>
            </w:pPr>
            <w:r>
              <w:t xml:space="preserve">FSP-16-01</w:t>
            </w:r>
          </w:p>
        </w:tc>
        <w:tc>
          <w:tcPr/>
          <w:p>
            <w:pPr>
              <w:pStyle w:val="Compact"/>
            </w:pPr>
            <w:r>
              <w:t xml:space="preserve">خطة تصديق التدابير التحكمية</w:t>
            </w:r>
          </w:p>
        </w:tc>
        <w:tc>
          <w:tcPr/>
          <w:p>
            <w:pPr>
              <w:pStyle w:val="Compact"/>
            </w:pPr>
            <w:r>
              <w:t xml:space="preserve">قائد فريق سلامة الغذاء</w:t>
            </w:r>
          </w:p>
        </w:tc>
        <w:tc>
          <w:tcPr/>
          <w:p>
            <w:pPr>
              <w:pStyle w:val="Compact"/>
            </w:pPr>
            <w:r>
              <w:t xml:space="preserve">3 سنوات</w:t>
            </w:r>
          </w:p>
        </w:tc>
        <w:tc>
          <w:tcPr/>
          <w:p>
            <w:pPr>
              <w:pStyle w:val="Compact"/>
            </w:pPr>
            <w:r>
              <w:t xml:space="preserve">اسم التدبير، المخاطر المستهدفة، الغرض، المنهجية، المؤشرات، الحدود الحرجة، معايير القبول، المسؤوليات، الموارد، الجدول الزمني، طرق التوثيق.</w:t>
            </w:r>
          </w:p>
        </w:tc>
      </w:tr>
      <w:tr>
        <w:tc>
          <w:tcPr/>
          <w:p>
            <w:pPr>
              <w:pStyle w:val="Compact"/>
            </w:pPr>
            <w:r>
              <w:t xml:space="preserve">FSP-16-02</w:t>
            </w:r>
          </w:p>
        </w:tc>
        <w:tc>
          <w:tcPr/>
          <w:p>
            <w:pPr>
              <w:pStyle w:val="Compact"/>
            </w:pPr>
            <w:r>
              <w:t xml:space="preserve">تقرير تصديق التدابير التحكمية</w:t>
            </w:r>
          </w:p>
        </w:tc>
        <w:tc>
          <w:tcPr/>
          <w:p>
            <w:pPr>
              <w:pStyle w:val="Compact"/>
            </w:pPr>
            <w:r>
              <w:t xml:space="preserve">قائد فريق سلامة الغذاء</w:t>
            </w:r>
          </w:p>
        </w:tc>
        <w:tc>
          <w:tcPr/>
          <w:p>
            <w:pPr>
              <w:pStyle w:val="Compact"/>
            </w:pPr>
            <w:r>
              <w:t xml:space="preserve">3 سنوات</w:t>
            </w:r>
          </w:p>
        </w:tc>
        <w:tc>
          <w:tcPr/>
          <w:p>
            <w:pPr>
              <w:pStyle w:val="Compact"/>
            </w:pPr>
            <w:r>
              <w:t xml:space="preserve">ملخص، منهجية، بيانات ونتائج التحليل، تقييم الفعالية، استنتاجات، توصيات، قرار القبول/الرفض، التوقيعات.</w:t>
            </w:r>
          </w:p>
        </w:tc>
      </w:tr>
      <w:tr>
        <w:tc>
          <w:tcPr/>
          <w:p>
            <w:pPr>
              <w:pStyle w:val="Compact"/>
            </w:pPr>
            <w:r>
              <w:t xml:space="preserve">FSP-16-03</w:t>
            </w:r>
          </w:p>
        </w:tc>
        <w:tc>
          <w:tcPr/>
          <w:p>
            <w:pPr>
              <w:pStyle w:val="Compact"/>
            </w:pPr>
            <w:r>
              <w:t xml:space="preserve">سجل بيانات التصديق الخام</w:t>
            </w:r>
          </w:p>
        </w:tc>
        <w:tc>
          <w:tcPr/>
          <w:p>
            <w:pPr>
              <w:pStyle w:val="Compact"/>
            </w:pPr>
            <w:r>
              <w:t xml:space="preserve">الأقسام المعنية (إنتاج/معمل)</w:t>
            </w:r>
          </w:p>
        </w:tc>
        <w:tc>
          <w:tcPr/>
          <w:p>
            <w:pPr>
              <w:pStyle w:val="Compact"/>
            </w:pPr>
            <w:r>
              <w:t xml:space="preserve">3 سنوات</w:t>
            </w:r>
          </w:p>
        </w:tc>
        <w:tc>
          <w:tcPr/>
          <w:p>
            <w:pPr>
              <w:pStyle w:val="Compact"/>
            </w:pPr>
            <w:r>
              <w:t xml:space="preserve">نتائج التحاليل المخبرية، بيانات المراقبة (درجة حرارة، تركيز كلور)، تقارير المعايرة للأجهزة المستخدمة.</w:t>
            </w:r>
          </w:p>
        </w:tc>
      </w:tr>
    </w:tbl>
    <w:bookmarkEnd w:id="18"/>
    <w:bookmarkStart w:id="19" w:name="معايير-قياس-فاعلية-الأداء-kpis"/>
    <w:p>
      <w:pPr>
        <w:pStyle w:val="Heading3"/>
      </w:pPr>
      <w:r>
        <w:t xml:space="preserve">8. معايير قياس فاعلية الأداء (KPIs)</w:t>
      </w:r>
    </w:p>
    <w:p>
      <w:pPr>
        <w:pStyle w:val="Compact"/>
        <w:numPr>
          <w:ilvl w:val="0"/>
          <w:numId w:val="1008"/>
        </w:numPr>
      </w:pPr>
      <w:r>
        <w:rPr>
          <w:b/>
          <w:bCs/>
        </w:rPr>
        <w:t xml:space="preserve">معدل اكتمال خطط التصديق في الوقت المحدد</w:t>
      </w:r>
      <w:r>
        <w:t xml:space="preserve">: (عدد خطط التصديق المكتملة في الوقت المحدد / إجمالي خطط التصديق المخطط لها) × 100%. (هدف: ≥ 95%).</w:t>
      </w:r>
    </w:p>
    <w:p>
      <w:pPr>
        <w:pStyle w:val="Compact"/>
        <w:numPr>
          <w:ilvl w:val="0"/>
          <w:numId w:val="1008"/>
        </w:numPr>
      </w:pPr>
      <w:r>
        <w:rPr>
          <w:b/>
          <w:bCs/>
        </w:rPr>
        <w:t xml:space="preserve">نسبة التدابير التحكمية التي تم تصديقها بنجاح من المرة الأولى</w:t>
      </w:r>
      <w:r>
        <w:t xml:space="preserve">: (عدد التدابير التي تم تصديقها بنجاح من المحاولة الأولى / إجمالي التدابير التي تم إجراء تصديق عليها) × 100%. (هدف: ≥ 90%).</w:t>
      </w:r>
    </w:p>
    <w:p>
      <w:pPr>
        <w:pStyle w:val="Compact"/>
        <w:numPr>
          <w:ilvl w:val="0"/>
          <w:numId w:val="1008"/>
        </w:numPr>
      </w:pPr>
      <w:r>
        <w:rPr>
          <w:b/>
          <w:bCs/>
        </w:rPr>
        <w:t xml:space="preserve">عدد حالات عدم المطابقة المتعلقة بعدم فعالية التدابير التحكمية التي تم تصديقها</w:t>
      </w:r>
      <w:r>
        <w:t xml:space="preserve">: يجب أن يكون هذا المؤشر صفرًا، ويتم تتبع أي حالات في تدقيقات داخلية/خارجية أو شكاوى عملاء تشير إلى فشل تدبير مصدق عليه. (هدف: 0).</w:t>
      </w:r>
    </w:p>
    <w:p>
      <w:pPr>
        <w:pStyle w:val="Compact"/>
        <w:numPr>
          <w:ilvl w:val="0"/>
          <w:numId w:val="1008"/>
        </w:numPr>
      </w:pPr>
      <w:r>
        <w:rPr>
          <w:b/>
          <w:bCs/>
        </w:rPr>
        <w:t xml:space="preserve">نسبة تنفيذ الإجراءات التصحيحية الناتجة عن فشل التصديق</w:t>
      </w:r>
      <w:r>
        <w:t xml:space="preserve">: (عدد الإجراءات التصحيحية المنفذة / إجمالي الإجراءات التصحيحية المخطط لها) × 100%. (هدف: 100%).</w:t>
      </w:r>
    </w:p>
    <w:p>
      <w:r>
        <w:pict>
          <v:rect style="width:0;height:1.5pt" o:hralign="center" o:hrstd="t" o:hr="t"/>
        </w:pict>
      </w:r>
    </w:p>
    <w:bookmarkEnd w:id="19"/>
    <w:bookmarkStart w:id="20" w:name="نموذج-اعتماد-الإجراء-وتوقيعات-المسؤولين"/>
    <w:p>
      <w:pPr>
        <w:pStyle w:val="Heading2"/>
      </w:pPr>
      <w:r>
        <w:t xml:space="preserve">نموذج اعتماد الإجراء وتوقيعات المسؤولين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الدور</w:t>
            </w:r>
          </w:p>
        </w:tc>
        <w:tc>
          <w:tcPr/>
          <w:p>
            <w:pPr>
              <w:pStyle w:val="Compact"/>
            </w:pPr>
            <w:r>
              <w:t xml:space="preserve">الاسم</w:t>
            </w:r>
          </w:p>
        </w:tc>
        <w:tc>
          <w:tcPr/>
          <w:p>
            <w:pPr>
              <w:pStyle w:val="Compact"/>
            </w:pPr>
            <w:r>
              <w:t xml:space="preserve">التوقيع</w:t>
            </w:r>
          </w:p>
        </w:tc>
        <w:tc>
          <w:tcPr/>
          <w:p>
            <w:pPr>
              <w:pStyle w:val="Compact"/>
            </w:pPr>
            <w:r>
              <w:t xml:space="preserve">التاريخ</w:t>
            </w:r>
          </w:p>
        </w:tc>
      </w:tr>
      <w:tr>
        <w:tc>
          <w:tcPr/>
          <w:p>
            <w:pPr>
              <w:pStyle w:val="Compact"/>
            </w:pPr>
            <w:r>
              <w:t xml:space="preserve">أعدّ بواسطة (مسؤول ضمان الجودة)</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راجع بواسطة (مدير الجودة وسلامة الغذاء)</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اعتُمد بواسطة (المدير العام)</w:t>
            </w:r>
          </w:p>
        </w:tc>
        <w:tc>
          <w:tcPr/>
          <w:p>
            <w:pPr>
              <w:pStyle w:val="Compact"/>
            </w:pPr>
            <w:r>
              <w:t xml:space="preserve">………………………</w:t>
            </w:r>
          </w:p>
        </w:tc>
        <w:tc>
          <w:tcPr/>
          <w:p>
            <w:pPr>
              <w:pStyle w:val="Compact"/>
            </w:pPr>
            <w:r>
              <w:t xml:space="preserve">………………………</w:t>
            </w:r>
          </w:p>
        </w:tc>
        <w:tc>
          <w:tcPr/>
          <w:p>
            <w:pPr>
              <w:pStyle w:val="Compact"/>
            </w:pPr>
            <w:r>
              <w:t xml:space="preserve">……./……./……….</w:t>
            </w:r>
          </w:p>
        </w:tc>
      </w:tr>
    </w:tbl>
    <w:bookmarkEnd w:id="20"/>
    <w:bookmarkStart w:id="21" w:name="سجل-مراجعات-الوثيقة-revision-history"/>
    <w:p>
      <w:pPr>
        <w:pStyle w:val="Heading2"/>
      </w:pPr>
      <w:r>
        <w:t xml:space="preserve">سجل مراجعات الوثيقة (Revision History)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رقم الإصدار</w:t>
            </w:r>
          </w:p>
        </w:tc>
        <w:tc>
          <w:tcPr/>
          <w:p>
            <w:pPr>
              <w:pStyle w:val="Compact"/>
            </w:pPr>
            <w:r>
              <w:t xml:space="preserve">تاريخ الإصدار</w:t>
            </w:r>
          </w:p>
        </w:tc>
        <w:tc>
          <w:tcPr/>
          <w:p>
            <w:pPr>
              <w:pStyle w:val="Compact"/>
            </w:pPr>
            <w:r>
              <w:t xml:space="preserve">وصف التغيير</w:t>
            </w:r>
          </w:p>
        </w:tc>
        <w:tc>
          <w:tcPr/>
          <w:p>
            <w:pPr>
              <w:pStyle w:val="Compact"/>
            </w:pPr>
            <w:r>
              <w:t xml:space="preserve">المُعدّ</w:t>
            </w:r>
          </w:p>
        </w:tc>
        <w:tc>
          <w:tcPr/>
          <w:p>
            <w:pPr>
              <w:pStyle w:val="Compact"/>
            </w:pPr>
            <w:r>
              <w:t xml:space="preserve">المُعتمد</w:t>
            </w:r>
          </w:p>
        </w:tc>
      </w:tr>
      <w:tr>
        <w:tc>
          <w:tcPr/>
          <w:p>
            <w:pPr>
              <w:pStyle w:val="Compact"/>
            </w:pPr>
            <w:r>
              <w:t xml:space="preserve">01</w:t>
            </w:r>
          </w:p>
        </w:tc>
        <w:tc>
          <w:tcPr/>
          <w:p>
            <w:pPr>
              <w:pStyle w:val="Compact"/>
            </w:pPr>
            <w:r>
              <w:t xml:space="preserve">01/06/2025</w:t>
            </w:r>
          </w:p>
        </w:tc>
        <w:tc>
          <w:tcPr/>
          <w:p>
            <w:pPr>
              <w:pStyle w:val="Compact"/>
            </w:pPr>
            <w:r>
              <w:t xml:space="preserve">الإصدار الأول</w:t>
            </w:r>
          </w:p>
        </w:tc>
        <w:tc>
          <w:tcPr/>
          <w:p>
            <w:pPr>
              <w:pStyle w:val="Compact"/>
            </w:pPr>
            <w:r>
              <w:t xml:space="preserve">………………</w:t>
            </w:r>
          </w:p>
        </w:tc>
        <w:tc>
          <w:tcPr/>
          <w:p>
            <w:pPr>
              <w:pStyle w:val="Compact"/>
            </w:pPr>
            <w:r>
              <w:t xml:space="preserve">………………</w:t>
            </w:r>
          </w:p>
        </w:tc>
      </w:tr>
      <w:tr>
        <w:tc>
          <w:tcPr/>
          <w:p>
            <w:pPr>
              <w:pStyle w:val="Compact"/>
            </w:pPr>
            <w:r>
              <w:t xml:space="preserve">02</w:t>
            </w:r>
          </w:p>
        </w:tc>
        <w:tc>
          <w:tcPr/>
          <w:p>
            <w:pPr>
              <w:pStyle w:val="Compact"/>
            </w:pPr>
            <w:r>
              <w:t xml:space="preserve">01/06/2026</w:t>
            </w:r>
          </w:p>
        </w:tc>
        <w:tc>
          <w:tcPr/>
          <w:p>
            <w:pPr>
              <w:pStyle w:val="Compact"/>
            </w:pPr>
            <w:r>
              <w:t xml:space="preserve">تحديث شامل وفق ISO 22000:2018 / FSSC 22000 v6 / Codex HACCP / ES 1589 / NFSA</w:t>
            </w:r>
          </w:p>
        </w:tc>
        <w:tc>
          <w:tcPr/>
          <w:p>
            <w:pPr>
              <w:pStyle w:val="Compact"/>
            </w:pPr>
            <w:r>
              <w:t xml:space="preserve">………………</w:t>
            </w:r>
          </w:p>
        </w:tc>
        <w:tc>
          <w:tcPr/>
          <w:p>
            <w:pPr>
              <w:pStyle w:val="Compac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21"/>
    <w:bookmarkStart w:id="22" w:name="X41b360a63802f33e05f4a3aaf91f59ba9058e30"/>
    <w:p>
      <w:pPr>
        <w:pStyle w:val="Heading2"/>
      </w:pPr>
      <w:r>
        <w:t xml:space="preserve">سجل توزيع نسخ الوثيقة (Distribution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الإدارة / القسم</w:t>
            </w:r>
          </w:p>
        </w:tc>
        <w:tc>
          <w:tcPr/>
          <w:p>
            <w:pPr>
              <w:pStyle w:val="Compact"/>
            </w:pPr>
            <w:r>
              <w:t xml:space="preserve">اسم المستلم</w:t>
            </w:r>
          </w:p>
        </w:tc>
        <w:tc>
          <w:tcPr/>
          <w:p>
            <w:pPr>
              <w:pStyle w:val="Compact"/>
            </w:pPr>
            <w:r>
              <w:t xml:space="preserve">عدد النسخ</w:t>
            </w:r>
          </w:p>
        </w:tc>
        <w:tc>
          <w:tcPr/>
          <w:p>
            <w:pPr>
              <w:pStyle w:val="Compact"/>
            </w:pPr>
            <w:r>
              <w:t xml:space="preserve">التوقيع</w:t>
            </w:r>
          </w:p>
        </w:tc>
        <w:tc>
          <w:tcPr/>
          <w:p>
            <w:pPr>
              <w:pStyle w:val="Compact"/>
            </w:pPr>
            <w:r>
              <w:t xml:space="preserve">التاريخ</w:t>
            </w:r>
          </w:p>
        </w:tc>
      </w:tr>
      <w:tr>
        <w:tc>
          <w:tcPr/>
          <w:p>
            <w:pPr>
              <w:pStyle w:val="Compact"/>
            </w:pPr>
            <w:r>
              <w:t xml:space="preserve">إدارة الجودة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الإنتاج</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الصيانة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المخازن</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المختبر</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المبيعات</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انتهى الإجراء رقم 16 - FSP-16</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2026-06-29T08:43:14Z</dcterms:created>
  <dcterms:modified xsi:type="dcterms:W3CDTF">2026-06-29T08:43:14Z</dcterms:modified>
</cp:coreProperties>
</file>

<file path=docProps/custom.xml><?xml version="1.0" encoding="utf-8"?>
<Properties xmlns="http://schemas.openxmlformats.org/officeDocument/2006/custom-properties" xmlns:vt="http://schemas.openxmlformats.org/officeDocument/2006/docPropsVTypes"/>
</file>