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r>
        <w:pict>
          <v:rect style="width:0;height:1.5pt" o:hralign="center" o:hrstd="t" o:hr="t"/>
        </w:pict>
      </w:r>
    </w:p>
    <w:bookmarkStart w:id="10" w:name="شركة-لإنتاج-وتعبئة-المياه-الطبيعية"/>
    <w:p>
      <w:pPr>
        <w:pStyle w:val="Heading1"/>
      </w:pPr>
      <w:r>
        <w:t xml:space="preserve">شركة لإنتاج وتعبئة المياه الطبيعية</w:t>
      </w:r>
    </w:p>
    <w:bookmarkStart w:id="9" w:name="company-co."/>
    <w:p>
      <w:pPr>
        <w:pStyle w:val="Heading2"/>
      </w:pPr>
      <w:r>
        <w:t xml:space="preserve">Company Co.</w:t>
      </w:r>
    </w:p>
    <w:p>
      <w:pPr>
        <w:pStyle w:val="FirstParagraph"/>
      </w:pPr>
    </w:p>
    <w:bookmarkEnd w:id="9"/>
    <w:bookmarkEnd w:id="10"/>
    <w:bookmarkStart w:id="11" w:name="المراجعة-الداخلية-internal-audit"/>
    <w:p>
      <w:pPr>
        <w:pStyle w:val="Heading1"/>
      </w:pPr>
      <w:r>
        <w:t xml:space="preserve">المراجعة الداخلية (Internal Audit)</w:t>
      </w:r>
    </w:p>
    <w:p>
      <w:pPr>
        <w:pStyle w:val="FirstParagraph"/>
      </w:pP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البيان</w:t>
            </w:r>
          </w:p>
        </w:tc>
        <w:tc>
          <w:tcPr/>
          <w:p>
            <w:pPr>
              <w:pStyle w:val="Compact"/>
            </w:pPr>
            <w:r>
              <w:t xml:space="preserve">التفصيل</w:t>
            </w:r>
          </w:p>
        </w:tc>
      </w:tr>
      <w:tr>
        <w:tc>
          <w:tcPr/>
          <w:p>
            <w:pPr>
              <w:pStyle w:val="Compact"/>
            </w:pPr>
            <w:r>
              <w:rPr>
                <w:b/>
                <w:bCs/>
              </w:rPr>
              <w:t xml:space="preserve">اسم الإجراء</w:t>
            </w:r>
          </w:p>
        </w:tc>
        <w:tc>
          <w:tcPr/>
          <w:p>
            <w:pPr>
              <w:pStyle w:val="Compact"/>
            </w:pPr>
            <w:r>
              <w:t xml:space="preserve">المراجعة الداخلية (Internal Audit)</w:t>
            </w:r>
          </w:p>
        </w:tc>
      </w:tr>
      <w:tr>
        <w:tc>
          <w:tcPr/>
          <w:p>
            <w:pPr>
              <w:pStyle w:val="Compact"/>
            </w:pPr>
            <w:r>
              <w:rPr>
                <w:b/>
                <w:bCs/>
              </w:rPr>
              <w:t xml:space="preserve">كود الوثيقة</w:t>
            </w:r>
          </w:p>
        </w:tc>
        <w:tc>
          <w:tcPr/>
          <w:p>
            <w:pPr>
              <w:pStyle w:val="Compact"/>
            </w:pPr>
            <w:r>
              <w:t xml:space="preserve">FSP-17</w:t>
            </w:r>
          </w:p>
        </w:tc>
      </w:tr>
      <w:tr>
        <w:tc>
          <w:tcPr/>
          <w:p>
            <w:pPr>
              <w:pStyle w:val="Compact"/>
            </w:pPr>
            <w:r>
              <w:rPr>
                <w:b/>
                <w:bCs/>
              </w:rPr>
              <w:t xml:space="preserve">رقم الإصدار</w:t>
            </w:r>
          </w:p>
        </w:tc>
        <w:tc>
          <w:tcPr/>
          <w:p>
            <w:pPr>
              <w:pStyle w:val="Compact"/>
            </w:pPr>
            <w:r>
              <w:t xml:space="preserve">02</w:t>
            </w:r>
          </w:p>
        </w:tc>
      </w:tr>
      <w:tr>
        <w:tc>
          <w:tcPr/>
          <w:p>
            <w:pPr>
              <w:pStyle w:val="Compact"/>
            </w:pPr>
            <w:r>
              <w:rPr>
                <w:b/>
                <w:bCs/>
              </w:rPr>
              <w:t xml:space="preserve">تاريخ الاعتماد</w:t>
            </w:r>
          </w:p>
        </w:tc>
        <w:tc>
          <w:tcPr/>
          <w:p>
            <w:pPr>
              <w:pStyle w:val="Compact"/>
            </w:pPr>
            <w:r>
              <w:t xml:space="preserve">01/06/2026</w:t>
            </w:r>
          </w:p>
        </w:tc>
      </w:tr>
      <w:tr>
        <w:tc>
          <w:tcPr/>
          <w:p>
            <w:pPr>
              <w:pStyle w:val="Compact"/>
            </w:pPr>
            <w:r>
              <w:rPr>
                <w:b/>
                <w:bCs/>
              </w:rPr>
              <w:t xml:space="preserve">تاريخ المراجعة القادمة</w:t>
            </w:r>
          </w:p>
        </w:tc>
        <w:tc>
          <w:tcPr/>
          <w:p>
            <w:pPr>
              <w:pStyle w:val="Compact"/>
            </w:pPr>
            <w:r>
              <w:t xml:space="preserve">01/06/2027</w:t>
            </w:r>
          </w:p>
        </w:tc>
      </w:tr>
      <w:tr>
        <w:tc>
          <w:tcPr/>
          <w:p>
            <w:pPr>
              <w:pStyle w:val="Compact"/>
            </w:pPr>
            <w:r>
              <w:rPr>
                <w:b/>
                <w:bCs/>
              </w:rPr>
              <w:t xml:space="preserve">أعدّ بواسطة</w:t>
            </w:r>
          </w:p>
        </w:tc>
        <w:tc>
          <w:tcPr/>
          <w:p>
            <w:pPr>
              <w:pStyle w:val="Compact"/>
            </w:pPr>
            <w:r>
              <w:t xml:space="preserve">مسؤول ضمان الجودة</w:t>
            </w:r>
          </w:p>
        </w:tc>
      </w:tr>
      <w:tr>
        <w:tc>
          <w:tcPr/>
          <w:p>
            <w:pPr>
              <w:pStyle w:val="Compact"/>
            </w:pPr>
            <w:r>
              <w:rPr>
                <w:b/>
                <w:bCs/>
              </w:rPr>
              <w:t xml:space="preserve">اعتُمد بواسطة</w:t>
            </w:r>
          </w:p>
        </w:tc>
        <w:tc>
          <w:tcPr/>
          <w:p>
            <w:pPr>
              <w:pStyle w:val="Compact"/>
            </w:pPr>
            <w:r>
              <w:t xml:space="preserve">المدير العام</w:t>
            </w:r>
          </w:p>
        </w:tc>
      </w:tr>
    </w:tbl>
    <w:bookmarkEnd w:id="11"/>
    <w:p>
      <w:r>
        <w:pict>
          <v:rect style="width:0;height:1.5pt" o:hralign="center" o:hrstd="t" o:hr="t"/>
        </w:pict>
      </w:r>
    </w:p>
    <w:bookmarkStart w:id="23" w:name="X508e6a02feb6eecda0600994759b8a0df50d366"/>
    <w:p>
      <w:pPr>
        <w:pStyle w:val="Heading1"/>
      </w:pPr>
      <w:r>
        <w:t xml:space="preserve">الإجراء رقم 17: المراجعة الداخلية (Internal Audit)</w:t>
      </w:r>
    </w:p>
    <w:bookmarkStart w:id="12" w:name="الغرض-purpose"/>
    <w:p>
      <w:pPr>
        <w:pStyle w:val="Heading3"/>
      </w:pPr>
      <w:r>
        <w:t xml:space="preserve">1. الغرض (Purpose)</w:t>
      </w:r>
    </w:p>
    <w:p>
      <w:pPr>
        <w:pStyle w:val="FirstParagraph"/>
      </w:pPr>
      <w:r>
        <w:t xml:space="preserve">يُهدف هذا الإجراء إلى تحديد وتطبيق منهجية منظمة وموثقة لبرنامج المراجعة الداخلية، وذلك لتقييم مدى مطابقة نظام إدارة سلامة الغذاء والجودة (Integrated Management System - IMS) للمتطلبات التالية:</w:t>
      </w:r>
      <w:r>
        <w:t xml:space="preserve"> </w:t>
      </w:r>
      <w:r>
        <w:t xml:space="preserve">أ. متطلبات المواصفات القياسية ISO 22000:2018 و ISO 9001:2015 و FSSC 22000 v6 (بما في ذلك متطلبات المخطط الإضافية).</w:t>
      </w:r>
      <w:r>
        <w:t xml:space="preserve"> </w:t>
      </w:r>
      <w:r>
        <w:t xml:space="preserve">ب. المتطلبات القانونية والتنظيمية ذات الصلة بسلامة مياه الشرب المعبأة والمياه المعدنية، الصادرة عن الهيئة القومية لسلامة الغذاء (NFSA) ووزارة الصحة.</w:t>
      </w:r>
      <w:r>
        <w:t xml:space="preserve"> </w:t>
      </w:r>
      <w:r>
        <w:t xml:space="preserve">ج. المتطلبات الداخلية المحددة من قِبل الشركة كوثائق الإجراءات والتعليمات.</w:t>
      </w:r>
      <w:r>
        <w:t xml:space="preserve"> </w:t>
      </w:r>
      <w:r>
        <w:t xml:space="preserve">د. التأكد من أن النظام يُطبق بفاعلية ويتم تحديثه وتحسينه بشكل مستمر.</w:t>
      </w:r>
    </w:p>
    <w:bookmarkEnd w:id="12"/>
    <w:bookmarkStart w:id="13" w:name="النطاق-scope"/>
    <w:p>
      <w:pPr>
        <w:pStyle w:val="Heading3"/>
      </w:pPr>
      <w:r>
        <w:t xml:space="preserve">2. النطاق (Scope)</w:t>
      </w:r>
    </w:p>
    <w:p>
      <w:pPr>
        <w:pStyle w:val="FirstParagraph"/>
      </w:pPr>
      <w:r>
        <w:t xml:space="preserve">يغطي هذا الإجراء جميع الأنشطة والعمليات والأقسام ذات الصلة بنظام إدارة سلامة الغذاء والجودة المتكامل في منشأة لتعبئة المياه الطبيعية، وذلك ليشمل جميع مراحل العملية من استلام المواد الخام (بما في ذلك المصدر المائي) وحتى تسليم المنتج النهائي، ويشمل أيضاً:</w:t>
      </w:r>
      <w:r>
        <w:t xml:space="preserve"> </w:t>
      </w:r>
      <w:r>
        <w:t xml:space="preserve">- تخطيط برنامج المراجعة الداخلية السنوي.</w:t>
      </w:r>
      <w:r>
        <w:t xml:space="preserve"> </w:t>
      </w:r>
      <w:r>
        <w:t xml:space="preserve">- تدريب وتأهيل فريق المراجعة الداخلية.</w:t>
      </w:r>
      <w:r>
        <w:t xml:space="preserve"> </w:t>
      </w:r>
      <w:r>
        <w:t xml:space="preserve">- تنفيذ المراجعات الداخلية المخطط لها وغير المخطط لها.</w:t>
      </w:r>
      <w:r>
        <w:t xml:space="preserve"> </w:t>
      </w:r>
      <w:r>
        <w:t xml:space="preserve">- توثيق نتائج المراجعات وتقييم حالات عدم المطابقة.</w:t>
      </w:r>
      <w:r>
        <w:t xml:space="preserve"> </w:t>
      </w:r>
      <w:r>
        <w:t xml:space="preserve">- متابعة الإجراءات التصحيحية وقياس فعاليتها.</w:t>
      </w:r>
      <w:r>
        <w:t xml:space="preserve"> </w:t>
      </w:r>
      <w:r>
        <w:t xml:space="preserve">- تقديم نتائج المراجعة كمدخلات لمراجعة الإدارة العليا.</w:t>
      </w:r>
    </w:p>
    <w:bookmarkEnd w:id="13"/>
    <w:bookmarkStart w:id="14" w:name="التعريفات-والمختصرات"/>
    <w:p>
      <w:pPr>
        <w:pStyle w:val="Heading3"/>
      </w:pPr>
      <w:r>
        <w:t xml:space="preserve">3. التعريفات والمختصرات</w:t>
      </w:r>
    </w:p>
    <w:p>
      <w:pPr>
        <w:pStyle w:val="Compact"/>
        <w:numPr>
          <w:ilvl w:val="0"/>
          <w:numId w:val="1001"/>
        </w:numPr>
      </w:pPr>
      <w:r>
        <w:rPr>
          <w:b/>
          <w:bCs/>
        </w:rPr>
        <w:t xml:space="preserve">المراجعة الداخلية (Internal Audit)</w:t>
      </w:r>
      <w:r>
        <w:t xml:space="preserve">: عملية منهجية، مستقلة، وموثقة للحصول على أدلة المراجعة وتقييمها بموضوعية لتحديد مدى تحقيق معايير المراجعة. (ISO 19011:2018 §3.1)</w:t>
      </w:r>
    </w:p>
    <w:p>
      <w:pPr>
        <w:pStyle w:val="Compact"/>
        <w:numPr>
          <w:ilvl w:val="0"/>
          <w:numId w:val="1001"/>
        </w:numPr>
      </w:pPr>
      <w:r>
        <w:rPr>
          <w:b/>
          <w:bCs/>
        </w:rPr>
        <w:t xml:space="preserve">برنامج المراجعة (Audit Program)</w:t>
      </w:r>
      <w:r>
        <w:t xml:space="preserve">: مجموعة من مراجعة أو أكثر يتم تخطيطها لفترة زمنية محددة ولغرض محدد. (ISO 19011:2018 §3.2)</w:t>
      </w:r>
    </w:p>
    <w:p>
      <w:pPr>
        <w:pStyle w:val="Compact"/>
        <w:numPr>
          <w:ilvl w:val="0"/>
          <w:numId w:val="1001"/>
        </w:numPr>
      </w:pPr>
      <w:r>
        <w:rPr>
          <w:b/>
          <w:bCs/>
        </w:rPr>
        <w:t xml:space="preserve">معيار المراجعة (Audit Criteria)</w:t>
      </w:r>
      <w:r>
        <w:t xml:space="preserve">: مجموعة من السياسات، الإجراءات، المتطلبات أو القوانين المستخدمة كمرجع يتم مقارنة الدليل المراجعي بها. (ISO 19011:2018 §3.3)</w:t>
      </w:r>
    </w:p>
    <w:p>
      <w:pPr>
        <w:pStyle w:val="Compact"/>
        <w:numPr>
          <w:ilvl w:val="0"/>
          <w:numId w:val="1001"/>
        </w:numPr>
      </w:pPr>
      <w:r>
        <w:rPr>
          <w:b/>
          <w:bCs/>
        </w:rPr>
        <w:t xml:space="preserve">دليل المراجعة (Audit Evidence)</w:t>
      </w:r>
      <w:r>
        <w:t xml:space="preserve">: سجلات، بيانات حقائق أو معلومات أخرى ذات صلة بمعايير المراجعة وقابلة للتحقق. (ISO 19011:2018 §3.4)</w:t>
      </w:r>
    </w:p>
    <w:p>
      <w:pPr>
        <w:pStyle w:val="Compact"/>
        <w:numPr>
          <w:ilvl w:val="0"/>
          <w:numId w:val="1001"/>
        </w:numPr>
      </w:pPr>
      <w:r>
        <w:rPr>
          <w:b/>
          <w:bCs/>
        </w:rPr>
        <w:t xml:space="preserve">حالة عدم المطابقة (Nonconformity - NC)</w:t>
      </w:r>
      <w:r>
        <w:t xml:space="preserve">: عدم تحقيق أحد المتطلبات. (ISO 9000:2015 §3.6.9)</w:t>
      </w:r>
    </w:p>
    <w:p>
      <w:pPr>
        <w:pStyle w:val="Compact"/>
        <w:numPr>
          <w:ilvl w:val="0"/>
          <w:numId w:val="1001"/>
        </w:numPr>
      </w:pPr>
      <w:r>
        <w:rPr>
          <w:b/>
          <w:bCs/>
        </w:rPr>
        <w:t xml:space="preserve">إجراء تصحيحي (Correction Action - CA)</w:t>
      </w:r>
      <w:r>
        <w:t xml:space="preserve">: إجراء لإزالة سبب حالة عدم مطابقة مكتشفة أو وضع غير مرغوب فيه آخر ومنع تكرار حدوثه. (ISO 9000:2015 §3.12.2)</w:t>
      </w:r>
    </w:p>
    <w:p>
      <w:pPr>
        <w:pStyle w:val="Compact"/>
        <w:numPr>
          <w:ilvl w:val="0"/>
          <w:numId w:val="1001"/>
        </w:numPr>
      </w:pPr>
      <w:r>
        <w:rPr>
          <w:b/>
          <w:bCs/>
        </w:rPr>
        <w:t xml:space="preserve">IMS</w:t>
      </w:r>
      <w:r>
        <w:t xml:space="preserve">: نظام إدارة متكامل (Integrated Management System).</w:t>
      </w:r>
    </w:p>
    <w:p>
      <w:pPr>
        <w:pStyle w:val="Compact"/>
        <w:numPr>
          <w:ilvl w:val="0"/>
          <w:numId w:val="1001"/>
        </w:numPr>
      </w:pPr>
      <w:r>
        <w:rPr>
          <w:b/>
          <w:bCs/>
        </w:rPr>
        <w:t xml:space="preserve">NFSA</w:t>
      </w:r>
      <w:r>
        <w:t xml:space="preserve">: الهيئة القومية لسلامة الغذاء المصرية.</w:t>
      </w:r>
    </w:p>
    <w:p>
      <w:pPr>
        <w:pStyle w:val="Compact"/>
        <w:numPr>
          <w:ilvl w:val="0"/>
          <w:numId w:val="1001"/>
        </w:numPr>
      </w:pPr>
      <w:r>
        <w:rPr>
          <w:b/>
          <w:bCs/>
        </w:rPr>
        <w:t xml:space="preserve">FSSC 22000</w:t>
      </w:r>
      <w:r>
        <w:t xml:space="preserve">: مخطط شهادة نظام سلامة الغذاء.</w:t>
      </w:r>
    </w:p>
    <w:p>
      <w:pPr>
        <w:pStyle w:val="Compact"/>
        <w:numPr>
          <w:ilvl w:val="0"/>
          <w:numId w:val="1001"/>
        </w:numPr>
      </w:pPr>
      <w:r>
        <w:rPr>
          <w:b/>
          <w:bCs/>
        </w:rPr>
        <w:t xml:space="preserve">FS Team Leader</w:t>
      </w:r>
      <w:r>
        <w:t xml:space="preserve">: رئيس فريق سلامة الغذاء.</w:t>
      </w:r>
    </w:p>
    <w:p>
      <w:pPr>
        <w:pStyle w:val="Compact"/>
        <w:numPr>
          <w:ilvl w:val="0"/>
          <w:numId w:val="1001"/>
        </w:numPr>
      </w:pPr>
      <w:r>
        <w:rPr>
          <w:b/>
          <w:bCs/>
        </w:rPr>
        <w:t xml:space="preserve">PRPs</w:t>
      </w:r>
      <w:r>
        <w:t xml:space="preserve">: برامج المتطلبات المسبقة (Prerequisite Programs).</w:t>
      </w:r>
    </w:p>
    <w:p>
      <w:pPr>
        <w:pStyle w:val="Compact"/>
        <w:numPr>
          <w:ilvl w:val="0"/>
          <w:numId w:val="1001"/>
        </w:numPr>
      </w:pPr>
      <w:r>
        <w:rPr>
          <w:b/>
          <w:bCs/>
        </w:rPr>
        <w:t xml:space="preserve">OPRPs</w:t>
      </w:r>
      <w:r>
        <w:t xml:space="preserve">: برامج المتطلبات المسبقة التشغيلية (Operational Prerequisite Programs).</w:t>
      </w:r>
    </w:p>
    <w:p>
      <w:pPr>
        <w:pStyle w:val="Compact"/>
        <w:numPr>
          <w:ilvl w:val="0"/>
          <w:numId w:val="1001"/>
        </w:numPr>
      </w:pPr>
      <w:r>
        <w:rPr>
          <w:b/>
          <w:bCs/>
        </w:rPr>
        <w:t xml:space="preserve">HACCP</w:t>
      </w:r>
      <w:r>
        <w:t xml:space="preserve">: تحليل المخاطر ونقاط التحكم الحرجة (Hazard Analysis and Critical Control Points).</w:t>
      </w:r>
    </w:p>
    <w:bookmarkEnd w:id="14"/>
    <w:bookmarkStart w:id="15" w:name="المراجع-references"/>
    <w:p>
      <w:pPr>
        <w:pStyle w:val="Heading3"/>
      </w:pPr>
      <w:r>
        <w:t xml:space="preserve">4. المراجع (References)</w:t>
      </w:r>
    </w:p>
    <w:p>
      <w:pPr>
        <w:pStyle w:val="Compact"/>
        <w:numPr>
          <w:ilvl w:val="0"/>
          <w:numId w:val="1002"/>
        </w:numPr>
      </w:pPr>
      <w:r>
        <w:rPr>
          <w:b/>
          <w:bCs/>
        </w:rPr>
        <w:t xml:space="preserve">ISO 22000:2018</w:t>
      </w:r>
      <w:r>
        <w:t xml:space="preserve">:</w:t>
      </w:r>
    </w:p>
    <w:p>
      <w:pPr>
        <w:pStyle w:val="Compact"/>
        <w:numPr>
          <w:ilvl w:val="1"/>
          <w:numId w:val="1003"/>
        </w:numPr>
      </w:pPr>
      <w:r>
        <w:t xml:space="preserve">§4.4 (نظام إدارة سلامة الغذاء)</w:t>
      </w:r>
    </w:p>
    <w:p>
      <w:pPr>
        <w:pStyle w:val="Compact"/>
        <w:numPr>
          <w:ilvl w:val="1"/>
          <w:numId w:val="1003"/>
        </w:numPr>
      </w:pPr>
      <w:r>
        <w:t xml:space="preserve">§5.1 (القيادة والالتزام)</w:t>
      </w:r>
    </w:p>
    <w:p>
      <w:pPr>
        <w:pStyle w:val="Compact"/>
        <w:numPr>
          <w:ilvl w:val="1"/>
          <w:numId w:val="1003"/>
        </w:numPr>
      </w:pPr>
      <w:r>
        <w:t xml:space="preserve">§6.1 (الإجراءات لمعالجة المخاطر والفرص)</w:t>
      </w:r>
    </w:p>
    <w:p>
      <w:pPr>
        <w:pStyle w:val="Compact"/>
        <w:numPr>
          <w:ilvl w:val="1"/>
          <w:numId w:val="1003"/>
        </w:numPr>
      </w:pPr>
      <w:r>
        <w:t xml:space="preserve">§7.2 (الكفاءة)</w:t>
      </w:r>
    </w:p>
    <w:p>
      <w:pPr>
        <w:pStyle w:val="Compact"/>
        <w:numPr>
          <w:ilvl w:val="1"/>
          <w:numId w:val="1003"/>
        </w:numPr>
      </w:pPr>
      <w:r>
        <w:t xml:space="preserve">§7.5 (المعلومات الموثقة)</w:t>
      </w:r>
    </w:p>
    <w:p>
      <w:pPr>
        <w:pStyle w:val="Compact"/>
        <w:numPr>
          <w:ilvl w:val="1"/>
          <w:numId w:val="1003"/>
        </w:numPr>
      </w:pPr>
      <w:r>
        <w:t xml:space="preserve">§9.1 (المراقبة والقياس والتحليل والتقييم)</w:t>
      </w:r>
    </w:p>
    <w:p>
      <w:pPr>
        <w:pStyle w:val="Compact"/>
        <w:numPr>
          <w:ilvl w:val="1"/>
          <w:numId w:val="1003"/>
        </w:numPr>
      </w:pPr>
      <w:r>
        <w:t xml:space="preserve">§9.2 (المراجعة الداخلية)</w:t>
      </w:r>
    </w:p>
    <w:p>
      <w:pPr>
        <w:pStyle w:val="Compact"/>
        <w:numPr>
          <w:ilvl w:val="1"/>
          <w:numId w:val="1003"/>
        </w:numPr>
      </w:pPr>
      <w:r>
        <w:t xml:space="preserve">§9.3 (مراجعة الإدارة)</w:t>
      </w:r>
    </w:p>
    <w:p>
      <w:pPr>
        <w:pStyle w:val="Compact"/>
        <w:numPr>
          <w:ilvl w:val="1"/>
          <w:numId w:val="1003"/>
        </w:numPr>
      </w:pPr>
      <w:r>
        <w:t xml:space="preserve">§10.2 (عدم المطابقة والإجراءات التصحيحية)</w:t>
      </w:r>
    </w:p>
    <w:p>
      <w:pPr>
        <w:pStyle w:val="Compact"/>
        <w:numPr>
          <w:ilvl w:val="0"/>
          <w:numId w:val="1002"/>
        </w:numPr>
      </w:pPr>
      <w:r>
        <w:rPr>
          <w:b/>
          <w:bCs/>
        </w:rPr>
        <w:t xml:space="preserve">ISO 9001:2015</w:t>
      </w:r>
      <w:r>
        <w:t xml:space="preserve">:</w:t>
      </w:r>
    </w:p>
    <w:p>
      <w:pPr>
        <w:pStyle w:val="Compact"/>
        <w:numPr>
          <w:ilvl w:val="1"/>
          <w:numId w:val="1004"/>
        </w:numPr>
      </w:pPr>
      <w:r>
        <w:t xml:space="preserve">§9.2 (المراجعة الداخلية)</w:t>
      </w:r>
    </w:p>
    <w:p>
      <w:pPr>
        <w:pStyle w:val="Compact"/>
        <w:numPr>
          <w:ilvl w:val="1"/>
          <w:numId w:val="1004"/>
        </w:numPr>
      </w:pPr>
      <w:r>
        <w:t xml:space="preserve">§10.2 (عدم المطابقة والإجراءات التصحيحية)</w:t>
      </w:r>
    </w:p>
    <w:p>
      <w:pPr>
        <w:pStyle w:val="Compact"/>
        <w:numPr>
          <w:ilvl w:val="0"/>
          <w:numId w:val="1002"/>
        </w:numPr>
      </w:pPr>
      <w:r>
        <w:rPr>
          <w:b/>
          <w:bCs/>
        </w:rPr>
        <w:t xml:space="preserve">FSSC 22000 v6</w:t>
      </w:r>
      <w:r>
        <w:t xml:space="preserve">:</w:t>
      </w:r>
    </w:p>
    <w:p>
      <w:pPr>
        <w:pStyle w:val="Compact"/>
        <w:numPr>
          <w:ilvl w:val="1"/>
          <w:numId w:val="1005"/>
        </w:numPr>
      </w:pPr>
      <w:r>
        <w:t xml:space="preserve">Part 2.1.2.a (متطلبات النظام)</w:t>
      </w:r>
    </w:p>
    <w:p>
      <w:pPr>
        <w:pStyle w:val="Compact"/>
        <w:numPr>
          <w:ilvl w:val="1"/>
          <w:numId w:val="1005"/>
        </w:numPr>
      </w:pPr>
      <w:r>
        <w:t xml:space="preserve">Part 2.5 (Additional Requirements: 2.5.17 Food Fraud Mitigation, 2.5.18 Food Defense, 2.5.19 Supplier Management, 2.5.21 Equipment Management)</w:t>
      </w:r>
    </w:p>
    <w:p>
      <w:pPr>
        <w:pStyle w:val="Compact"/>
        <w:numPr>
          <w:ilvl w:val="0"/>
          <w:numId w:val="1002"/>
        </w:numPr>
      </w:pPr>
      <w:r>
        <w:rPr>
          <w:b/>
          <w:bCs/>
        </w:rPr>
        <w:t xml:space="preserve">ISO 19011:2018</w:t>
      </w:r>
      <w:r>
        <w:t xml:space="preserve">: إرشادات لتدقيق أنظمة الإدارة.</w:t>
      </w:r>
    </w:p>
    <w:p>
      <w:pPr>
        <w:pStyle w:val="Compact"/>
        <w:numPr>
          <w:ilvl w:val="0"/>
          <w:numId w:val="1002"/>
        </w:numPr>
      </w:pPr>
      <w:r>
        <w:rPr>
          <w:b/>
          <w:bCs/>
        </w:rPr>
        <w:t xml:space="preserve">Codex Alimentarius CAC/RCP 1-1969</w:t>
      </w:r>
      <w:r>
        <w:t xml:space="preserve">: الفصل X (نظام الهاسب وتطبيقه).</w:t>
      </w:r>
    </w:p>
    <w:p>
      <w:pPr>
        <w:pStyle w:val="Compact"/>
        <w:numPr>
          <w:ilvl w:val="0"/>
          <w:numId w:val="1002"/>
        </w:numPr>
      </w:pPr>
      <w:r>
        <w:rPr>
          <w:b/>
          <w:bCs/>
        </w:rPr>
        <w:t xml:space="preserve">المواصفة القياسية المصرية ES 1589/2007</w:t>
      </w:r>
      <w:r>
        <w:t xml:space="preserve">: مياه الشرب المعبأة.</w:t>
      </w:r>
    </w:p>
    <w:p>
      <w:pPr>
        <w:pStyle w:val="Compact"/>
        <w:numPr>
          <w:ilvl w:val="0"/>
          <w:numId w:val="1002"/>
        </w:numPr>
      </w:pPr>
      <w:r>
        <w:rPr>
          <w:b/>
          <w:bCs/>
        </w:rPr>
        <w:t xml:space="preserve">المواصفة القياسية المصرية ES 190</w:t>
      </w:r>
      <w:r>
        <w:t xml:space="preserve">: مياه معدنية طبيعية.</w:t>
      </w:r>
    </w:p>
    <w:p>
      <w:pPr>
        <w:pStyle w:val="Compact"/>
        <w:numPr>
          <w:ilvl w:val="0"/>
          <w:numId w:val="1002"/>
        </w:numPr>
      </w:pPr>
      <w:r>
        <w:rPr>
          <w:b/>
          <w:bCs/>
        </w:rPr>
        <w:t xml:space="preserve">لائحة الهيئة القومية لسلامة الغذاء NFSA (قرار 6/2023 وتعديلاته)</w:t>
      </w:r>
      <w:r>
        <w:t xml:space="preserve">: المواد ذات الصلة بمتطلبات سلامة الغذاء والترخيص.</w:t>
      </w:r>
    </w:p>
    <w:p>
      <w:pPr>
        <w:pStyle w:val="Compact"/>
        <w:numPr>
          <w:ilvl w:val="0"/>
          <w:numId w:val="1002"/>
        </w:numPr>
      </w:pPr>
      <w:r>
        <w:rPr>
          <w:b/>
          <w:bCs/>
        </w:rPr>
        <w:t xml:space="preserve">قرار وزير الصحة رقم 458/2007</w:t>
      </w:r>
      <w:r>
        <w:t xml:space="preserve">: بشأن تنظيم تداول مياه الشرب المعبأة.</w:t>
      </w:r>
    </w:p>
    <w:bookmarkEnd w:id="15"/>
    <w:bookmarkStart w:id="16" w:name="المسؤوليات-responsibilities"/>
    <w:p>
      <w:pPr>
        <w:pStyle w:val="Heading3"/>
      </w:pPr>
      <w:r>
        <w:t xml:space="preserve">5. المسؤوليات (Responsibilities)</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الدور الوظيفي</w:t>
            </w:r>
          </w:p>
        </w:tc>
        <w:tc>
          <w:tcPr/>
          <w:p>
            <w:pPr>
              <w:pStyle w:val="Compact"/>
            </w:pPr>
            <w:r>
              <w:t xml:space="preserve">تخطيط برنامج المراجعة</w:t>
            </w:r>
          </w:p>
        </w:tc>
        <w:tc>
          <w:tcPr/>
          <w:p>
            <w:pPr>
              <w:pStyle w:val="Compact"/>
            </w:pPr>
            <w:r>
              <w:t xml:space="preserve">تحديد فريق المراجعة</w:t>
            </w:r>
          </w:p>
        </w:tc>
        <w:tc>
          <w:tcPr/>
          <w:p>
            <w:pPr>
              <w:pStyle w:val="Compact"/>
            </w:pPr>
            <w:r>
              <w:t xml:space="preserve">تنفيذ المراجعة</w:t>
            </w:r>
          </w:p>
        </w:tc>
        <w:tc>
          <w:tcPr/>
          <w:p>
            <w:pPr>
              <w:pStyle w:val="Compact"/>
            </w:pPr>
            <w:r>
              <w:t xml:space="preserve">توثيق النتائج</w:t>
            </w:r>
          </w:p>
        </w:tc>
        <w:tc>
          <w:tcPr/>
          <w:p>
            <w:pPr>
              <w:pStyle w:val="Compact"/>
            </w:pPr>
            <w:r>
              <w:t xml:space="preserve">الإبلاغ عن النتائج</w:t>
            </w:r>
          </w:p>
        </w:tc>
        <w:tc>
          <w:tcPr/>
          <w:p>
            <w:pPr>
              <w:pStyle w:val="Compact"/>
            </w:pPr>
            <w:r>
              <w:t xml:space="preserve">متابعة الإجراءات التصحيحية</w:t>
            </w:r>
          </w:p>
        </w:tc>
        <w:tc>
          <w:tcPr/>
          <w:p>
            <w:pPr>
              <w:pStyle w:val="Compact"/>
            </w:pPr>
            <w:r>
              <w:t xml:space="preserve">ضمان الكفاءة</w:t>
            </w:r>
          </w:p>
        </w:tc>
      </w:tr>
      <w:tr>
        <w:tc>
          <w:tcPr/>
          <w:p>
            <w:pPr>
              <w:pStyle w:val="Compact"/>
            </w:pPr>
            <w:r>
              <w:rPr>
                <w:b/>
                <w:bCs/>
              </w:rPr>
              <w:t xml:space="preserve">المدير العام</w:t>
            </w:r>
          </w:p>
        </w:tc>
        <w:tc>
          <w:tcPr/>
          <w:p>
            <w:pPr>
              <w:pStyle w:val="Compact"/>
            </w:pPr>
            <w:r>
              <w:t xml:space="preserve">R</w:t>
            </w:r>
          </w:p>
        </w:tc>
        <w:tc>
          <w:tcPr/>
          <w:p>
            <w:pPr>
              <w:pStyle w:val="Compact"/>
            </w:pPr>
            <w:r>
              <w:t xml:space="preserve">A</w:t>
            </w:r>
          </w:p>
        </w:tc>
        <w:tc>
          <w:tcPr/>
          <w:p>
            <w:pPr>
              <w:pStyle w:val="Compact"/>
            </w:pPr>
            <w:r>
              <w:t xml:space="preserve">C</w:t>
            </w:r>
          </w:p>
        </w:tc>
        <w:tc>
          <w:tcPr/>
          <w:p>
            <w:pPr>
              <w:pStyle w:val="Compact"/>
            </w:pPr>
            <w:r>
              <w:t xml:space="preserve">I</w:t>
            </w:r>
          </w:p>
        </w:tc>
        <w:tc>
          <w:tcPr/>
          <w:p>
            <w:pPr>
              <w:pStyle w:val="Compact"/>
            </w:pPr>
            <w:r>
              <w:t xml:space="preserve">R</w:t>
            </w:r>
          </w:p>
        </w:tc>
        <w:tc>
          <w:tcPr/>
          <w:p>
            <w:pPr>
              <w:pStyle w:val="Compact"/>
            </w:pPr>
            <w:r>
              <w:t xml:space="preserve">I</w:t>
            </w:r>
          </w:p>
        </w:tc>
        <w:tc>
          <w:tcPr/>
          <w:p>
            <w:pPr>
              <w:pStyle w:val="Compact"/>
            </w:pPr>
            <w:r>
              <w:t xml:space="preserve">A</w:t>
            </w:r>
          </w:p>
        </w:tc>
      </w:tr>
      <w:tr>
        <w:tc>
          <w:tcPr/>
          <w:p>
            <w:pPr>
              <w:pStyle w:val="Compact"/>
            </w:pPr>
            <w:r>
              <w:rPr>
                <w:b/>
                <w:bCs/>
              </w:rPr>
              <w:t xml:space="preserve">مدير الجودة / ر. فريق س. الغذاء</w:t>
            </w:r>
          </w:p>
        </w:tc>
        <w:tc>
          <w:tcPr/>
          <w:p>
            <w:pPr>
              <w:pStyle w:val="Compact"/>
            </w:pPr>
            <w:r>
              <w:t xml:space="preserve">R, A</w:t>
            </w:r>
          </w:p>
        </w:tc>
        <w:tc>
          <w:tcPr/>
          <w:p>
            <w:pPr>
              <w:pStyle w:val="Compact"/>
            </w:pPr>
            <w:r>
              <w:t xml:space="preserve">R, A</w:t>
            </w:r>
          </w:p>
        </w:tc>
        <w:tc>
          <w:tcPr/>
          <w:p>
            <w:pPr>
              <w:pStyle w:val="Compact"/>
            </w:pPr>
            <w:r>
              <w:t xml:space="preserve">S</w:t>
            </w:r>
          </w:p>
        </w:tc>
        <w:tc>
          <w:tcPr/>
          <w:p>
            <w:pPr>
              <w:pStyle w:val="Compact"/>
            </w:pPr>
            <w:r>
              <w:t xml:space="preserve">R, A</w:t>
            </w:r>
          </w:p>
        </w:tc>
        <w:tc>
          <w:tcPr/>
          <w:p>
            <w:pPr>
              <w:pStyle w:val="Compact"/>
            </w:pPr>
            <w:r>
              <w:t xml:space="preserve">R, A</w:t>
            </w:r>
          </w:p>
        </w:tc>
        <w:tc>
          <w:tcPr/>
          <w:p>
            <w:pPr>
              <w:pStyle w:val="Compact"/>
            </w:pPr>
            <w:r>
              <w:t xml:space="preserve">R, A</w:t>
            </w:r>
          </w:p>
        </w:tc>
        <w:tc>
          <w:tcPr/>
          <w:p>
            <w:pPr>
              <w:pStyle w:val="Compact"/>
            </w:pPr>
            <w:r>
              <w:t xml:space="preserve">R</w:t>
            </w:r>
          </w:p>
        </w:tc>
      </w:tr>
      <w:tr>
        <w:tc>
          <w:tcPr/>
          <w:p>
            <w:pPr>
              <w:pStyle w:val="Compact"/>
            </w:pPr>
            <w:r>
              <w:rPr>
                <w:b/>
                <w:bCs/>
              </w:rPr>
              <w:t xml:space="preserve">المراجعون الداخليون</w:t>
            </w:r>
          </w:p>
        </w:tc>
        <w:tc>
          <w:tcPr/>
          <w:p>
            <w:pPr>
              <w:pStyle w:val="Compact"/>
            </w:pPr>
            <w:r>
              <w:t xml:space="preserve">I</w:t>
            </w:r>
          </w:p>
        </w:tc>
        <w:tc>
          <w:tcPr/>
          <w:p>
            <w:pPr>
              <w:pStyle w:val="Compact"/>
            </w:pPr>
            <w:r>
              <w:t xml:space="preserve">I</w:t>
            </w:r>
          </w:p>
        </w:tc>
        <w:tc>
          <w:tcPr/>
          <w:p>
            <w:pPr>
              <w:pStyle w:val="Compact"/>
            </w:pPr>
            <w:r>
              <w:t xml:space="preserve">R</w:t>
            </w:r>
          </w:p>
        </w:tc>
        <w:tc>
          <w:tcPr/>
          <w:p>
            <w:pPr>
              <w:pStyle w:val="Compact"/>
            </w:pPr>
            <w:r>
              <w:t xml:space="preserve">R</w:t>
            </w:r>
          </w:p>
        </w:tc>
        <w:tc>
          <w:tcPr/>
          <w:p>
            <w:pPr>
              <w:pStyle w:val="Compact"/>
            </w:pPr>
            <w:r>
              <w:t xml:space="preserve">C</w:t>
            </w:r>
          </w:p>
        </w:tc>
        <w:tc>
          <w:tcPr/>
          <w:p>
            <w:pPr>
              <w:pStyle w:val="Compact"/>
            </w:pPr>
            <w:r>
              <w:t xml:space="preserve">C</w:t>
            </w:r>
          </w:p>
        </w:tc>
        <w:tc>
          <w:tcPr/>
          <w:p>
            <w:pPr>
              <w:pStyle w:val="Compact"/>
            </w:pPr>
            <w:r>
              <w:t xml:space="preserve">R</w:t>
            </w:r>
          </w:p>
        </w:tc>
      </w:tr>
      <w:tr>
        <w:tc>
          <w:tcPr/>
          <w:p>
            <w:pPr>
              <w:pStyle w:val="Compact"/>
            </w:pPr>
            <w:r>
              <w:rPr>
                <w:b/>
                <w:bCs/>
              </w:rPr>
              <w:t xml:space="preserve">رؤساء الأقسام المراجع عليها</w:t>
            </w:r>
          </w:p>
        </w:tc>
        <w:tc>
          <w:tcPr/>
          <w:p>
            <w:pPr>
              <w:pStyle w:val="Compact"/>
            </w:pPr>
            <w:r>
              <w:t xml:space="preserve">I</w:t>
            </w:r>
          </w:p>
        </w:tc>
        <w:tc>
          <w:tcPr/>
          <w:p>
            <w:pPr>
              <w:pStyle w:val="Compact"/>
            </w:pPr>
            <w:r>
              <w:t xml:space="preserve">I</w:t>
            </w:r>
          </w:p>
        </w:tc>
        <w:tc>
          <w:tcPr/>
          <w:p>
            <w:pPr>
              <w:pStyle w:val="Compact"/>
            </w:pPr>
            <w:r>
              <w:t xml:space="preserve">C</w:t>
            </w:r>
          </w:p>
        </w:tc>
        <w:tc>
          <w:tcPr/>
          <w:p>
            <w:pPr>
              <w:pStyle w:val="Compact"/>
            </w:pPr>
            <w:r>
              <w:t xml:space="preserve">C</w:t>
            </w:r>
          </w:p>
        </w:tc>
        <w:tc>
          <w:tcPr/>
          <w:p>
            <w:pPr>
              <w:pStyle w:val="Compact"/>
            </w:pPr>
            <w:r>
              <w:t xml:space="preserve">R</w:t>
            </w:r>
          </w:p>
        </w:tc>
        <w:tc>
          <w:tcPr/>
          <w:p>
            <w:pPr>
              <w:pStyle w:val="Compact"/>
            </w:pPr>
            <w:r>
              <w:t xml:space="preserve">R</w:t>
            </w:r>
          </w:p>
        </w:tc>
        <w:tc>
          <w:tcPr/>
          <w:p>
            <w:pPr>
              <w:pStyle w:val="Compact"/>
            </w:pPr>
            <w:r>
              <w:t xml:space="preserve">C</w:t>
            </w:r>
          </w:p>
        </w:tc>
      </w:tr>
    </w:tbl>
    <w:p>
      <w:pPr>
        <w:pStyle w:val="BodyText"/>
      </w:pPr>
      <w:r>
        <w:rPr>
          <w:b/>
          <w:bCs/>
        </w:rPr>
        <w:t xml:space="preserve">ملاحظة RACI:</w:t>
      </w:r>
      <w:r>
        <w:t xml:space="preserve"> </w:t>
      </w:r>
      <w:r>
        <w:t xml:space="preserve">R=مسؤول (Responsible)، A=مساءل (Accountable)، C=يتم استشارته (Consulted)، I=يتم إبلاغه (Informed).</w:t>
      </w:r>
    </w:p>
    <w:bookmarkEnd w:id="16"/>
    <w:bookmarkStart w:id="17" w:name="خطوات-التنفيذ-التفصيلية-procedures"/>
    <w:p>
      <w:pPr>
        <w:pStyle w:val="Heading3"/>
      </w:pPr>
      <w:r>
        <w:t xml:space="preserve">6. خطوات التنفيذ التفصيلية (Procedures)</w:t>
      </w:r>
    </w:p>
    <w:p>
      <w:pPr>
        <w:pStyle w:val="FirstParagraph"/>
      </w:pPr>
      <w:r>
        <w:rPr>
          <w:b/>
          <w:bCs/>
        </w:rPr>
        <w:t xml:space="preserve">6-1: إعداد وتخطيط برنامج المراجعة الداخلية</w:t>
      </w:r>
    </w:p>
    <w:p>
      <w:pPr>
        <w:pStyle w:val="BodyText"/>
      </w:pPr>
      <w:r>
        <w:rPr>
          <w:b/>
          <w:bCs/>
        </w:rPr>
        <w:t xml:space="preserve">6-1-1 تحديد نطاق وتكرار المراجعات (مدير الجودة / FS Team Leader):</w:t>
      </w:r>
      <w:r>
        <w:t xml:space="preserve"> </w:t>
      </w:r>
      <w:r>
        <w:t xml:space="preserve">- يقوم مدير الجودة / رئيس فريق سلامة الغذاء بوضع برنامج سنوي للمراجعة الداخلية (نموذج F-17-01: برنامج المراجعة الداخلية).</w:t>
      </w:r>
      <w:r>
        <w:t xml:space="preserve"> </w:t>
      </w:r>
      <w:r>
        <w:t xml:space="preserve">- يجب أن يغطي البرنامج جميع بنود المواصفات المرجعية (ISO 22000:2018، ISO 9001:2015، FSSC 22000 v6 بما في ذلك متطلبات المخطط الإضافية)، والمتطلبات القانونية والتنظيمية (NFSA، ES 1589/2007، ES 190، قرار 458/2007)، بالإضافة إلى جميع الإجراءات التشغيلية والبرامج المسبقة (PRPs).</w:t>
      </w:r>
      <w:r>
        <w:t xml:space="preserve"> </w:t>
      </w:r>
      <w:r>
        <w:t xml:space="preserve">- يتم تحديد تكرار المراجعات بناءً على تقييم المخاطر لكل عملية/بند، ونتائج المراجعات السابقة (الداخلية والخارجية)، والشكاوى، والتغيرات في النظام أو العمليات. (ISO 22000:2018 §9.2.2.a)</w:t>
      </w:r>
      <w:r>
        <w:t xml:space="preserve"> </w:t>
      </w:r>
      <w:r>
        <w:t xml:space="preserve">- يجب أن تتضمن المراجعات المنتظمة تقييمًا لنظام HACCP، OPRPs، PRPs، وتطبيق خطط مكافحة الغش في الغذاء والدفاع عن الغذاء.</w:t>
      </w:r>
      <w:r>
        <w:t xml:space="preserve"> </w:t>
      </w:r>
      <w:r>
        <w:t xml:space="preserve">- يجب ألا يقل تكرار مراجعة جميع بنود وشروط نظام FSSC 22000 عن مرة واحدة على الأقل كل 12 شهرًا.</w:t>
      </w:r>
    </w:p>
    <w:p>
      <w:pPr>
        <w:pStyle w:val="BodyText"/>
      </w:pPr>
      <w:r>
        <w:rPr>
          <w:b/>
          <w:bCs/>
        </w:rPr>
        <w:t xml:space="preserve">6-1-2: تحديد معايير وطرق المراجعة (مدير الجودة / FS Team Leader):</w:t>
      </w:r>
      <w:r>
        <w:t xml:space="preserve"> </w:t>
      </w:r>
      <w:r>
        <w:t xml:space="preserve">- يتم تحديد المعايير التي سيتم التدقيق عليها بوضوح لكل مراجعة، مثل بنود محددة من المواصفة، أو متطلبات تشريعية، أو إجراءات الشركة.</w:t>
      </w:r>
      <w:r>
        <w:t xml:space="preserve"> </w:t>
      </w:r>
      <w:r>
        <w:t xml:space="preserve">- يتم اختيار طرق المراجعة المناسبة (مثل المقابلات، ملاحظة العمليات، مراجعة السجلات، اختبارات التحقق). (ISO 19011:2018 §5.3.3)</w:t>
      </w:r>
    </w:p>
    <w:p>
      <w:pPr>
        <w:pStyle w:val="BodyText"/>
      </w:pPr>
      <w:r>
        <w:rPr>
          <w:b/>
          <w:bCs/>
        </w:rPr>
        <w:t xml:space="preserve">6-1-3: استعراض واعتماد برنامج المراجعة (المدير العام):</w:t>
      </w:r>
      <w:r>
        <w:t xml:space="preserve"> </w:t>
      </w:r>
      <w:r>
        <w:t xml:space="preserve">- يُعرض برنامج المراجعة الداخلية على المدير العام لاعتماده، مما يضمن التزام القيادة العليا ودعمها لعملية المراجعة. (ISO 22000:2018 §5.1.1)</w:t>
      </w:r>
    </w:p>
    <w:p>
      <w:pPr>
        <w:pStyle w:val="BodyText"/>
      </w:pPr>
      <w:r>
        <w:rPr>
          <w:b/>
          <w:bCs/>
        </w:rPr>
        <w:t xml:space="preserve">6-2: اختيار وتأهيل فريق المراجعة</w:t>
      </w:r>
    </w:p>
    <w:p>
      <w:pPr>
        <w:pStyle w:val="BodyText"/>
      </w:pPr>
      <w:r>
        <w:rPr>
          <w:b/>
          <w:bCs/>
        </w:rPr>
        <w:t xml:space="preserve">6-2-1: تحديد متطلبات الكفاءة (مدير الجودة / FS Team Leader):</w:t>
      </w:r>
      <w:r>
        <w:t xml:space="preserve"> </w:t>
      </w:r>
      <w:r>
        <w:t xml:space="preserve">- يجب أن يكون المراجعون الداخليون ذوي كفاءة في مجال نظام إدارة سلامة الغذاء والجودة، ولديهم معرفة بالمواصفات المرجعية، والمنتج، والعمليات. (ISO 22000:2018 §7.2)</w:t>
      </w:r>
      <w:r>
        <w:t xml:space="preserve"> </w:t>
      </w:r>
      <w:r>
        <w:t xml:space="preserve">- تشمل الكفاءة المعرفة الفنية والمهارات الشخصية اللازمة لإجراء المراجعات بفعالية. (ISO 19011:2018 §7.2.2)</w:t>
      </w:r>
    </w:p>
    <w:p>
      <w:pPr>
        <w:pStyle w:val="BodyText"/>
      </w:pPr>
      <w:r>
        <w:rPr>
          <w:b/>
          <w:bCs/>
        </w:rPr>
        <w:t xml:space="preserve">6-2-2: تدريب وتأهيل المراجعين (مدير الجودة / FS Team Leader):</w:t>
      </w:r>
      <w:r>
        <w:t xml:space="preserve"> </w:t>
      </w:r>
      <w:r>
        <w:t xml:space="preserve">- يتم تزويد المراجعين الداخليين بالتدريب اللازم على مبادئ ونهج المراجعة وفقاً لـ ISO 19011، ومعرفة ببنود ISO 22000:2018, FSSC 22000 v6، ISO 9001:2015 والمتطلبات القانونية والتنظيمية.</w:t>
      </w:r>
      <w:r>
        <w:t xml:space="preserve"> </w:t>
      </w:r>
      <w:r>
        <w:t xml:space="preserve">- يتم الاحتفاظ بسجلات تثبت كفاءة وتدريب المراجعين (مثل شهادات التدريب، سجلات الخبرة) في (نموذج F-17-05: سجل تدريب وكفاءة المراجعين). (ISO 22000:2018 §7.2)</w:t>
      </w:r>
    </w:p>
    <w:p>
      <w:pPr>
        <w:pStyle w:val="BodyText"/>
      </w:pPr>
      <w:r>
        <w:rPr>
          <w:b/>
          <w:bCs/>
        </w:rPr>
        <w:t xml:space="preserve">6-2-3: اختيار فريق المراجعة (مدير الجودة / FS Team Leader):</w:t>
      </w:r>
      <w:r>
        <w:t xml:space="preserve"> </w:t>
      </w:r>
      <w:r>
        <w:t xml:space="preserve">- لكل مراجعة، يتم اختيار فريق مراجعة يتكون من مراجع رئيسي ومراجعين مساعدين عند الحاجة.</w:t>
      </w:r>
      <w:r>
        <w:t xml:space="preserve"> </w:t>
      </w:r>
      <w:r>
        <w:t xml:space="preserve">- يجب أن يضمن اختيار المراجعين الحياد والموضوعية؛ أي ألا يقوم المراجع بمراجعة عمله الخاص أو القسم الذي هو مسؤول عنه. (ISO 22000:2018 §9.2.2.c)</w:t>
      </w:r>
      <w:r>
        <w:t xml:space="preserve"> </w:t>
      </w:r>
      <w:r>
        <w:t xml:space="preserve">- يمكن الاستعانة بجهات خارجية مؤهلة لتنفيذ المراجعات الداخلية لتعزيز الحياد عند الحاجة، مع ضرورة الإشراف عليها من قِبل إدارة الشركة.</w:t>
      </w:r>
    </w:p>
    <w:p>
      <w:pPr>
        <w:pStyle w:val="BodyText"/>
      </w:pPr>
      <w:r>
        <w:rPr>
          <w:b/>
          <w:bCs/>
        </w:rPr>
        <w:t xml:space="preserve">6-3: تنفيذ عملية المراجعة</w:t>
      </w:r>
    </w:p>
    <w:p>
      <w:pPr>
        <w:pStyle w:val="BodyText"/>
      </w:pPr>
      <w:r>
        <w:rPr>
          <w:b/>
          <w:bCs/>
        </w:rPr>
        <w:t xml:space="preserve">6-3-1: إعداد خطة المراجعة التفصيلية (المراجع):</w:t>
      </w:r>
      <w:r>
        <w:t xml:space="preserve"> </w:t>
      </w:r>
      <w:r>
        <w:t xml:space="preserve">- يقوم المراجع (أو المراجع الرئيسي) بإعداد خطة تفصيلية لكل مراجعة على حدة (نموذج F-17-02: خطة المراجعة) توضح:</w:t>
      </w:r>
      <w:r>
        <w:t xml:space="preserve"> </w:t>
      </w:r>
      <w:r>
        <w:t xml:space="preserve">- الأهداف والنطاق لكل منطقة مراجعة.</w:t>
      </w:r>
      <w:r>
        <w:t xml:space="preserve"> </w:t>
      </w:r>
      <w:r>
        <w:t xml:space="preserve">- معايير المراجعة المطبقة.</w:t>
      </w:r>
      <w:r>
        <w:t xml:space="preserve"> </w:t>
      </w:r>
      <w:r>
        <w:t xml:space="preserve">- أسماء المراجعين والوقت والتاريخ المقدر للمراجعة لكل قسم.</w:t>
      </w:r>
      <w:r>
        <w:t xml:space="preserve"> </w:t>
      </w:r>
      <w:r>
        <w:t xml:space="preserve">- الوثائق التي سيتم مراجعتها.</w:t>
      </w:r>
      <w:r>
        <w:t xml:space="preserve"> </w:t>
      </w:r>
      <w:r>
        <w:t xml:space="preserve">- يتم إرسال الخطة إلى رؤساء الأقسام المعنية قبل المراجعة بوقت كافٍ.</w:t>
      </w:r>
    </w:p>
    <w:p>
      <w:pPr>
        <w:pStyle w:val="BodyText"/>
      </w:pPr>
      <w:r>
        <w:rPr>
          <w:b/>
          <w:bCs/>
        </w:rPr>
        <w:t xml:space="preserve">6-3-2: الجلسة الافتتاحية (المراجع):</w:t>
      </w:r>
      <w:r>
        <w:t xml:space="preserve"> </w:t>
      </w:r>
      <w:r>
        <w:t xml:space="preserve">- يعقد المراجع الرئيسي اجتماعًا افتتاحيًا مع ممثلي الإدارة والأقسام المعنية لتوضيح أهداف ونطاق المراجعة والخطة الزمنية.</w:t>
      </w:r>
    </w:p>
    <w:p>
      <w:pPr>
        <w:pStyle w:val="BodyText"/>
      </w:pPr>
      <w:r>
        <w:rPr>
          <w:b/>
          <w:bCs/>
        </w:rPr>
        <w:t xml:space="preserve">6-3-3: جمع أدلة المراجعة (المراجع):</w:t>
      </w:r>
      <w:r>
        <w:t xml:space="preserve"> </w:t>
      </w:r>
      <w:r>
        <w:t xml:space="preserve">- يقوم فريق المراجعة بجمع الأدلة الموضوعية من خلال:</w:t>
      </w:r>
      <w:r>
        <w:t xml:space="preserve"> </w:t>
      </w:r>
      <w:r>
        <w:t xml:space="preserve">- مراجعة الوثائق والسجلات (مثل سجلات المراقبة، سجلات التدريب، خطط HACCP، تقارير الاختبار).</w:t>
      </w:r>
      <w:r>
        <w:t xml:space="preserve"> </w:t>
      </w:r>
      <w:r>
        <w:t xml:space="preserve">- إجراء المقابلات مع الأفراد المعنيين.</w:t>
      </w:r>
      <w:r>
        <w:t xml:space="preserve"> </w:t>
      </w:r>
      <w:r>
        <w:t xml:space="preserve">- ملاحظة العمليات والأنشطة الفعلية (PRPs, OPRPs).</w:t>
      </w:r>
      <w:r>
        <w:t xml:space="preserve"> </w:t>
      </w:r>
      <w:r>
        <w:t xml:space="preserve">- استخدام قوائم المراجعة المعدة مسبقاً (نموذج F-17-04: قوائم المراجعة) أو تدوين الملاحظات في سجل مخصص.</w:t>
      </w:r>
    </w:p>
    <w:p>
      <w:pPr>
        <w:pStyle w:val="BodyText"/>
      </w:pPr>
      <w:r>
        <w:rPr>
          <w:b/>
          <w:bCs/>
        </w:rPr>
        <w:t xml:space="preserve">6-3-4: تحديد حالات عدم المطابقة والفرص التحسينية (المراجع):</w:t>
      </w:r>
      <w:r>
        <w:t xml:space="preserve"> </w:t>
      </w:r>
      <w:r>
        <w:t xml:space="preserve">- يتم تسجيل أي عدم مطابقة مكتشفة مع توثيق الأدلة الموضوعية التي تدعمها.</w:t>
      </w:r>
      <w:r>
        <w:t xml:space="preserve"> </w:t>
      </w:r>
      <w:r>
        <w:t xml:space="preserve">- يتم تصنيف حالات عدم المطابقة (كبرى/صغرى) وفقاً لتأثيرها المحتمل على سلامة الغذاء أو كفاءة النظام.</w:t>
      </w:r>
      <w:r>
        <w:t xml:space="preserve"> </w:t>
      </w:r>
      <w:r>
        <w:t xml:space="preserve">- يتم أيضاً تسجيل أي فرص للتحسين.</w:t>
      </w:r>
    </w:p>
    <w:p>
      <w:pPr>
        <w:pStyle w:val="BodyText"/>
      </w:pPr>
      <w:r>
        <w:rPr>
          <w:b/>
          <w:bCs/>
        </w:rPr>
        <w:t xml:space="preserve">6-3-5: الجلسة الختامية (المراجع):</w:t>
      </w:r>
      <w:r>
        <w:t xml:space="preserve"> </w:t>
      </w:r>
      <w:r>
        <w:t xml:space="preserve">- يعقد المراجع الرئيسي اجتماعًا ختاميًا مع ممثلي الإدارة والأقسام المعنية لمناقشة النتائج الرئيسية للمراجعة، حالات عدم المطابقة المكتشفة، وإتاحة الفرصة للأقسام للاستيضاح.</w:t>
      </w:r>
    </w:p>
    <w:p>
      <w:pPr>
        <w:pStyle w:val="BodyText"/>
      </w:pPr>
      <w:r>
        <w:rPr>
          <w:b/>
          <w:bCs/>
        </w:rPr>
        <w:t xml:space="preserve">6-4: إعداد وتقديم تقرير المراجعة</w:t>
      </w:r>
    </w:p>
    <w:p>
      <w:pPr>
        <w:pStyle w:val="BodyText"/>
      </w:pPr>
      <w:r>
        <w:rPr>
          <w:b/>
          <w:bCs/>
        </w:rPr>
        <w:t xml:space="preserve">6-4-1: إعداد تقرير المراجعة (المراجع):</w:t>
      </w:r>
      <w:r>
        <w:t xml:space="preserve"> </w:t>
      </w:r>
      <w:r>
        <w:t xml:space="preserve">- يقوم المراجع الرئيسي بإعداد تقرير المراجعة الداخلية (نموذج F-17-03: تقرير المراجعة الداخلية) يتضمن:</w:t>
      </w:r>
      <w:r>
        <w:t xml:space="preserve"> </w:t>
      </w:r>
      <w:r>
        <w:t xml:space="preserve">- أهداف ونطاق المراجعة.</w:t>
      </w:r>
      <w:r>
        <w:t xml:space="preserve"> </w:t>
      </w:r>
      <w:r>
        <w:t xml:space="preserve">- فريق المراجعة وتاريخ المراجعة.</w:t>
      </w:r>
      <w:r>
        <w:t xml:space="preserve"> </w:t>
      </w:r>
      <w:r>
        <w:t xml:space="preserve">- الأقسام والعمليات التي تم مراجعتها.</w:t>
      </w:r>
      <w:r>
        <w:t xml:space="preserve"> </w:t>
      </w:r>
      <w:r>
        <w:t xml:space="preserve">- قائمة بحالات عدم المطابقة المكتشفة، تصنيفها، والأدلة الداعمة.</w:t>
      </w:r>
      <w:r>
        <w:t xml:space="preserve"> </w:t>
      </w:r>
      <w:r>
        <w:t xml:space="preserve">- فرص التحسين الموصى بها.</w:t>
      </w:r>
      <w:r>
        <w:t xml:space="preserve"> </w:t>
      </w:r>
      <w:r>
        <w:t xml:space="preserve">- استنتاجات المراجعة.</w:t>
      </w:r>
    </w:p>
    <w:p>
      <w:pPr>
        <w:pStyle w:val="BodyText"/>
      </w:pPr>
      <w:r>
        <w:rPr>
          <w:b/>
          <w:bCs/>
        </w:rPr>
        <w:t xml:space="preserve">6-4-2: توزيع تقرير المراجعة (مدير الجودة / FS Team Leader):</w:t>
      </w:r>
      <w:r>
        <w:t xml:space="preserve"> </w:t>
      </w:r>
      <w:r>
        <w:t xml:space="preserve">- يتم مراجعة التقرير واعتماده من قبل مدير الجودة / رئيس فريق سلامة الغذاء.</w:t>
      </w:r>
      <w:r>
        <w:t xml:space="preserve"> </w:t>
      </w:r>
      <w:r>
        <w:t xml:space="preserve">- يتم توزيع التقرير على المدير العام، ورؤساء الأقسام المراجع عليها، والأطراف المعنية الأخرى ذات الصلة لاتخاذ الإجراءات اللازمة. (ISO 22000:2018 §9.2.2.e)</w:t>
      </w:r>
    </w:p>
    <w:p>
      <w:pPr>
        <w:pStyle w:val="BodyText"/>
      </w:pPr>
      <w:r>
        <w:rPr>
          <w:b/>
          <w:bCs/>
        </w:rPr>
        <w:t xml:space="preserve">6-5: الإجراءات التصحيحية والمتابعة</w:t>
      </w:r>
    </w:p>
    <w:p>
      <w:pPr>
        <w:pStyle w:val="BodyText"/>
      </w:pPr>
      <w:r>
        <w:rPr>
          <w:b/>
          <w:bCs/>
        </w:rPr>
        <w:t xml:space="preserve">6-5-1: تحليل أسباب عدم المطابقة وتحديد الإجراءات التصحيحية (رئيس القسم المعني):</w:t>
      </w:r>
      <w:r>
        <w:t xml:space="preserve"> </w:t>
      </w:r>
      <w:r>
        <w:t xml:space="preserve">- يقوم رئيس القسم المسؤول عن عدم المطابقة بتحليل السبب الجذري لها وتحديد الإجراءات التصحيحية اللازمة لمعالجتها ومنع تكرارها ضمن إطار زمني محدد. (ISO 22000:2018 §10.2)</w:t>
      </w:r>
      <w:r>
        <w:t xml:space="preserve"> </w:t>
      </w:r>
      <w:r>
        <w:t xml:space="preserve">- يتم توثيق ذلك في (نموذج F-17-06: سجل حالات عدم المطابقة والإجراءات التصحيحية).</w:t>
      </w:r>
    </w:p>
    <w:p>
      <w:pPr>
        <w:pStyle w:val="BodyText"/>
      </w:pPr>
      <w:r>
        <w:rPr>
          <w:b/>
          <w:bCs/>
        </w:rPr>
        <w:t xml:space="preserve">6-5-2: تنفيذ الإجراءات التصحيحية (رئيس القسم المعني):</w:t>
      </w:r>
      <w:r>
        <w:t xml:space="preserve"> </w:t>
      </w:r>
      <w:r>
        <w:t xml:space="preserve">- يتم تنفيذ الإجراءات التصحيحية المحددة بالتعاون مع الأطراف المعنية.</w:t>
      </w:r>
    </w:p>
    <w:p>
      <w:pPr>
        <w:pStyle w:val="BodyText"/>
      </w:pPr>
      <w:r>
        <w:rPr>
          <w:b/>
          <w:bCs/>
        </w:rPr>
        <w:t xml:space="preserve">6-5-3: متابعة وتقييم فعالية الإجراءات التصحيحية (مدير الجودة / FS Team Leader والمراجعون):</w:t>
      </w:r>
      <w:r>
        <w:t xml:space="preserve"> </w:t>
      </w:r>
      <w:r>
        <w:t xml:space="preserve">- يقوم مدير الجودة / رئيس فريق سلامة الغذاء بالتعاون مع المراجعين، بمتابعة تطبيق الإجراءات التصحيحية والتأكد من فعاليتها في إزالة سبب عدم المطابقة. (ISO 22000:2018 §10.2.2)</w:t>
      </w:r>
      <w:r>
        <w:t xml:space="preserve"> </w:t>
      </w:r>
      <w:r>
        <w:t xml:space="preserve">- يمكن أن يتضمن ذلك مراجعة وثائق، أو زيارات لمواقع العمل، أو مراجعة إضافية.</w:t>
      </w:r>
      <w:r>
        <w:t xml:space="preserve"> </w:t>
      </w:r>
      <w:r>
        <w:t xml:space="preserve">- يتم تحديث (نموذج F-17-06) بحالة المتابعة ونتائج تقييم الفعالية وإغلاق حالة عدم المطابقة.</w:t>
      </w:r>
    </w:p>
    <w:p>
      <w:pPr>
        <w:pStyle w:val="BodyText"/>
      </w:pPr>
      <w:r>
        <w:rPr>
          <w:b/>
          <w:bCs/>
        </w:rPr>
        <w:t xml:space="preserve">6-6: مدخلات مراجعة الإدارة (مدير الجودة / FS Team Leader):</w:t>
      </w:r>
    </w:p>
    <w:p>
      <w:pPr>
        <w:pStyle w:val="BodyText"/>
      </w:pPr>
      <w:r>
        <w:rPr>
          <w:b/>
          <w:bCs/>
        </w:rPr>
        <w:t xml:space="preserve">6-6-1: إعداد ملخص لنتائج المراجعات (مدير الجودة / FS Team Leader):</w:t>
      </w:r>
      <w:r>
        <w:t xml:space="preserve"> </w:t>
      </w:r>
      <w:r>
        <w:t xml:space="preserve">- يقوم مدير الجودة / رئيس فريق سلامة الغذاء بتجميع نتائج جميع المراجعات الداخلية التي تمت خلال الفترة المحددة وتقديمها كمدخل ضمن مراجعة الإدارة بهدف استعراض الأداء العام لنظام إدارة سلامة الغذاء والجودة. (ISO 22000:2018 §9.3.2.c)</w:t>
      </w:r>
    </w:p>
    <w:bookmarkEnd w:id="17"/>
    <w:bookmarkStart w:id="18" w:name="سابعا-السجلات-والنماذج-المرتبطة"/>
    <w:p>
      <w:pPr>
        <w:pStyle w:val="Heading2"/>
      </w:pPr>
      <w:r>
        <w:t xml:space="preserve">سابعاً: السجلات والنماذج المرتبطة</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الكود</w:t>
            </w:r>
          </w:p>
        </w:tc>
        <w:tc>
          <w:tcPr/>
          <w:p>
            <w:pPr>
              <w:pStyle w:val="Compact"/>
            </w:pPr>
            <w:r>
              <w:t xml:space="preserve">الاسم</w:t>
            </w:r>
          </w:p>
        </w:tc>
        <w:tc>
          <w:tcPr/>
          <w:p>
            <w:pPr>
              <w:pStyle w:val="Compact"/>
            </w:pPr>
            <w:r>
              <w:t xml:space="preserve">المسؤول</w:t>
            </w:r>
          </w:p>
        </w:tc>
        <w:tc>
          <w:tcPr/>
          <w:p>
            <w:pPr>
              <w:pStyle w:val="Compact"/>
            </w:pPr>
            <w:r>
              <w:t xml:space="preserve">مدة الحفظ</w:t>
            </w:r>
          </w:p>
        </w:tc>
        <w:tc>
          <w:tcPr/>
          <w:p>
            <w:pPr>
              <w:pStyle w:val="Compact"/>
            </w:pPr>
            <w:r>
              <w:t xml:space="preserve">المحتوى المقترح</w:t>
            </w:r>
          </w:p>
        </w:tc>
      </w:tr>
      <w:tr>
        <w:tc>
          <w:tcPr/>
          <w:p>
            <w:pPr>
              <w:pStyle w:val="Compact"/>
            </w:pPr>
            <w:r>
              <w:t xml:space="preserve">F-17-01</w:t>
            </w:r>
          </w:p>
        </w:tc>
        <w:tc>
          <w:tcPr/>
          <w:p>
            <w:pPr>
              <w:pStyle w:val="Compact"/>
            </w:pPr>
            <w:r>
              <w:t xml:space="preserve">برنامج المراجعة الداخلية</w:t>
            </w:r>
          </w:p>
        </w:tc>
        <w:tc>
          <w:tcPr/>
          <w:p>
            <w:pPr>
              <w:pStyle w:val="Compact"/>
            </w:pPr>
            <w:r>
              <w:t xml:space="preserve">مدير الجودة / FS Team Leader</w:t>
            </w:r>
          </w:p>
        </w:tc>
        <w:tc>
          <w:tcPr/>
          <w:p>
            <w:pPr>
              <w:pStyle w:val="Compact"/>
            </w:pPr>
            <w:r>
              <w:t xml:space="preserve">5 سنوات</w:t>
            </w:r>
          </w:p>
        </w:tc>
        <w:tc>
          <w:tcPr/>
          <w:p>
            <w:pPr>
              <w:pStyle w:val="Compact"/>
            </w:pPr>
            <w:r>
              <w:t xml:space="preserve">الأقسام، البنود المراجعة، تواريخ المراجعة المخططة، أسماء المراجعين، حالة الإنجاز.</w:t>
            </w:r>
          </w:p>
        </w:tc>
      </w:tr>
      <w:tr>
        <w:tc>
          <w:tcPr/>
          <w:p>
            <w:pPr>
              <w:pStyle w:val="Compact"/>
            </w:pPr>
            <w:r>
              <w:t xml:space="preserve">F-17-02</w:t>
            </w:r>
          </w:p>
        </w:tc>
        <w:tc>
          <w:tcPr/>
          <w:p>
            <w:pPr>
              <w:pStyle w:val="Compact"/>
            </w:pPr>
            <w:r>
              <w:t xml:space="preserve">خطة المراجعة التفصيلية</w:t>
            </w:r>
          </w:p>
        </w:tc>
        <w:tc>
          <w:tcPr/>
          <w:p>
            <w:pPr>
              <w:pStyle w:val="Compact"/>
            </w:pPr>
            <w:r>
              <w:t xml:space="preserve">المراجع الرئيسي</w:t>
            </w:r>
          </w:p>
        </w:tc>
        <w:tc>
          <w:tcPr/>
          <w:p>
            <w:pPr>
              <w:pStyle w:val="Compact"/>
            </w:pPr>
            <w:r>
              <w:t xml:space="preserve">5 سنوات</w:t>
            </w:r>
          </w:p>
        </w:tc>
        <w:tc>
          <w:tcPr/>
          <w:p>
            <w:pPr>
              <w:pStyle w:val="Compact"/>
            </w:pPr>
            <w:r>
              <w:t xml:space="preserve">أهداف ونطاق المراجعة، معايير المراجعة، جدول زمني، فريق المراجعة، وثائق مرجعية.</w:t>
            </w:r>
          </w:p>
        </w:tc>
      </w:tr>
      <w:tr>
        <w:tc>
          <w:tcPr/>
          <w:p>
            <w:pPr>
              <w:pStyle w:val="Compact"/>
            </w:pPr>
            <w:r>
              <w:t xml:space="preserve">F-17-03</w:t>
            </w:r>
          </w:p>
        </w:tc>
        <w:tc>
          <w:tcPr/>
          <w:p>
            <w:pPr>
              <w:pStyle w:val="Compact"/>
            </w:pPr>
            <w:r>
              <w:t xml:space="preserve">تقرير المراجعة الداخلية</w:t>
            </w:r>
          </w:p>
        </w:tc>
        <w:tc>
          <w:tcPr/>
          <w:p>
            <w:pPr>
              <w:pStyle w:val="Compact"/>
            </w:pPr>
            <w:r>
              <w:t xml:space="preserve">المراجع الرئيسي / مدير الجودة</w:t>
            </w:r>
          </w:p>
        </w:tc>
        <w:tc>
          <w:tcPr/>
          <w:p>
            <w:pPr>
              <w:pStyle w:val="Compact"/>
            </w:pPr>
            <w:r>
              <w:t xml:space="preserve">5 سنوات</w:t>
            </w:r>
          </w:p>
        </w:tc>
        <w:tc>
          <w:tcPr/>
          <w:p>
            <w:pPr>
              <w:pStyle w:val="Compact"/>
            </w:pPr>
            <w:r>
              <w:t xml:space="preserve">وصف العمليات المراجعة، حالات عدم المطابقة، الأدلة، الاستنتاجات، توصيات التحسين.</w:t>
            </w:r>
          </w:p>
        </w:tc>
      </w:tr>
      <w:tr>
        <w:tc>
          <w:tcPr/>
          <w:p>
            <w:pPr>
              <w:pStyle w:val="Compact"/>
            </w:pPr>
            <w:r>
              <w:t xml:space="preserve">F-17-04</w:t>
            </w:r>
          </w:p>
        </w:tc>
        <w:tc>
          <w:tcPr/>
          <w:p>
            <w:pPr>
              <w:pStyle w:val="Compact"/>
            </w:pPr>
            <w:r>
              <w:t xml:space="preserve">قوائم المراجعة (Checklists)</w:t>
            </w:r>
          </w:p>
        </w:tc>
        <w:tc>
          <w:tcPr/>
          <w:p>
            <w:pPr>
              <w:pStyle w:val="Compact"/>
            </w:pPr>
            <w:r>
              <w:t xml:space="preserve">المراجع</w:t>
            </w:r>
          </w:p>
        </w:tc>
        <w:tc>
          <w:tcPr/>
          <w:p>
            <w:pPr>
              <w:pStyle w:val="Compact"/>
            </w:pPr>
            <w:r>
              <w:t xml:space="preserve">3 سنوات</w:t>
            </w:r>
          </w:p>
        </w:tc>
        <w:tc>
          <w:tcPr/>
          <w:p>
            <w:pPr>
              <w:pStyle w:val="Compact"/>
            </w:pPr>
            <w:r>
              <w:t xml:space="preserve">الأسئلة الموجهة، الملاحظات، النتائج، المراجع ذات الصلة.</w:t>
            </w:r>
          </w:p>
        </w:tc>
      </w:tr>
      <w:tr>
        <w:tc>
          <w:tcPr/>
          <w:p>
            <w:pPr>
              <w:pStyle w:val="Compact"/>
            </w:pPr>
            <w:r>
              <w:t xml:space="preserve">F-17-05</w:t>
            </w:r>
          </w:p>
        </w:tc>
        <w:tc>
          <w:tcPr/>
          <w:p>
            <w:pPr>
              <w:pStyle w:val="Compact"/>
            </w:pPr>
            <w:r>
              <w:t xml:space="preserve">سجل تدريب وكفاءة المراجعين</w:t>
            </w:r>
          </w:p>
        </w:tc>
        <w:tc>
          <w:tcPr/>
          <w:p>
            <w:pPr>
              <w:pStyle w:val="Compact"/>
            </w:pPr>
            <w:r>
              <w:t xml:space="preserve">مدير الجودة / الموارد البشرية</w:t>
            </w:r>
          </w:p>
        </w:tc>
        <w:tc>
          <w:tcPr/>
          <w:p>
            <w:pPr>
              <w:pStyle w:val="Compact"/>
            </w:pPr>
            <w:r>
              <w:t xml:space="preserve">10 سنوات (أو طوال مدة خدمة المراجع)</w:t>
            </w:r>
          </w:p>
        </w:tc>
        <w:tc>
          <w:tcPr/>
          <w:p>
            <w:pPr>
              <w:pStyle w:val="Compact"/>
            </w:pPr>
            <w:r>
              <w:t xml:space="preserve">اسم المراجع، التدريب الذي تلقاه، تاريخ التدريب، الجهة المانحة للتدريب، تقييم الكفاءة.</w:t>
            </w:r>
          </w:p>
        </w:tc>
      </w:tr>
      <w:tr>
        <w:tc>
          <w:tcPr/>
          <w:p>
            <w:pPr>
              <w:pStyle w:val="Compact"/>
            </w:pPr>
            <w:r>
              <w:t xml:space="preserve">F-17-06</w:t>
            </w:r>
          </w:p>
        </w:tc>
        <w:tc>
          <w:tcPr/>
          <w:p>
            <w:pPr>
              <w:pStyle w:val="Compact"/>
            </w:pPr>
            <w:r>
              <w:t xml:space="preserve">سجل حالات عدم المطابقة والإجراءات التصحيحية</w:t>
            </w:r>
          </w:p>
        </w:tc>
        <w:tc>
          <w:tcPr/>
          <w:p>
            <w:pPr>
              <w:pStyle w:val="Compact"/>
            </w:pPr>
            <w:r>
              <w:t xml:space="preserve">مدير الجودة / رؤساء الأقسام</w:t>
            </w:r>
          </w:p>
        </w:tc>
        <w:tc>
          <w:tcPr/>
          <w:p>
            <w:pPr>
              <w:pStyle w:val="Compact"/>
            </w:pPr>
            <w:r>
              <w:t xml:space="preserve">5 سنوات</w:t>
            </w:r>
          </w:p>
        </w:tc>
        <w:tc>
          <w:tcPr/>
          <w:p>
            <w:pPr>
              <w:pStyle w:val="Compact"/>
            </w:pPr>
            <w:r>
              <w:t xml:space="preserve">رقم حالة عدم المطابقة، وصفها، البند المرجعي، القسم المسؤول، السبب الجذري، الإجراء التصحيحي، تاريخ البدء والانتهاء، تقييم الفعالية، حالة الإغلاق.</w:t>
            </w:r>
          </w:p>
        </w:tc>
      </w:tr>
    </w:tbl>
    <w:bookmarkEnd w:id="18"/>
    <w:bookmarkStart w:id="19" w:name="ثامنا-معايير-قياس-فاعلية-الأداء-kpis"/>
    <w:p>
      <w:pPr>
        <w:pStyle w:val="Heading2"/>
      </w:pPr>
      <w:r>
        <w:t xml:space="preserve">ثامناً: معايير قياس فاعلية الأداء (KPIs)</w:t>
      </w:r>
    </w:p>
    <w:p>
      <w:pPr>
        <w:pStyle w:val="Compact"/>
        <w:numPr>
          <w:ilvl w:val="0"/>
          <w:numId w:val="1006"/>
        </w:numPr>
      </w:pPr>
      <w:r>
        <w:rPr>
          <w:b/>
          <w:bCs/>
        </w:rPr>
        <w:t xml:space="preserve">نسبة إنجاز برنامج المراجعة الداخلية</w:t>
      </w:r>
      <w:r>
        <w:t xml:space="preserve">: (عدد المراجعات المكتملة / عدد المراجعات المخطط لها) * 100%. (الهدف: 100%)</w:t>
      </w:r>
    </w:p>
    <w:p>
      <w:pPr>
        <w:pStyle w:val="Compact"/>
        <w:numPr>
          <w:ilvl w:val="1"/>
          <w:numId w:val="1007"/>
        </w:numPr>
      </w:pPr>
      <w:r>
        <w:rPr>
          <w:i/>
          <w:iCs/>
        </w:rPr>
        <w:t xml:space="preserve">الربط بالمرجع</w:t>
      </w:r>
      <w:r>
        <w:t xml:space="preserve">: ISO 22000:2018 §9.2.2.a (ضمان تنفيذ برنامج المراجعة).</w:t>
      </w:r>
    </w:p>
    <w:p>
      <w:pPr>
        <w:pStyle w:val="Compact"/>
        <w:numPr>
          <w:ilvl w:val="0"/>
          <w:numId w:val="1006"/>
        </w:numPr>
      </w:pPr>
      <w:r>
        <w:rPr>
          <w:b/>
          <w:bCs/>
        </w:rPr>
        <w:t xml:space="preserve">نسبة الإجراءات التصحيحية المغلقة في الوقت المحدد</w:t>
      </w:r>
      <w:r>
        <w:t xml:space="preserve">: (عدد الإجراءات التصحيحية المغلقة / إجمالي الإجراءات التصحيحية المتخذة) * 100%. (الهدف: لا يقل عن 90%)</w:t>
      </w:r>
    </w:p>
    <w:p>
      <w:pPr>
        <w:pStyle w:val="Compact"/>
        <w:numPr>
          <w:ilvl w:val="1"/>
          <w:numId w:val="1008"/>
        </w:numPr>
      </w:pPr>
      <w:r>
        <w:rPr>
          <w:i/>
          <w:iCs/>
        </w:rPr>
        <w:t xml:space="preserve">الربط بالمرجع</w:t>
      </w:r>
      <w:r>
        <w:t xml:space="preserve">: ISO 22000:2018 §10.2.2 (ضمان معالجة حالات عدم المطابقة).</w:t>
      </w:r>
    </w:p>
    <w:p>
      <w:pPr>
        <w:pStyle w:val="Compact"/>
        <w:numPr>
          <w:ilvl w:val="0"/>
          <w:numId w:val="1006"/>
        </w:numPr>
      </w:pPr>
      <w:r>
        <w:rPr>
          <w:b/>
          <w:bCs/>
        </w:rPr>
        <w:t xml:space="preserve">نسبة فعالية الإجراءات التصحيحية</w:t>
      </w:r>
      <w:r>
        <w:t xml:space="preserve">: (عدد الإجراءات التصحيحية التي منعت التكرار / إجمالي الإجراءات التصحيحية المغلقة) * 100%. (الهدف: لا يقل عن 85%)</w:t>
      </w:r>
    </w:p>
    <w:p>
      <w:pPr>
        <w:pStyle w:val="Compact"/>
        <w:numPr>
          <w:ilvl w:val="1"/>
          <w:numId w:val="1009"/>
        </w:numPr>
      </w:pPr>
      <w:r>
        <w:rPr>
          <w:i/>
          <w:iCs/>
        </w:rPr>
        <w:t xml:space="preserve">الربط بالمرجع</w:t>
      </w:r>
      <w:r>
        <w:t xml:space="preserve">: ISO 22000:2018 §10.2.2.d (ضمان منع تكرار حالات عدم المطابقة).</w:t>
      </w:r>
    </w:p>
    <w:p>
      <w:pPr>
        <w:pStyle w:val="Compact"/>
        <w:numPr>
          <w:ilvl w:val="0"/>
          <w:numId w:val="1006"/>
        </w:numPr>
      </w:pPr>
      <w:r>
        <w:rPr>
          <w:b/>
          <w:bCs/>
        </w:rPr>
        <w:t xml:space="preserve">عدد حالات عدم المطابقة KPA (Key Performance Area) المكتشفة داخلياً مقابل خارجياً</w:t>
      </w:r>
      <w:r>
        <w:t xml:space="preserve">: يجب أن تكون المراجعات الداخلية فعالة في اكتشاف حالات عدم المطابقة قبل التدقيقات الخارجية. (الهدف: نسبة اكتشاف داخلية أعلى بـ 2:1 لحالات عدم المطابقة الكبرى مقارنة بالاكتشاف الخارجي).</w:t>
      </w:r>
    </w:p>
    <w:p>
      <w:pPr>
        <w:pStyle w:val="Compact"/>
        <w:numPr>
          <w:ilvl w:val="1"/>
          <w:numId w:val="1010"/>
        </w:numPr>
      </w:pPr>
      <w:r>
        <w:rPr>
          <w:i/>
          <w:iCs/>
        </w:rPr>
        <w:t xml:space="preserve">الربط بالمرجع</w:t>
      </w:r>
      <w:r>
        <w:t xml:space="preserve">: ISO 22000:2018 §9.2.1 (مقارنة نتائج المراجعات لمعرفة مدى فعالية المراجعة).</w:t>
      </w:r>
    </w:p>
    <w:p>
      <w:pPr>
        <w:pStyle w:val="Compact"/>
        <w:numPr>
          <w:ilvl w:val="0"/>
          <w:numId w:val="1006"/>
        </w:numPr>
      </w:pPr>
      <w:r>
        <w:rPr>
          <w:b/>
          <w:bCs/>
        </w:rPr>
        <w:t xml:space="preserve">عدد الملاحظات أو حالات عدم المطابقة المسجلة من التدقيقات الخارجية المرتبطة بعدم فعالية المراجعة الداخلية</w:t>
      </w:r>
      <w:r>
        <w:t xml:space="preserve">: (الهدف: 0 ملاحظة أو حالة عدم مطابقة كبرى).</w:t>
      </w:r>
    </w:p>
    <w:p>
      <w:pPr>
        <w:pStyle w:val="Compact"/>
        <w:numPr>
          <w:ilvl w:val="1"/>
          <w:numId w:val="1011"/>
        </w:numPr>
      </w:pPr>
      <w:r>
        <w:rPr>
          <w:i/>
          <w:iCs/>
        </w:rPr>
        <w:t xml:space="preserve">الربط بالمرجع</w:t>
      </w:r>
      <w:r>
        <w:t xml:space="preserve">: FSSC 22000 v6 Part 2.1.2.a (التقييم المستمر لفاعلية نظام الإدارة بما في ذلك المراجعات الداخلية).</w:t>
      </w:r>
    </w:p>
    <w:p>
      <w:r>
        <w:pict>
          <v:rect style="width:0;height:1.5pt" o:hralign="center" o:hrstd="t" o:hr="t"/>
        </w:pict>
      </w:r>
    </w:p>
    <w:bookmarkEnd w:id="19"/>
    <w:bookmarkStart w:id="20" w:name="نموذج-اعتماد-الإجراء-وتوقيعات-المسؤولين"/>
    <w:p>
      <w:pPr>
        <w:pStyle w:val="Heading2"/>
      </w:pPr>
      <w:r>
        <w:t xml:space="preserve">نموذج اعتماد الإجراء وتوقيعات المسؤولين</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الدور</w:t>
            </w:r>
          </w:p>
        </w:tc>
        <w:tc>
          <w:tcPr/>
          <w:p>
            <w:pPr>
              <w:pStyle w:val="Compact"/>
            </w:pPr>
            <w:r>
              <w:t xml:space="preserve">الاسم</w:t>
            </w:r>
          </w:p>
        </w:tc>
        <w:tc>
          <w:tcPr/>
          <w:p>
            <w:pPr>
              <w:pStyle w:val="Compact"/>
            </w:pPr>
            <w:r>
              <w:t xml:space="preserve">التوقيع</w:t>
            </w:r>
          </w:p>
        </w:tc>
        <w:tc>
          <w:tcPr/>
          <w:p>
            <w:pPr>
              <w:pStyle w:val="Compact"/>
            </w:pPr>
            <w:r>
              <w:t xml:space="preserve">التاريخ</w:t>
            </w:r>
          </w:p>
        </w:tc>
      </w:tr>
      <w:tr>
        <w:tc>
          <w:tcPr/>
          <w:p>
            <w:pPr>
              <w:pStyle w:val="Compact"/>
            </w:pPr>
            <w:r>
              <w:t xml:space="preserve">أعدّ بواسطة (مسؤول ضمان الجودة)</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راجع بواسطة (مدير الجودة وسلامة الغذاء)</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اعتُمد بواسطة (المدير العام)</w:t>
            </w:r>
          </w:p>
        </w:tc>
        <w:tc>
          <w:tcPr/>
          <w:p>
            <w:pPr>
              <w:pStyle w:val="Compact"/>
            </w:pPr>
            <w:r>
              <w:t xml:space="preserve">………………………</w:t>
            </w:r>
          </w:p>
        </w:tc>
        <w:tc>
          <w:tcPr/>
          <w:p>
            <w:pPr>
              <w:pStyle w:val="Compact"/>
            </w:pPr>
            <w:r>
              <w:t xml:space="preserve">………………………</w:t>
            </w:r>
          </w:p>
        </w:tc>
        <w:tc>
          <w:tcPr/>
          <w:p>
            <w:pPr>
              <w:pStyle w:val="Compact"/>
            </w:pPr>
            <w:r>
              <w:t xml:space="preserve">……./……./……….</w:t>
            </w:r>
          </w:p>
        </w:tc>
      </w:tr>
    </w:tbl>
    <w:bookmarkEnd w:id="20"/>
    <w:bookmarkStart w:id="21" w:name="سجل-مراجعات-الوثيقة-revision-history"/>
    <w:p>
      <w:pPr>
        <w:pStyle w:val="Heading2"/>
      </w:pPr>
      <w:r>
        <w:t xml:space="preserve">سجل مراجعات الوثيقة (Revision History)</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رقم الإصدار</w:t>
            </w:r>
          </w:p>
        </w:tc>
        <w:tc>
          <w:tcPr/>
          <w:p>
            <w:pPr>
              <w:pStyle w:val="Compact"/>
            </w:pPr>
            <w:r>
              <w:t xml:space="preserve">تاريخ الإصدار</w:t>
            </w:r>
          </w:p>
        </w:tc>
        <w:tc>
          <w:tcPr/>
          <w:p>
            <w:pPr>
              <w:pStyle w:val="Compact"/>
            </w:pPr>
            <w:r>
              <w:t xml:space="preserve">وصف التغيير</w:t>
            </w:r>
          </w:p>
        </w:tc>
        <w:tc>
          <w:tcPr/>
          <w:p>
            <w:pPr>
              <w:pStyle w:val="Compact"/>
            </w:pPr>
            <w:r>
              <w:t xml:space="preserve">المُعدّ</w:t>
            </w:r>
          </w:p>
        </w:tc>
        <w:tc>
          <w:tcPr/>
          <w:p>
            <w:pPr>
              <w:pStyle w:val="Compact"/>
            </w:pPr>
            <w:r>
              <w:t xml:space="preserve">المُعتمد</w:t>
            </w:r>
          </w:p>
        </w:tc>
      </w:tr>
      <w:tr>
        <w:tc>
          <w:tcPr/>
          <w:p>
            <w:pPr>
              <w:pStyle w:val="Compact"/>
            </w:pPr>
            <w:r>
              <w:t xml:space="preserve">01</w:t>
            </w:r>
          </w:p>
        </w:tc>
        <w:tc>
          <w:tcPr/>
          <w:p>
            <w:pPr>
              <w:pStyle w:val="Compact"/>
            </w:pPr>
            <w:r>
              <w:t xml:space="preserve">01/06/2025</w:t>
            </w:r>
          </w:p>
        </w:tc>
        <w:tc>
          <w:tcPr/>
          <w:p>
            <w:pPr>
              <w:pStyle w:val="Compact"/>
            </w:pPr>
            <w:r>
              <w:t xml:space="preserve">الإصدار الأول</w:t>
            </w:r>
          </w:p>
        </w:tc>
        <w:tc>
          <w:tcPr/>
          <w:p>
            <w:pPr>
              <w:pStyle w:val="Compact"/>
            </w:pPr>
            <w:r>
              <w:t xml:space="preserve">………………</w:t>
            </w:r>
          </w:p>
        </w:tc>
        <w:tc>
          <w:tcPr/>
          <w:p>
            <w:pPr>
              <w:pStyle w:val="Compact"/>
            </w:pPr>
            <w:r>
              <w:t xml:space="preserve">………………</w:t>
            </w:r>
          </w:p>
        </w:tc>
      </w:tr>
      <w:tr>
        <w:tc>
          <w:tcPr/>
          <w:p>
            <w:pPr>
              <w:pStyle w:val="Compact"/>
            </w:pPr>
            <w:r>
              <w:t xml:space="preserve">02</w:t>
            </w:r>
          </w:p>
        </w:tc>
        <w:tc>
          <w:tcPr/>
          <w:p>
            <w:pPr>
              <w:pStyle w:val="Compact"/>
            </w:pPr>
            <w:r>
              <w:t xml:space="preserve">01/06/2026</w:t>
            </w:r>
          </w:p>
        </w:tc>
        <w:tc>
          <w:tcPr/>
          <w:p>
            <w:pPr>
              <w:pStyle w:val="Compact"/>
            </w:pPr>
            <w:r>
              <w:t xml:space="preserve">تحديث شامل وفق ISO 22000:2018 / FSSC 22000 v6 / Codex HACCP / ES 1589 / NFSA</w:t>
            </w:r>
          </w:p>
        </w:tc>
        <w:tc>
          <w:tcPr/>
          <w:p>
            <w:pPr>
              <w:pStyle w:val="Compact"/>
            </w:pPr>
            <w:r>
              <w:t xml:space="preserve">………………</w:t>
            </w:r>
          </w:p>
        </w:tc>
        <w:tc>
          <w:tcPr/>
          <w:p>
            <w:pPr>
              <w:pStyle w:val="Compact"/>
            </w:pPr>
            <w:r>
              <w:t xml:space="preserve">………………</w:t>
            </w:r>
          </w:p>
        </w:tc>
      </w:tr>
      <w:tr>
        <w:tc>
          <w:tcPr/>
          <w:p>
            <w:pPr>
              <w:pStyle w:val="Compact"/>
            </w:pPr>
          </w:p>
        </w:tc>
        <w:tc>
          <w:tcPr/>
          <w:p>
            <w:pPr>
              <w:pStyle w:val="Compact"/>
            </w:pPr>
          </w:p>
        </w:tc>
        <w:tc>
          <w:tcPr/>
          <w:p>
            <w:pPr>
              <w:pStyle w:val="Compact"/>
            </w:pPr>
          </w:p>
        </w:tc>
        <w:tc>
          <w:tcPr/>
          <w:p>
            <w:pPr>
              <w:pStyle w:val="Compact"/>
            </w:pPr>
          </w:p>
        </w:tc>
        <w:tc>
          <w:tcPr/>
          <w:p>
            <w:pPr>
              <w:pStyle w:val="Compact"/>
            </w:pPr>
          </w:p>
        </w:tc>
      </w:tr>
    </w:tbl>
    <w:bookmarkEnd w:id="21"/>
    <w:bookmarkStart w:id="22" w:name="X41b360a63802f33e05f4a3aaf91f59ba9058e30"/>
    <w:p>
      <w:pPr>
        <w:pStyle w:val="Heading2"/>
      </w:pPr>
      <w:r>
        <w:t xml:space="preserve">سجل توزيع نسخ الوثيقة (Distribution Record)</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الإدارة / القسم</w:t>
            </w:r>
          </w:p>
        </w:tc>
        <w:tc>
          <w:tcPr/>
          <w:p>
            <w:pPr>
              <w:pStyle w:val="Compact"/>
            </w:pPr>
            <w:r>
              <w:t xml:space="preserve">اسم المستلم</w:t>
            </w:r>
          </w:p>
        </w:tc>
        <w:tc>
          <w:tcPr/>
          <w:p>
            <w:pPr>
              <w:pStyle w:val="Compact"/>
            </w:pPr>
            <w:r>
              <w:t xml:space="preserve">عدد النسخ</w:t>
            </w:r>
          </w:p>
        </w:tc>
        <w:tc>
          <w:tcPr/>
          <w:p>
            <w:pPr>
              <w:pStyle w:val="Compact"/>
            </w:pPr>
            <w:r>
              <w:t xml:space="preserve">التوقيع</w:t>
            </w:r>
          </w:p>
        </w:tc>
        <w:tc>
          <w:tcPr/>
          <w:p>
            <w:pPr>
              <w:pStyle w:val="Compact"/>
            </w:pPr>
            <w:r>
              <w:t xml:space="preserve">التاريخ</w:t>
            </w:r>
          </w:p>
        </w:tc>
      </w:tr>
      <w:tr>
        <w:tc>
          <w:tcPr/>
          <w:p>
            <w:pPr>
              <w:pStyle w:val="Compact"/>
            </w:pPr>
            <w:r>
              <w:t xml:space="preserve">إدارة الجودة</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الإنتاج</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الصيانة</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المخازن</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المختبر</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المبيعات</w:t>
            </w:r>
          </w:p>
        </w:tc>
        <w:tc>
          <w:tcPr/>
          <w:p>
            <w:pPr>
              <w:pStyle w:val="Compact"/>
            </w:pPr>
          </w:p>
        </w:tc>
        <w:tc>
          <w:tcPr/>
          <w:p>
            <w:pPr>
              <w:pStyle w:val="Compact"/>
            </w:pPr>
          </w:p>
        </w:tc>
        <w:tc>
          <w:tcPr/>
          <w:p>
            <w:pPr>
              <w:pStyle w:val="Compact"/>
            </w:pPr>
          </w:p>
        </w:tc>
        <w:tc>
          <w:tcPr/>
          <w:p>
            <w:pPr>
              <w:pStyle w:val="Compact"/>
            </w:pPr>
          </w:p>
        </w:tc>
      </w:tr>
    </w:tbl>
    <w:p>
      <w:r>
        <w:pict>
          <v:rect style="width:0;height:1.5pt" o:hralign="center" o:hrstd="t" o:hr="t"/>
        </w:pict>
      </w:r>
    </w:p>
    <w:p>
      <w:pPr>
        <w:pStyle w:val="FirstParagraph"/>
      </w:pPr>
      <w:r>
        <w:rPr>
          <w:i/>
          <w:iCs/>
        </w:rPr>
        <w:t xml:space="preserve">انتهى الإجراء رقم 17 - FSP-17</w:t>
      </w:r>
    </w:p>
    <w:bookmarkEnd w:id="22"/>
    <w:bookmarkEnd w:id="2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2026-06-29T08:43:14Z</dcterms:created>
  <dcterms:modified xsi:type="dcterms:W3CDTF">2026-06-29T08:43:14Z</dcterms:modified>
</cp:coreProperties>
</file>

<file path=docProps/custom.xml><?xml version="1.0" encoding="utf-8"?>
<Properties xmlns="http://schemas.openxmlformats.org/officeDocument/2006/custom-properties" xmlns:vt="http://schemas.openxmlformats.org/officeDocument/2006/docPropsVTypes"/>
</file>