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برنامج-المتطلبات-الأولية-prps"/>
    <w:p>
      <w:pPr>
        <w:pStyle w:val="Heading1"/>
      </w:pPr>
      <w:r>
        <w:t xml:space="preserve">برنامج المتطلبات الأولية (PRPs)</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برنامج المتطلبات الأولية (PRPs)</w:t>
            </w:r>
          </w:p>
        </w:tc>
      </w:tr>
      <w:tr>
        <w:tc>
          <w:tcPr/>
          <w:p>
            <w:pPr>
              <w:pStyle w:val="Compact"/>
            </w:pPr>
            <w:r>
              <w:rPr>
                <w:b/>
                <w:bCs/>
              </w:rPr>
              <w:t xml:space="preserve">كود الوثيقة</w:t>
            </w:r>
          </w:p>
        </w:tc>
        <w:tc>
          <w:tcPr/>
          <w:p>
            <w:pPr>
              <w:pStyle w:val="Compact"/>
            </w:pPr>
            <w:r>
              <w:t xml:space="preserve">FSP-18</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33" w:name="X42893be6b1c3a73300cdd2182788a071b5bdb96"/>
    <w:p>
      <w:pPr>
        <w:pStyle w:val="Heading1"/>
      </w:pPr>
      <w:r>
        <w:t xml:space="preserve">الإجراء رقم 18: برنامج المتطلبات الأولية (PRPs)</w:t>
      </w:r>
    </w:p>
    <w:bookmarkStart w:id="12" w:name="الغرض-purpose"/>
    <w:p>
      <w:pPr>
        <w:pStyle w:val="Heading3"/>
      </w:pPr>
      <w:r>
        <w:t xml:space="preserve">1. الغرض (Purpose)</w:t>
      </w:r>
    </w:p>
    <w:p>
      <w:pPr>
        <w:pStyle w:val="FirstParagraph"/>
      </w:pPr>
      <w:r>
        <w:t xml:space="preserve">يهدف هذا الإجراء إلى وضع وتطبيق ومراقبة برامج المتطلبات الأولية (PRPs) اللازمة لضمان بيئة تصنيع صحية ومناسبة لإنتاج مياه طبيعية ومعدنية آمنة وصالحة للاستهلاك الآدمي، من خلال التحكم في المخاطر المتعلقة بالعمليات والبيئة التشغيلية في جميع مراحل سلسلة إنتاج وتعبئة المياه. ويشمل ذلك تحديد المتطلبات الأساسية للإنشاءات، الموارد، المرافق، الصيانة، النظافة، النظافة الشخصية، مكافحة الآفات، إدارة النفايات، منع التلوث وتخفيف الغش الغذائي، بما يضمن الامتثال لمتطلبات المواصفات القياسية واللوائح التنظيمية ذات الصلة.</w:t>
      </w:r>
    </w:p>
    <w:bookmarkEnd w:id="12"/>
    <w:bookmarkStart w:id="13" w:name="النطاق-scope"/>
    <w:p>
      <w:pPr>
        <w:pStyle w:val="Heading3"/>
      </w:pPr>
      <w:r>
        <w:t xml:space="preserve">2. النطاق (Scope)</w:t>
      </w:r>
    </w:p>
    <w:p>
      <w:pPr>
        <w:pStyle w:val="FirstParagraph"/>
      </w:pPr>
      <w:r>
        <w:t xml:space="preserve">ينطبق هذا الإجراء على جميع مراحل وعمليات ومنتجات المصنع لتعبئة المياه الطبيعية، ويشمل جميع المناطق والمنشآت والمعدات والكوادر البشرية التي لها تأثير مباشر أو غير مباشر على سلامة المنتج النهائي، اعتباراً من استلام المواد الخام وحتى تسليم المنتج النهائي للعميل.</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PRPs (Prerequisite Programs)</w:t>
      </w:r>
      <w:r>
        <w:t xml:space="preserve">: برامج المتطلبات الأولية - الشروط الأساسية والأنشطة الضرورية للحفاظ على بيئة صحية طوال السلسلة الغذائية بما يتناسب مع إنتاج وتداول وتوفير منتجات نهائية آمنة للاستهلاك البشري.</w:t>
      </w:r>
    </w:p>
    <w:p>
      <w:pPr>
        <w:pStyle w:val="Compact"/>
        <w:numPr>
          <w:ilvl w:val="0"/>
          <w:numId w:val="1001"/>
        </w:numPr>
      </w:pPr>
      <w:r>
        <w:rPr>
          <w:b/>
          <w:bCs/>
        </w:rPr>
        <w:t xml:space="preserve">HACCP</w:t>
      </w:r>
      <w:r>
        <w:t xml:space="preserve">: تحليل المخاطر ونقاط التحكم الحرجة (Hazard Analysis and Critical Control Points).</w:t>
      </w:r>
    </w:p>
    <w:p>
      <w:pPr>
        <w:pStyle w:val="Compact"/>
        <w:numPr>
          <w:ilvl w:val="0"/>
          <w:numId w:val="1001"/>
        </w:numPr>
      </w:pPr>
      <w:r>
        <w:rPr>
          <w:b/>
          <w:bCs/>
        </w:rPr>
        <w:t xml:space="preserve">ISO 22000</w:t>
      </w:r>
      <w:r>
        <w:t xml:space="preserve">: المواصفة القياسية الدولية لنظام إدارة سلامة الغذاء.</w:t>
      </w:r>
    </w:p>
    <w:p>
      <w:pPr>
        <w:pStyle w:val="Compact"/>
        <w:numPr>
          <w:ilvl w:val="0"/>
          <w:numId w:val="1001"/>
        </w:numPr>
      </w:pPr>
      <w:r>
        <w:rPr>
          <w:b/>
          <w:bCs/>
        </w:rPr>
        <w:t xml:space="preserve">FSSC 22000</w:t>
      </w:r>
      <w:r>
        <w:t xml:space="preserve">: شهادة نظام سلامة الغذاء، التي تجمع بين ISO 22000 و ISO/TS 22002-1 ومتطلبات إضافية خاصة بالمخطط.</w:t>
      </w:r>
    </w:p>
    <w:p>
      <w:pPr>
        <w:pStyle w:val="Compact"/>
        <w:numPr>
          <w:ilvl w:val="0"/>
          <w:numId w:val="1001"/>
        </w:numPr>
      </w:pPr>
      <w:r>
        <w:rPr>
          <w:b/>
          <w:bCs/>
        </w:rPr>
        <w:t xml:space="preserve">ISO/TS 22002-1</w:t>
      </w:r>
      <w:r>
        <w:t xml:space="preserve">: برنامج المتطلبات الأولية لسلامة الغذاء في تصنيع الأغذية.</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ES</w:t>
      </w:r>
      <w:r>
        <w:t xml:space="preserve">: المواصفة القياسية المصرية.</w:t>
      </w:r>
    </w:p>
    <w:p>
      <w:pPr>
        <w:pStyle w:val="Compact"/>
        <w:numPr>
          <w:ilvl w:val="0"/>
          <w:numId w:val="1001"/>
        </w:numPr>
      </w:pPr>
      <w:r>
        <w:rPr>
          <w:b/>
          <w:bCs/>
        </w:rPr>
        <w:t xml:space="preserve">GRPs</w:t>
      </w:r>
      <w:r>
        <w:t xml:space="preserve">: ممارسات صحية جيدة (Good Hygiene Practices).</w:t>
      </w:r>
    </w:p>
    <w:p>
      <w:pPr>
        <w:pStyle w:val="Compact"/>
        <w:numPr>
          <w:ilvl w:val="0"/>
          <w:numId w:val="1001"/>
        </w:numPr>
      </w:pPr>
      <w:r>
        <w:rPr>
          <w:b/>
          <w:bCs/>
        </w:rPr>
        <w:t xml:space="preserve">GMPs</w:t>
      </w:r>
      <w:r>
        <w:t xml:space="preserve">: ممارسات تصنيعية جيدة (Good Manufacturing Practices).</w:t>
      </w:r>
    </w:p>
    <w:p>
      <w:pPr>
        <w:pStyle w:val="Compact"/>
        <w:numPr>
          <w:ilvl w:val="0"/>
          <w:numId w:val="1001"/>
        </w:numPr>
      </w:pPr>
      <w:r>
        <w:rPr>
          <w:b/>
          <w:bCs/>
        </w:rPr>
        <w:t xml:space="preserve">CIP/COP</w:t>
      </w:r>
      <w:r>
        <w:t xml:space="preserve">: التنظيف في المكان / التنظيف خارج المكان (Clean-In-Place / Clean-Out-of-Place).</w:t>
      </w:r>
    </w:p>
    <w:p>
      <w:pPr>
        <w:pStyle w:val="Compact"/>
        <w:numPr>
          <w:ilvl w:val="0"/>
          <w:numId w:val="1001"/>
        </w:numPr>
      </w:pPr>
      <w:r>
        <w:rPr>
          <w:b/>
          <w:bCs/>
        </w:rPr>
        <w:t xml:space="preserve">Food Defense</w:t>
      </w:r>
      <w:r>
        <w:t xml:space="preserve">: الدفاع عن الغذاء - حماية المنتجات الغذائية من أعمال التلوث المتعمد أو الضار.</w:t>
      </w:r>
    </w:p>
    <w:p>
      <w:pPr>
        <w:pStyle w:val="Compact"/>
        <w:numPr>
          <w:ilvl w:val="0"/>
          <w:numId w:val="1001"/>
        </w:numPr>
      </w:pPr>
      <w:r>
        <w:rPr>
          <w:b/>
          <w:bCs/>
        </w:rPr>
        <w:t xml:space="preserve">Food Fraud Mitigation</w:t>
      </w:r>
      <w:r>
        <w:t xml:space="preserve">: تخفيف الغش الغذائي - مجموعة الإجراءات التي تهدف إلى منع الممارسات الاحتيالية في صناعة الغذاء.</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 بند 4 (سياق المنظمة)، 5 (القيادة)، 6 (التخطيط)، 7 (الدعم)، 8 (التشغيل)، 9 (تقييم الأداء)، 10 (التحسين).</w:t>
      </w:r>
    </w:p>
    <w:p>
      <w:pPr>
        <w:pStyle w:val="Compact"/>
        <w:numPr>
          <w:ilvl w:val="0"/>
          <w:numId w:val="1002"/>
        </w:numPr>
      </w:pPr>
      <w:r>
        <w:rPr>
          <w:b/>
          <w:bCs/>
        </w:rPr>
        <w:t xml:space="preserve">ISO 9001:2015</w:t>
      </w:r>
      <w:r>
        <w:t xml:space="preserve">: بند 4 (سياق المنظمة)، 5 (القيادة)، 6 (التخطيط)، 7 (الدعم)، 8 (التشغيل)، 9 (تقييم الأداء)، 10 (التحسين).</w:t>
      </w:r>
    </w:p>
    <w:p>
      <w:pPr>
        <w:pStyle w:val="Compact"/>
        <w:numPr>
          <w:ilvl w:val="0"/>
          <w:numId w:val="1002"/>
        </w:numPr>
      </w:pPr>
      <w:r>
        <w:rPr>
          <w:b/>
          <w:bCs/>
        </w:rPr>
        <w:t xml:space="preserve">FSSC 22000 v6</w:t>
      </w:r>
      <w:r>
        <w:t xml:space="preserve">: الجزء 2 (متطلبات المخطط الإضافية)، والجزء 3 (متطلبات المراجعة والشهادة).</w:t>
      </w:r>
    </w:p>
    <w:p>
      <w:pPr>
        <w:pStyle w:val="Compact"/>
        <w:numPr>
          <w:ilvl w:val="0"/>
          <w:numId w:val="1002"/>
        </w:numPr>
      </w:pPr>
      <w:r>
        <w:rPr>
          <w:b/>
          <w:bCs/>
        </w:rPr>
        <w:t xml:space="preserve">ISO/TS 22002-1:2009</w:t>
      </w:r>
      <w:r>
        <w:t xml:space="preserve">: برامج المتطلبات الأولية لسلامة الغذاء في تصنيع الغذاء (جميع البنود).</w:t>
      </w:r>
    </w:p>
    <w:p>
      <w:pPr>
        <w:pStyle w:val="Compact"/>
        <w:numPr>
          <w:ilvl w:val="0"/>
          <w:numId w:val="1002"/>
        </w:numPr>
      </w:pPr>
      <w:r>
        <w:rPr>
          <w:b/>
          <w:bCs/>
        </w:rPr>
        <w:t xml:space="preserve">Codex Alimentarius CAC/RCP 1-1969 (HACCP)</w:t>
      </w:r>
      <w:r>
        <w:t xml:space="preserve">: مبادئ ونظم تطبيق تحليل المخاطر ونقاط التحكم الحرجة.</w:t>
      </w:r>
    </w:p>
    <w:p>
      <w:pPr>
        <w:pStyle w:val="Compact"/>
        <w:numPr>
          <w:ilvl w:val="0"/>
          <w:numId w:val="1002"/>
        </w:numPr>
      </w:pPr>
      <w:r>
        <w:rPr>
          <w:b/>
          <w:bCs/>
        </w:rPr>
        <w:t xml:space="preserve">المواصفة القياسية المصرية ES 1589/2007 وتعديلاتها</w:t>
      </w:r>
      <w:r>
        <w:t xml:space="preserve">: مياه الشرب المعبأة.</w:t>
      </w:r>
    </w:p>
    <w:p>
      <w:pPr>
        <w:pStyle w:val="Compact"/>
        <w:numPr>
          <w:ilvl w:val="0"/>
          <w:numId w:val="1002"/>
        </w:numPr>
      </w:pPr>
      <w:r>
        <w:rPr>
          <w:b/>
          <w:bCs/>
        </w:rPr>
        <w:t xml:space="preserve">المواصفة القياسية المصرية ES 190 وتعديلاتها</w:t>
      </w:r>
      <w:r>
        <w:t xml:space="preserve">: مياه معدنية طبيعية.</w:t>
      </w:r>
    </w:p>
    <w:p>
      <w:pPr>
        <w:pStyle w:val="Compact"/>
        <w:numPr>
          <w:ilvl w:val="0"/>
          <w:numId w:val="1002"/>
        </w:numPr>
      </w:pPr>
      <w:r>
        <w:rPr>
          <w:b/>
          <w:bCs/>
        </w:rPr>
        <w:t xml:space="preserve">لائحة الهيئة القومية لسلامة الغذاء NFSA (قرار 6/2023 وتعديلاته)</w:t>
      </w:r>
      <w:r>
        <w:t xml:space="preserve">: المواد 1، 3، 5، 6، 9، 10، 12، 13، 14، 16، 17، 20.</w:t>
      </w:r>
    </w:p>
    <w:p>
      <w:pPr>
        <w:pStyle w:val="Compact"/>
        <w:numPr>
          <w:ilvl w:val="0"/>
          <w:numId w:val="1002"/>
        </w:numPr>
      </w:pPr>
      <w:r>
        <w:rPr>
          <w:b/>
          <w:bCs/>
        </w:rPr>
        <w:t xml:space="preserve">قرار وزير الصحة رقم 458 لسنة 2007 ولوائحه التنفيذية</w:t>
      </w:r>
      <w:r>
        <w:t xml:space="preserve">: الاشتراطات الصحية الواجب توافرها في المنشآت الصناعية المنتجة للمياه المعبأة والعاملين بها.</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الدور الوظيفي</w:t>
            </w:r>
          </w:p>
        </w:tc>
        <w:tc>
          <w:tcPr/>
          <w:p>
            <w:pPr>
              <w:pStyle w:val="Compact"/>
            </w:pPr>
            <w:r>
              <w:t xml:space="preserve">مسؤوليات</w:t>
            </w:r>
          </w:p>
        </w:tc>
        <w:tc>
          <w:tcPr/>
          <w:p>
            <w:pPr>
              <w:pStyle w:val="Compact"/>
            </w:pPr>
            <w:r>
              <w:t xml:space="preserve">مؤشرات الأداء</w:t>
            </w:r>
          </w:p>
        </w:tc>
      </w:tr>
      <w:tr>
        <w:tc>
          <w:tcPr/>
          <w:p>
            <w:pPr>
              <w:pStyle w:val="Compact"/>
            </w:pPr>
            <w:r>
              <w:rPr>
                <w:b/>
                <w:bCs/>
              </w:rPr>
              <w:t xml:space="preserve">رئيس مجلس الإدارة/المدير العام</w:t>
            </w:r>
          </w:p>
        </w:tc>
        <w:tc>
          <w:tcPr/>
          <w:p>
            <w:pPr>
              <w:pStyle w:val="Compact"/>
            </w:pPr>
            <w:r>
              <w:t xml:space="preserve">اعتماد هذا الإجراء، توفير الموارد اللازمة لتطبيق PRPs، ومراجعة فاعلية نظام سلامة الغذاء.</w:t>
            </w:r>
          </w:p>
        </w:tc>
        <w:tc>
          <w:tcPr/>
          <w:p>
            <w:pPr>
              <w:pStyle w:val="Compact"/>
            </w:pPr>
            <w:r>
              <w:t xml:space="preserve">نسبة الامتثال لمتطلبات الموارد، نتائج مراجعات الإدارة.</w:t>
            </w:r>
          </w:p>
        </w:tc>
      </w:tr>
      <w:tr>
        <w:tc>
          <w:tcPr/>
          <w:p>
            <w:pPr>
              <w:pStyle w:val="Compact"/>
            </w:pPr>
            <w:r>
              <w:rPr>
                <w:b/>
                <w:bCs/>
              </w:rPr>
              <w:t xml:space="preserve">مدير الجودة</w:t>
            </w:r>
          </w:p>
        </w:tc>
        <w:tc>
          <w:tcPr/>
          <w:p>
            <w:pPr>
              <w:pStyle w:val="Compact"/>
            </w:pPr>
            <w:r>
              <w:t xml:space="preserve">الإشراف العام على تطوير وتوثيق وتطبيق ومراقبة PRPs، قيادة فريق سلامة الغذاء، ضمان الامتثال لمعايير ISO 22000, FSSC 22000, NFSA، متابعة الأداء، التقييم الدوري لفاعلية PRPs بالتعاون مع فريق سلامة الغذاء.</w:t>
            </w:r>
          </w:p>
        </w:tc>
        <w:tc>
          <w:tcPr/>
          <w:p>
            <w:pPr>
              <w:pStyle w:val="Compact"/>
            </w:pPr>
            <w:r>
              <w:t xml:space="preserve">نسبة إغلاق حالات عدم المطابقة، تحديث ومراجعة الإجراءات في المواعيد المحددة، نتائج المراجعات الداخلية والخارجية.</w:t>
            </w:r>
          </w:p>
        </w:tc>
      </w:tr>
      <w:tr>
        <w:tc>
          <w:tcPr/>
          <w:p>
            <w:pPr>
              <w:pStyle w:val="Compact"/>
            </w:pPr>
            <w:r>
              <w:rPr>
                <w:b/>
                <w:bCs/>
              </w:rPr>
              <w:t xml:space="preserve">فريق سلامة الغذاء</w:t>
            </w:r>
          </w:p>
        </w:tc>
        <w:tc>
          <w:tcPr/>
          <w:p>
            <w:pPr>
              <w:pStyle w:val="Compact"/>
            </w:pPr>
            <w:r>
              <w:t xml:space="preserve">المشاركة في تحديد وتوثيق وتطبيق PRPs، تحليل المخاطر، المساهمة في عمليات التحقق والتحقق من صحة PRPs، الإبلاغ عن أي انحرافات أو مشكلات تتعلق بتطبيق PRPs.</w:t>
            </w:r>
          </w:p>
        </w:tc>
        <w:tc>
          <w:tcPr/>
          <w:p>
            <w:pPr>
              <w:pStyle w:val="Compact"/>
            </w:pPr>
            <w:r>
              <w:t xml:space="preserve">المشاركة في الاجتماعات والتدريبات، تقديم تقارير عن المشكلات المكتشفة.</w:t>
            </w:r>
          </w:p>
        </w:tc>
      </w:tr>
      <w:tr>
        <w:tc>
          <w:tcPr/>
          <w:p>
            <w:pPr>
              <w:pStyle w:val="Compact"/>
            </w:pPr>
            <w:r>
              <w:rPr>
                <w:b/>
                <w:bCs/>
              </w:rPr>
              <w:t xml:space="preserve">مدير الإنتاج</w:t>
            </w:r>
          </w:p>
        </w:tc>
        <w:tc>
          <w:tcPr/>
          <w:p>
            <w:pPr>
              <w:pStyle w:val="Compact"/>
            </w:pPr>
            <w:r>
              <w:t xml:space="preserve">الإشراف المباشر على تطبيق PRPs في مناطق الإنتاج، التأكد من النظافة والتعقيم، تطبيق ممارسات التصنيع الجيدة GMPs، الإشراف على صيانة المعدات في مناطق الإنتاج وفقاً للجداول الزمنية المحددة.</w:t>
            </w:r>
          </w:p>
        </w:tc>
        <w:tc>
          <w:tcPr/>
          <w:p>
            <w:pPr>
              <w:pStyle w:val="Compact"/>
            </w:pPr>
            <w:r>
              <w:t xml:space="preserve">نسبة الامتثال لخطط التنظيف، عدد حالات عدم المطابقة المتعلقة بالإنتاج.</w:t>
            </w:r>
          </w:p>
        </w:tc>
      </w:tr>
      <w:tr>
        <w:tc>
          <w:tcPr/>
          <w:p>
            <w:pPr>
              <w:pStyle w:val="Compact"/>
            </w:pPr>
            <w:r>
              <w:rPr>
                <w:b/>
                <w:bCs/>
              </w:rPr>
              <w:t xml:space="preserve">مدير الصيانة</w:t>
            </w:r>
          </w:p>
        </w:tc>
        <w:tc>
          <w:tcPr/>
          <w:p>
            <w:pPr>
              <w:pStyle w:val="Compact"/>
            </w:pPr>
            <w:r>
              <w:t xml:space="preserve">مسؤول عن تخطيط وتنفيذ جميع أنشطة الصيانة الوقائية والتصحيحية للمباني والمنشآت والمعدات والأجهزة الأساسية (مثل نظام المياه، أنظمة التهوية، الصرف)، ضمان سلامة مرافق البنية التحتية.</w:t>
            </w:r>
          </w:p>
        </w:tc>
        <w:tc>
          <w:tcPr/>
          <w:p>
            <w:pPr>
              <w:pStyle w:val="Compact"/>
            </w:pPr>
            <w:r>
              <w:t xml:space="preserve">نسبة اكتمال خطط الصيانة، سرعة الاستجابة للأعطال، عدد الأعطال المتكررة.</w:t>
            </w:r>
          </w:p>
        </w:tc>
      </w:tr>
      <w:tr>
        <w:tc>
          <w:tcPr/>
          <w:p>
            <w:pPr>
              <w:pStyle w:val="Compact"/>
            </w:pPr>
            <w:r>
              <w:rPr>
                <w:b/>
                <w:bCs/>
              </w:rPr>
              <w:t xml:space="preserve">مسؤول مكافحة الآفات (المورد الخارجي / الكادر الداخلي)</w:t>
            </w:r>
          </w:p>
        </w:tc>
        <w:tc>
          <w:tcPr/>
          <w:p>
            <w:pPr>
              <w:pStyle w:val="Compact"/>
            </w:pPr>
            <w:r>
              <w:t xml:space="preserve">مسؤول عن تنفيذ برنامج مكافحة الآفات المعتمد والتأكد من فاعليته، تحديد وتتبع الآفات، تقديم تقارير دورية.</w:t>
            </w:r>
          </w:p>
        </w:tc>
        <w:tc>
          <w:tcPr/>
          <w:p>
            <w:pPr>
              <w:pStyle w:val="Compact"/>
            </w:pPr>
            <w:r>
              <w:t xml:space="preserve">نسبة السيطرة على الآفات، توثيق عمليات المراقبة والفحص.</w:t>
            </w:r>
          </w:p>
        </w:tc>
      </w:tr>
      <w:tr>
        <w:tc>
          <w:tcPr/>
          <w:p>
            <w:pPr>
              <w:pStyle w:val="Compact"/>
            </w:pPr>
            <w:r>
              <w:rPr>
                <w:b/>
                <w:bCs/>
              </w:rPr>
              <w:t xml:space="preserve">مسؤول الموارد البشرية</w:t>
            </w:r>
          </w:p>
        </w:tc>
        <w:tc>
          <w:tcPr/>
          <w:p>
            <w:pPr>
              <w:pStyle w:val="Compact"/>
            </w:pPr>
            <w:r>
              <w:t xml:space="preserve">ضمان الفحص الطبي الدوري للعاملين، توفير التدريب اللازم حول النظافة الشخصية وسلامة الغذاء، متابعة الالتزام بالملابس الوقائية ومعايير النظافة الشخصية.</w:t>
            </w:r>
          </w:p>
        </w:tc>
        <w:tc>
          <w:tcPr/>
          <w:p>
            <w:pPr>
              <w:pStyle w:val="Compact"/>
            </w:pPr>
            <w:r>
              <w:t xml:space="preserve">نسبة اكتمال الفحوصات الطبية والتدريبات، عدد شكاوى النظافة الشخصية.</w:t>
            </w:r>
          </w:p>
        </w:tc>
      </w:tr>
      <w:tr>
        <w:tc>
          <w:tcPr/>
          <w:p>
            <w:pPr>
              <w:pStyle w:val="Compact"/>
            </w:pPr>
            <w:r>
              <w:rPr>
                <w:b/>
                <w:bCs/>
              </w:rPr>
              <w:t xml:space="preserve">العاملون بالمصنع</w:t>
            </w:r>
          </w:p>
        </w:tc>
        <w:tc>
          <w:tcPr/>
          <w:p>
            <w:pPr>
              <w:pStyle w:val="Compact"/>
            </w:pPr>
            <w:r>
              <w:t xml:space="preserve">الالتزام بجميع تعليمات PRPs، ممارسات النظافة الشخصية، استخدام المعدات الواقية، الإبلاغ الفوري عن أي مشكلات قد تؤثر على سلامة الغذاء.</w:t>
            </w:r>
          </w:p>
        </w:tc>
        <w:tc>
          <w:tcPr/>
          <w:p>
            <w:pPr>
              <w:pStyle w:val="Compact"/>
            </w:pPr>
            <w:r>
              <w:t xml:space="preserve">الالتزام بالتعليمات، المشاركة في التدريبات.</w:t>
            </w:r>
          </w:p>
        </w:tc>
      </w:tr>
    </w:tbl>
    <w:bookmarkEnd w:id="16"/>
    <w:bookmarkStart w:id="27" w:name="خطوات-التنفيذ-التفصيلية-procedures"/>
    <w:p>
      <w:pPr>
        <w:pStyle w:val="Heading3"/>
      </w:pPr>
      <w:r>
        <w:t xml:space="preserve">6. خطوات التنفيذ التفصيلية (Procedures)</w:t>
      </w:r>
    </w:p>
    <w:bookmarkStart w:id="17" w:name="X8a8c42f525b8ac87996279520bb89d7e92f81f9"/>
    <w:p>
      <w:pPr>
        <w:pStyle w:val="Heading4"/>
      </w:pPr>
      <w:r>
        <w:t xml:space="preserve">6-1: إنشاءات المصنع والتصميم الداخلي (ISO/TS 22002-1 §4، NFSA قرار 6/2023 المادة 3, 5)</w:t>
      </w:r>
    </w:p>
    <w:p>
      <w:pPr>
        <w:pStyle w:val="FirstParagraph"/>
      </w:pPr>
      <w:r>
        <w:t xml:space="preserve">6-1-1: وضع خطة رئيسية للمصنع تحدد مناطق التشغيل (إنتاج، تعبئة، تخزين، صيانة، مرافق صحية، مناطق إدارية، معامل) مع الفصل الواضح بين المناطق النظيفة وغير النظيفة لمنع التلوث المتبادل. (من: مدير الجودة، ماذا: وضع خطة المصنع، متى: عند الإنشاء أو التعديل، أين: المصنع، كيف: بالاتفاق مع الإدارة وفريق سلامة الغذاء).</w:t>
      </w:r>
      <w:r>
        <w:t xml:space="preserve"> </w:t>
      </w:r>
      <w:r>
        <w:t xml:space="preserve">6-1-2: تصميم الأرضيات والجدران والأسقف بحيث تكون ملساء، غير مسامية، سهلة التنظيف والتطهير، مقاومة للمواد الكيميائية والتآكل، ولا تسمح بتراكم الأوساخ أو نمو الكائنات الدقيقة. (من: مدير الصيانة/الإنتاج، ماذا: التأكد من صلاحية الأسطح، متى: بشكل مستمر، أين: مناطق الإنتاج والتعبئة، كيف: بالتحقق البصري والصيانة الدورية).</w:t>
      </w:r>
      <w:r>
        <w:t xml:space="preserve"> </w:t>
      </w:r>
      <w:r>
        <w:t xml:space="preserve">6-1-3: تصميم النوافذ والأبواب بحيث تكون محكمة الغلق ومزودة بشباك حماية ضد الحشرات في المناطق المفتوحة، وتكون مصنوعة من مواد غير قابلة للتآكل وسهلة التنظيف. (من: مدير الصيانة، ماذا: تركيب وصيانة النوافذ والأبواب، متى: عند اللزوم، أين: جميع فتحات المصنع، كيف: باستخدام مواد معتمدة وشباك حماية).</w:t>
      </w:r>
      <w:r>
        <w:t xml:space="preserve"> </w:t>
      </w:r>
      <w:r>
        <w:t xml:space="preserve">6-1-4: تصميم وتصنيع أنظمة الصرف الصحي والبالوعات بحيث تمنع الارتجاع والتسرب، وتكون مزودة بمصارف أرضية كافية ذات تصريف جيد مع أغطية وتكون سهلة التنظيف. لا يسمح بتمرير شبكات الصرف الصحي فوق مناطق الإنتاج والتعبئة. (من: مدير الصيانة، ماذا: تصميم وصيانة نظام الصرف، متى: عند الإنشاء أو التعديل، أين: المصنع، كيف: وفقاً للمواصفات الهندسية والصحية).</w:t>
      </w:r>
      <w:r>
        <w:t xml:space="preserve"> </w:t>
      </w:r>
      <w:r>
        <w:t xml:space="preserve">6-1-5: توفير إضاءة كافية في جميع مناطق العمل، مع استخدام مصابيح واقية للكسر في مناطق الإنتاج والتعبئة لمنع تلوث المنتج بشظايا الزجاج. (من: مدير الصيانة، ماذا: توفير وصيانة الإضاءة، متى: بشكل دوري، أين: مناطق المصنع، كيف: باستخدام مصابيح محمية وذات كفاءة).</w:t>
      </w:r>
      <w:r>
        <w:t xml:space="preserve"> </w:t>
      </w:r>
      <w:r>
        <w:t xml:space="preserve">6-1-6: توفير نظام تهوية فعال يمنع تكثف الأبخرة وتنقية الهواء ويتحكم في درجة الحرارة والرطوبة ويحول دون تراكم الغبار والجسيمات العالقة في الهواء. (من: مدير الصيانة، ماذا: تركيب وصيانة نظام التهوية، متى: بشكل دوري، أين: مناطق الإنتاج والتعبئة، كيف: باستخدام فلاتر هواء مناسبة وصيانة منتظمة).</w:t>
      </w:r>
    </w:p>
    <w:bookmarkEnd w:id="17"/>
    <w:bookmarkStart w:id="18" w:name="X97db679509a9028e098aa02955cb89ac9aebbd2"/>
    <w:p>
      <w:pPr>
        <w:pStyle w:val="Heading4"/>
      </w:pPr>
      <w:r>
        <w:t xml:space="preserve">6-2: تخطيط المباني ومساحات العمل (ISO/TS 22002-1 §4، NFSA قرار 6/2023 المادة 5)</w:t>
      </w:r>
    </w:p>
    <w:p>
      <w:pPr>
        <w:pStyle w:val="FirstParagraph"/>
      </w:pPr>
      <w:r>
        <w:t xml:space="preserve">6-2-1: فصل مناطق تفريغ المواد الخام والتعبئة عن مناطق الإنتاج النهائية لتقليل مخاطر التلوث المتبادل. (من: مدير الإنتاج/الجودة، ماذا: متابعة الفصل الفعلي، متى: بشكل يومي، أين: في المصنع، كيف: من خلال التفتيش البصري).</w:t>
      </w:r>
      <w:r>
        <w:t xml:space="preserve"> </w:t>
      </w:r>
      <w:r>
        <w:t xml:space="preserve">6-2-2: ضمان وجود مساحات عمل كافية للحركة والمعدات لتقليل الازدحام ومنع التلوث وسهولة التنظيف. (من: مدير الإنتاج، ماذا: التحقق من انسيابية العمل، متى: بشكل دوري، أين: مناطق التشغيل، كيف: الملاحظة المباشرة).</w:t>
      </w:r>
    </w:p>
    <w:bookmarkEnd w:id="18"/>
    <w:bookmarkStart w:id="19" w:name="Xf0e1ab2384efb809149f69b220aafc16f3bdf95"/>
    <w:p>
      <w:pPr>
        <w:pStyle w:val="Heading4"/>
      </w:pPr>
      <w:r>
        <w:t xml:space="preserve">6-3: المرافق والمعدات (ISO 22000:2018 §7.1.3، ISO/TS 22002-1 §5، 11)</w:t>
      </w:r>
    </w:p>
    <w:p>
      <w:pPr>
        <w:pStyle w:val="FirstParagraph"/>
      </w:pPr>
      <w:r>
        <w:t xml:space="preserve">6-3-1:</w:t>
      </w:r>
      <w:r>
        <w:t xml:space="preserve"> </w:t>
      </w:r>
      <w:r>
        <w:rPr>
          <w:b/>
          <w:bCs/>
        </w:rPr>
        <w:t xml:space="preserve">المياه:</w:t>
      </w:r>
      <w:r>
        <w:t xml:space="preserve"> </w:t>
      </w:r>
      <w:r>
        <w:t xml:space="preserve">(ISO/TS 22002-1 §7، ES 1589/2007، ES 190، قرار وزير الصحة 458/2007)</w:t>
      </w:r>
      <w:r>
        <w:t xml:space="preserve"> </w:t>
      </w:r>
      <w:r>
        <w:t xml:space="preserve">6-3-1-1: تصميم وتركيب نظام المياه وفقاً للمواصفات الفنية لضمان عدم وجود توصيلات متقاطعة (Cross-connections) أو ارتجاع (Back-flow) بين خطوط مياه الشرب وخطوط الصرف أو المياه غير المعالجة، ويتم ذلك بواسطة مقاول سباكة مرخص ومعتمد. (من: مدير الصيانة، ماذا: تصميم وتركيب نظام المياه، متى: عند الإنشاء أو التعديل، أين: المصنع، كيف: باستخدام مواد معتمدة).</w:t>
      </w:r>
      <w:r>
        <w:t xml:space="preserve"> </w:t>
      </w:r>
      <w:r>
        <w:t xml:space="preserve">6-3-1-2: معالجة المياه المستخدمة في الإنتاج والتنظيف لضمان مطابقتها للمواصفات القياسية لمياه الشرب المعبأة والمياه المعدنية الطبيعية. (من: مدير الجودة، ماذا: الإشراف على نظام المعالجة، متى: بشكل مستمر، أين: محطة معالجة المياه، كيف: من خلال المراقبة المخبرية).</w:t>
      </w:r>
      <w:r>
        <w:t xml:space="preserve"> </w:t>
      </w:r>
      <w:r>
        <w:t xml:space="preserve">6-3-1-3: وضع وتنفيذ برنامج مراقبة لجودة المياه يشمل الفحوصات الكيميائية والميكروبية الدورية (يومية/أسبوعية/شهرية/ربع سنوية/نصف سنوية) من خلال معمل داخلي مجهز ومعمل خارجي معتمد، طبقاً لمتطلبات NFSA واللوائح المصرية والمعايير المحددة في ES 1589/2007 و ES 190. (من: مدير الجودة، ماذا: تنفيذ برنامج مراقبة المياه، متى: حسب الجدول الزمني، أين: المعمل الداخلي والخارجي، كيف: أخذ عينات وإجراء التحاليل).</w:t>
      </w:r>
      <w:r>
        <w:t xml:space="preserve"> </w:t>
      </w:r>
      <w:r>
        <w:t xml:space="preserve">6-3-1-4: تحديد إجراءات التصحيح في حالة عدم مطابقة جودة المياه، مثل الحجر على المياه، إعادة المعالجة، شراء مياه صالحة للاستخدام، وإبلاغ السلطات المختصة عند اللزوم. (من: مدير الجودة/الإنتاج، ماذا: إجراء التصحيحات، متى: فوراً عند اكتشاف عدم المطابقة، أين: المصنع، كيف: بالالتزام بإجراءات التحكم).</w:t>
      </w:r>
      <w:r>
        <w:t xml:space="preserve"> </w:t>
      </w:r>
      <w:r>
        <w:t xml:space="preserve">6-3-2:</w:t>
      </w:r>
      <w:r>
        <w:t xml:space="preserve"> </w:t>
      </w:r>
      <w:r>
        <w:rPr>
          <w:b/>
          <w:bCs/>
        </w:rPr>
        <w:t xml:space="preserve">الصيانة الوقائية والتصحيحية:</w:t>
      </w:r>
      <w:r>
        <w:t xml:space="preserve"> </w:t>
      </w:r>
      <w:r>
        <w:t xml:space="preserve">(ISO 22000:2018 §7.1.3، ISO/TS 22002-1 §8)</w:t>
      </w:r>
      <w:r>
        <w:t xml:space="preserve"> </w:t>
      </w:r>
      <w:r>
        <w:t xml:space="preserve">6-3-2-1: وضع وتنفيذ خطة صيانة وقائية للمباني، خطوط الإنتاج، المعدات، الأنظمة (مياه، صرف، تهوية، إضاءة) لضمان عملها بكفاءة ومنع التلوث وحالة الطوارئ. (من: مدير الصيانة، ماذا: وضع وتنفيذ خطة الصيانة، متى: بشكل سنوي، أين: المصنع، كيف: استخدام نظام إدارة الصيانة المحوسب).</w:t>
      </w:r>
      <w:r>
        <w:t xml:space="preserve"> </w:t>
      </w:r>
      <w:r>
        <w:t xml:space="preserve">6-3-2-2: تنفيذ الصيانة التصحيحية الفورية عند اكتشاف أي عطل أو خلل قد يؤثر على سلامة الغذاء، مع توثيق الإجراءات المتخذة والتأكد من عدم وجود مخاطر تلوث بعد الصيانة. (من: مدير الصيانة، ماذا: تنفيذ الصيانة التصحيحية، متى: عند حدوث العطل، أين: المصنع، كيف: استخدام قطع غيار معتمدة ونظيفة).</w:t>
      </w:r>
      <w:r>
        <w:t xml:space="preserve"> </w:t>
      </w:r>
      <w:r>
        <w:t xml:space="preserve">6-3-2-3: استخدام مواد تشحيم وزيوت ومواد لاصقة وتصليح معتمدة للاستخدام في الصناعات الغذائية (Food Grade) في أي معدات قد تلامس المنتج أو تكون قريبة منه. (من: مدير الصيانة، ماذا: استخدام مواد Food Grade، متى: بشكل مستمر، أين: مناطق الإنتاج، كيف: شراء مواد معتمدة).</w:t>
      </w:r>
    </w:p>
    <w:bookmarkEnd w:id="19"/>
    <w:bookmarkStart w:id="20" w:name="Xaf8f6772cf53f1c69aa2192206ad54fee2a0b7a"/>
    <w:p>
      <w:pPr>
        <w:pStyle w:val="Heading4"/>
      </w:pPr>
      <w:r>
        <w:t xml:space="preserve">6-4: النظافة والتطهير (ISO 22000:2018 §8.2.4 ج) 2)، ISO/TS 22002-1 §11، NFSA قرار 6/2023 المادة 12)</w:t>
      </w:r>
    </w:p>
    <w:p>
      <w:pPr>
        <w:pStyle w:val="FirstParagraph"/>
      </w:pPr>
      <w:r>
        <w:t xml:space="preserve">6-4-1: وضع وتوثيق برنامج شامل للنظافة والتطهير (Master Cleaning Schedule) لجميع مناطق المصنع والمعدات والأسطح الملامسة للمنتج وغير الملامسة، يحدد:</w:t>
      </w:r>
      <w:r>
        <w:t xml:space="preserve"> </w:t>
      </w:r>
      <w:r>
        <w:t xml:space="preserve">-</w:t>
      </w:r>
      <w:r>
        <w:t xml:space="preserve"> </w:t>
      </w:r>
      <w:r>
        <w:rPr>
          <w:b/>
          <w:bCs/>
        </w:rPr>
        <w:t xml:space="preserve">ماذا:</w:t>
      </w:r>
      <w:r>
        <w:t xml:space="preserve"> </w:t>
      </w:r>
      <w:r>
        <w:t xml:space="preserve">الأسطح والمعدات التي سيتم تنظيفها وتطهيرها.</w:t>
      </w:r>
      <w:r>
        <w:t xml:space="preserve"> </w:t>
      </w:r>
      <w:r>
        <w:t xml:space="preserve">-</w:t>
      </w:r>
      <w:r>
        <w:t xml:space="preserve"> </w:t>
      </w:r>
      <w:r>
        <w:rPr>
          <w:b/>
          <w:bCs/>
        </w:rPr>
        <w:t xml:space="preserve">متى:</w:t>
      </w:r>
      <w:r>
        <w:t xml:space="preserve"> </w:t>
      </w:r>
      <w:r>
        <w:t xml:space="preserve">تكرار التنظيف والتطهير (يومي، أسبوعي، شهري، بعد كل دفعة).</w:t>
      </w:r>
      <w:r>
        <w:t xml:space="preserve"> </w:t>
      </w:r>
      <w:r>
        <w:t xml:space="preserve">-</w:t>
      </w:r>
      <w:r>
        <w:t xml:space="preserve"> </w:t>
      </w:r>
      <w:r>
        <w:rPr>
          <w:b/>
          <w:bCs/>
        </w:rPr>
        <w:t xml:space="preserve">من:</w:t>
      </w:r>
      <w:r>
        <w:t xml:space="preserve"> </w:t>
      </w:r>
      <w:r>
        <w:t xml:space="preserve">المسؤول عن التنظيف والتطهير.</w:t>
      </w:r>
      <w:r>
        <w:t xml:space="preserve"> </w:t>
      </w:r>
      <w:r>
        <w:t xml:space="preserve">-</w:t>
      </w:r>
      <w:r>
        <w:t xml:space="preserve"> </w:t>
      </w:r>
      <w:r>
        <w:rPr>
          <w:b/>
          <w:bCs/>
        </w:rPr>
        <w:t xml:space="preserve">كيف:</w:t>
      </w:r>
      <w:r>
        <w:t xml:space="preserve"> </w:t>
      </w:r>
      <w:r>
        <w:t xml:space="preserve">إجراءات التنظيف والتطهير التفصيلية، المواد الكيميائية المستخدمة (المعتمدة لسلامة الغذاء Food Grade)، تراكيزها، درجة حرارة المياه، زمن التلامس.</w:t>
      </w:r>
      <w:r>
        <w:t xml:space="preserve"> </w:t>
      </w:r>
      <w:r>
        <w:t xml:space="preserve">-</w:t>
      </w:r>
      <w:r>
        <w:t xml:space="preserve"> </w:t>
      </w:r>
      <w:r>
        <w:rPr>
          <w:b/>
          <w:bCs/>
        </w:rPr>
        <w:t xml:space="preserve">التحقق:</w:t>
      </w:r>
      <w:r>
        <w:t xml:space="preserve"> </w:t>
      </w:r>
      <w:r>
        <w:t xml:space="preserve">طرق التحقق من فاعلية التنظيف والتطهير (معاينة بصرية، اختبارات ميكروبية للأسطح - Swab testing).</w:t>
      </w:r>
      <w:r>
        <w:t xml:space="preserve"> </w:t>
      </w:r>
      <w:r>
        <w:t xml:space="preserve">(من: مدير الجودة/مدير الإنتاج، ماذا: وضع وتطبيق الخطة، متى: بشكل دوري، أين: المصنع، كيف: بالاستناد إلى معايير عالمية).</w:t>
      </w:r>
      <w:r>
        <w:t xml:space="preserve"> </w:t>
      </w:r>
      <w:r>
        <w:t xml:space="preserve">6-4-2: تطبيق نظام التنظيف في المكان (CIP) لخطوط الأنابيب والخزانات والمعدات المغلقة، ونظام التنظيف خارج المكان (COP) للأجزاء القابلة للفك، مع توثيق جميع الخطوات. (من: مدير الإنتاج، ماذا: تطبيق أنظمة CIP/COP، متى: حسب الجدول الزمني، أين: مناطق الإنتاج، كيف: باستخدام بروتوكولات محددة).</w:t>
      </w:r>
      <w:r>
        <w:t xml:space="preserve"> </w:t>
      </w:r>
      <w:r>
        <w:t xml:space="preserve">6-4-3: تخزين مواد التنظيف والتطهير في منطقة مخصصة ومنفصلة، بعيداً عن مناطق الإنتاج والتخزين للمواد الغذائية والتعبئة، وتكون محكمة الإغلاق ومُشار إليها بوضوح. (من: مسؤول المخازن، ماذا: تخزين المواد، متى: بشكل مستمر، أين: مخزن المواد الكيميائية، كيف: حسب تعليمات السلامة).</w:t>
      </w:r>
    </w:p>
    <w:bookmarkEnd w:id="20"/>
    <w:bookmarkStart w:id="21" w:name="X9b262daf5a6f92a5f6e33bec74ae47c11ab4c19"/>
    <w:p>
      <w:pPr>
        <w:pStyle w:val="Heading4"/>
      </w:pPr>
      <w:r>
        <w:t xml:space="preserve">6-5: النظافة الشخصية والمرافق الصحية (ISO 22000:2018 §8.2.4 ج) 3)، ISO/TS 22002-1 §14، NFSA قرار 6/2023 المادة 16, 17، قرار وزير الصحة 458/2007)</w:t>
      </w:r>
    </w:p>
    <w:p>
      <w:pPr>
        <w:pStyle w:val="FirstParagraph"/>
      </w:pPr>
      <w:r>
        <w:t xml:space="preserve">6-5-1: إلزام جميع العاملين في مناطق الإنتاج والتعبئة بارتداء ملابس عمل نظيفة وواقية (بما في ذلك القبعات/شبكات الشعر، الأغطية الواقية للحية، الأحذية الواقية والنظيفة)، وتغييرها بانتظام. (من: مسؤول الموارد البشرية/مدير الإنتاج، ماذا: تطبيق الزي الموحد، متى: بشكل يومي، أين: المصنع، كيف: المتابعة والتدريب).</w:t>
      </w:r>
      <w:r>
        <w:t xml:space="preserve"> </w:t>
      </w:r>
      <w:r>
        <w:t xml:space="preserve">6-5-2: توفير مناطق مخصصة لغرف تبديل الملابس ودورات مياه نظيفة ومطهرة بشكل دائم ومفصولة تماماً عن مناطق الإنتاج. (من: مدير الصيانة/الإنتاج، ماذا: صيانة المرافق، متى: بشكل مستمر، أين: المصنع، كيف: تطبيق خطة النظافة).</w:t>
      </w:r>
      <w:r>
        <w:t xml:space="preserve"> </w:t>
      </w:r>
      <w:r>
        <w:t xml:space="preserve">6-5-3: توفير نقاط غسل وتطهير الأيدي عند مداخل مناطق الإنتاج وبعد دورات المياه وقبل البدء بالعمل أو بعد أي انقطاع، مع توفير صابون سائل مطهر ومجففات أيدي أو مناديل ورقية أحادية الاستخدام. (من: مدير الإنتاج/الصيانة، ماذا: توفير وصيانة مرافق غسل الأيدي، متى: بشكل مستمر، أين: المصنع، كيف: التأكد من توافر المواد).</w:t>
      </w:r>
      <w:r>
        <w:t xml:space="preserve"> </w:t>
      </w:r>
      <w:r>
        <w:t xml:space="preserve">6-5-4: تدريب جميع العاملين على أهمية النظافة الشخصية وغسل الأيدي الصحيح، ومنع الأكل والشرب والتدخين والمضغ في مناطق الإنتاج. (من: مسؤول الموارد البشرية/مدير الجودة، ماذا: التدريب الموظفين، متى: بشكل دوري، أين: المصنع، كيف: من خلال برامج تدريب معتمدة).</w:t>
      </w:r>
      <w:r>
        <w:t xml:space="preserve"> </w:t>
      </w:r>
      <w:r>
        <w:t xml:space="preserve">6-5-5: إلزام العاملين بالإبلاغ الفوري عن أي أمراض معدية أو جروح مفتوحة، وتوفير آلية للفحص الطبي الدوري (سنوياً أو وفقاً للوائح NFSA وقرار 458/2007) لضمان لياقة العاملين الصحية. (من: مسؤول الموارد البشرية، ماذا: متابعة الفحص الطبي، متى: حسب اللوائح، أين: المصنع/العيادة، كيف: حفظ سجلات الفحوصات).</w:t>
      </w:r>
    </w:p>
    <w:bookmarkEnd w:id="21"/>
    <w:bookmarkStart w:id="22" w:name="X216ae0492576e5dcf0efa12e7a87f40ac5b0a2a"/>
    <w:p>
      <w:pPr>
        <w:pStyle w:val="Heading4"/>
      </w:pPr>
      <w:r>
        <w:t xml:space="preserve">6-6: مكافحة الآفات (ISO 22000:2018 §8.2.4 ج) 5)، ISO/TS 22002-1 §12، NFSA قرار 6/2023 المادة 13)</w:t>
      </w:r>
    </w:p>
    <w:p>
      <w:pPr>
        <w:pStyle w:val="FirstParagraph"/>
      </w:pPr>
      <w:r>
        <w:t xml:space="preserve">6-6-1: وضع وتنفيذ برنامج شامل لمكافحة الآفات (Pest Control Program) يشمل الحشرات والقوارض والطيور، يتم تنفيذه بواسطة شركة متخصصة ومرخصة في مكافحة الآفات، أو بواسطة فريق داخلي مدرب ومعتمد. (من: مدير الجودة، ماذا: وضع البرنامج والتعاقد مع شركة، متى: بشكل سنوي، أين: المصنع، كيف: من خلال خطة منهجية).</w:t>
      </w:r>
      <w:r>
        <w:t xml:space="preserve"> </w:t>
      </w:r>
      <w:r>
        <w:t xml:space="preserve">6-6-2: تحديد وتوثيق أنواع الآفات المستهدفة، والمواد الكيميائية المستخدمة (يجب أن تكون معتمدة للاستخدام في المنشآت الغذائية)، وطرق التطبيق، وتكرار المراقبة والفحص، ومواقع الفخاخ والطعم. (من: مسؤول مكافحة الآفات/مدير الجودة، ماذا: توثيق البرنامج، متى: بشكل مستمر، أين: المصنع، كيف: استخدام خرائط توضح نقاط الفحص).</w:t>
      </w:r>
      <w:r>
        <w:t xml:space="preserve"> </w:t>
      </w:r>
      <w:r>
        <w:t xml:space="preserve">6-6-3: الفحص الدوري للمرافق الخارجية والداخلية للتأكد من خلوها من الآفات وأي علامات تدل على وجودها، مع اتخاذ الإجراءات التصحيحية الفورية في حالة اكتشاف أي آفة. (من: مسؤول مكافحة الآفات/مدير الجودة، ماذا: الفحص والمراقبة، متى: حسب الجدول الزمني، أين: المصنع، كيف: استخدام سجلات المراقبة).</w:t>
      </w:r>
      <w:r>
        <w:t xml:space="preserve"> </w:t>
      </w:r>
      <w:r>
        <w:t xml:space="preserve">6-6-4: التأكد من إغلاق جميع الفتحات والشقوق في المباني، وتركيب شباك واقية على النوافذ والأبواب لمنع دخول الآفات. (من: مدير الصيانة، ماذا: إصلاح الفتحات، متى: بشكل دوري، أين: المصنع، كيف: من خلال الفحص البصري).</w:t>
      </w:r>
    </w:p>
    <w:bookmarkEnd w:id="22"/>
    <w:bookmarkStart w:id="23" w:name="Xbeda4f2eb11292a601c6812f1d87f186b5c6af4"/>
    <w:p>
      <w:pPr>
        <w:pStyle w:val="Heading4"/>
      </w:pPr>
      <w:r>
        <w:t xml:space="preserve">6-7: إدارة النفايات (ISO 22000:2018 §8.2.4 ج) 6)، ISO/TS 22002-1 §6، NFSA قرار 6/2023 المادة 10)</w:t>
      </w:r>
    </w:p>
    <w:p>
      <w:pPr>
        <w:pStyle w:val="FirstParagraph"/>
      </w:pPr>
      <w:r>
        <w:t xml:space="preserve">6-7-1: توفير عدد كاف من حاويات جمع النفايات، مصنوعة من مواد متينة وسهلة التنظيف، ومزودة بأغطية محكمة الإغلاق. (من: مدير الإنتاج/الصيانة، ماذا: توفير حاويات النفايات، متى: بشكل مستمر، أين: المصنع، كيف: شراء حاويات مناسبة).</w:t>
      </w:r>
      <w:r>
        <w:t xml:space="preserve"> </w:t>
      </w:r>
      <w:r>
        <w:t xml:space="preserve">6-7-2: وضع وتطبيق نظام لجمع النفايات (صلبة وسائلة) من مناطق الإنتاج والتخزين والمرافق الصحية بشكل منتظم (يومياً أو حسب الحاجة) والتخلص منها بطريقة صحية وآمنة تمنع التلوث وتجذب الآفات. (من: مدير الإنتاج/الصيانة، ماذا: جمع النفايات والتخلص منها، متى: بشكل يومي، أين: المصنع، كيف: من خلال شركة متخصصة).</w:t>
      </w:r>
      <w:r>
        <w:t xml:space="preserve"> </w:t>
      </w:r>
      <w:r>
        <w:t xml:space="preserve">6-7-3: تحديد منطقة مخصصة لتجميع النفايات الرئيسية بعيداً عن مناطق الإنتاج، وتكون هذه المنطقة نظيفة وتتم صيانتها بانتظام. (من: مدير الصيانة، ماذا: تحديد منطقة النفايات، متى: عند الحاجة، أين: المصنع، كيف: الالتزام بالاشتراطات الصحية).</w:t>
      </w:r>
      <w:r>
        <w:t xml:space="preserve"> </w:t>
      </w:r>
      <w:r>
        <w:t xml:space="preserve">6-7-4: التخلص من مياه الصرف الصحي والصناعي بطرق معتمدة وصحية طبقاً للوائح البيئية والصحية، بما يضمن عدم تلوث المياه الجوفية أو السطحية. (من: مدير الصيانة، ماذا: معالجة مياه الصرف، متى: بشكل مستمر، أين: محطة المعالجة، كيف: باستخدام نظام معالجة فعال).</w:t>
      </w:r>
    </w:p>
    <w:bookmarkEnd w:id="23"/>
    <w:bookmarkStart w:id="24" w:name="X0135211d70d1de9dd722b967ece1cc08b01cb13"/>
    <w:p>
      <w:pPr>
        <w:pStyle w:val="Heading4"/>
      </w:pPr>
      <w:r>
        <w:t xml:space="preserve">6-8: منع التلوث المتبادل (ISO 22000:2018 §8.2.4 ج) 4)، ISO/TS 22002-1 §10)</w:t>
      </w:r>
    </w:p>
    <w:p>
      <w:pPr>
        <w:pStyle w:val="FirstParagraph"/>
      </w:pPr>
      <w:r>
        <w:t xml:space="preserve">6-8-1: فصل المعدات والأدوات المستخدمة في مناطق مختلفة (مثل المعدات النظيفة عن غير النظيفة، أو المواد الخام عن المنتج النهائي)، وتحديد آليات واضحة لمنع اختلاطها. (من: مدير الإنتاج/مدير الجودة، ماذا: فصل الأدوات والمعدات، متى: بشكل مستمر، أين: المصنع، كيف: الترميز اللوني أو مناطق تخزين مخصصة).</w:t>
      </w:r>
      <w:r>
        <w:t xml:space="preserve"> </w:t>
      </w:r>
      <w:r>
        <w:t xml:space="preserve">6-8-2: التحكم في تدفق العاملين والمواد عبر مناطق الإنتاج لتقليل مخاطر التلوث المتبادل، مع وجود حواجز أو مناطق عزل عند نقاط الانتقال الحرجة. (من: مدير الإنتاج/مدير الجودة، ماذا: مراقبة تدفق العمل، متى: بشكل يومي، أين: مناطق الإنتاج، كيف: تطبيق إجراءات الدخول والخروج).</w:t>
      </w:r>
      <w:r>
        <w:t xml:space="preserve"> </w:t>
      </w:r>
      <w:r>
        <w:t xml:space="preserve">6-8-3: توفير آليات للتحكم في مسببات الحساسية (إن وجدت في المصنع – مثل استخدام معالجات أو مواد تعبئة قد تحمل آثار مسببات حساسية) لمنع تلوث المنتج بها، وذلك من خلال فصل التخزين والتنظيف والإنتاج. (من: مدير الجودة، ماذا: التحكم في مسببات الحساسية، متى: عند اللزوم، أين: المصنع، كيف: تطبيق خطط التحكم).</w:t>
      </w:r>
    </w:p>
    <w:bookmarkEnd w:id="24"/>
    <w:bookmarkStart w:id="25" w:name="X0c930365147b285d371a3f2943a771d60fac624"/>
    <w:p>
      <w:pPr>
        <w:pStyle w:val="Heading4"/>
      </w:pPr>
      <w:r>
        <w:t xml:space="preserve">6-9: تخزين المواد (ISO 22000:2018 §8.2.4 ج) 7)، ISO/TS 22002-1 §15)</w:t>
      </w:r>
    </w:p>
    <w:p>
      <w:pPr>
        <w:pStyle w:val="FirstParagraph"/>
      </w:pPr>
      <w:r>
        <w:t xml:space="preserve">6-9-1: تخزين المواد الخام، المواد المعبأة، ومواد التعبئة والتغليف في مناطق منفصلة ونظيفة وجافة وجيدة التهوية ومحمية من الآفات والملوثات. (من: مدير المخازن، ماذا: تخزين المواد، متى: بشكل مستمر، أين: المخازن، كيف: الالتزام بظروف التخزين).</w:t>
      </w:r>
      <w:r>
        <w:t xml:space="preserve"> </w:t>
      </w:r>
      <w:r>
        <w:t xml:space="preserve">6-9-2: تطبيق مبدأ الوارد أولاً يخرج أولاً (FIFO/FEFO) لضمان تداول المواد حسب تاريخ صلاحيتها وتقليل الهدر. (من: مدير المخازن، ماذا: تطبيق FIFO/FEFO، متى: بشكل مستمر، أين: المخازن، كيف: استخدام نظام تتبع المخزون).</w:t>
      </w:r>
      <w:r>
        <w:t xml:space="preserve"> </w:t>
      </w:r>
      <w:r>
        <w:t xml:space="preserve">6-9-3: تخزين المواد الكيميائية (تنظيف، تطهير، مكافحة آفات) في مخزن مخصص ومنفصل تماماً عن المواد الغذائية ومواد التعبئة، ويكون خاضعاً للتحكم في الدخول وتحديد الصلاحيات. (من: مسؤول المخازن، ماذا: تخزين المواد الكيميائية، متى: بشكل مستمر، أين: مخزن المواد الكيميائية، كيف: حسب تعليمات السلامة).</w:t>
      </w:r>
    </w:p>
    <w:bookmarkEnd w:id="25"/>
    <w:bookmarkStart w:id="26" w:name="X569494c9cf8f97bff672611f7bb1f1b7bb71593"/>
    <w:p>
      <w:pPr>
        <w:pStyle w:val="Heading4"/>
      </w:pPr>
      <w:r>
        <w:t xml:space="preserve">6-10: الدفاع عن الغذاء وتخفيف الغش الغذائي (FSSC 22000 v6 Part 2 §2.5.1، §2.5.2)</w:t>
      </w:r>
    </w:p>
    <w:p>
      <w:pPr>
        <w:pStyle w:val="FirstParagraph"/>
      </w:pPr>
      <w:r>
        <w:t xml:space="preserve">6-10-1: وضع وتوثيق خطة الدفاع عن الغذاء (Food Defense Plan) تحدد التهديدات المحتملة للتلوث المتعمد أو الضار للمنتجات، وتقييم نقاط الضعف، وتطبيق الإجراءات الوقائية لمنع الوصول غير المصرح به إلى مناطق الإنتاج والمواد الخام والمنتج النهائي. (من: مدير الجودة، ماذا: وضع وتطبيق خطة الدفاع، متى: بشكل سنوي، أين: المصنع، كيف: تحليل التهديدات ونقاط الضعف).</w:t>
      </w:r>
      <w:r>
        <w:t xml:space="preserve"> </w:t>
      </w:r>
      <w:r>
        <w:t xml:space="preserve">6-10-2: وضع وتوثيق خطة لتخفيف الغش الغذائي (Food Fraud Mitigation Plan) تحدد الثغرات المحتملة للاحتيال أو الغش في سلسلة التوريد (مثل تغيير مصادر المياه، تزوير مستندات التحاليل)، وتقييم المخاطر، وتطبيق الإجراءات الوقائية للحد من هذه المخاطر. (من: مدير الجودة، ماذا: وضع وتطبيق خطة تخفيف الغش، متى: بشكل سنوي، أين: المصنع، كيف: تحليل المخاطر وتطبيق إجراءات التحقق).</w:t>
      </w:r>
      <w:r>
        <w:t xml:space="preserve"> </w:t>
      </w:r>
      <w:r>
        <w:t xml:space="preserve">6-10-3: تدريب العاملين على أهمية الدفاع عن الغذاء ومنع الغش الغذائي وحثهم على الإبلاغ عن أي أنشطة مشبوهة. (من: مسؤول الموارد البشرية/مدير الجودة، ماذا: تدريب العاملين، متى: بشكل دوري، أين: المصنع، كيف: من خلال برامج توعية).</w:t>
      </w:r>
    </w:p>
    <w:bookmarkEnd w:id="26"/>
    <w:bookmarkEnd w:id="27"/>
    <w:bookmarkStart w:id="2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FSP-18-01</w:t>
            </w:r>
          </w:p>
        </w:tc>
        <w:tc>
          <w:tcPr/>
          <w:p>
            <w:pPr>
              <w:pStyle w:val="Compact"/>
            </w:pPr>
            <w:r>
              <w:t xml:space="preserve">سجل تدقيق PRPs اليومي/الأسبوعي</w:t>
            </w:r>
          </w:p>
        </w:tc>
        <w:tc>
          <w:tcPr/>
          <w:p>
            <w:pPr>
              <w:pStyle w:val="Compact"/>
            </w:pPr>
            <w:r>
              <w:t xml:space="preserve">مدير الإنتاج/المدير الجودة</w:t>
            </w:r>
          </w:p>
        </w:tc>
        <w:tc>
          <w:tcPr/>
          <w:p>
            <w:pPr>
              <w:pStyle w:val="Compact"/>
            </w:pPr>
            <w:r>
              <w:t xml:space="preserve">3 سنوات</w:t>
            </w:r>
          </w:p>
        </w:tc>
        <w:tc>
          <w:tcPr/>
          <w:p>
            <w:pPr>
              <w:pStyle w:val="Compact"/>
            </w:pPr>
            <w:r>
              <w:t xml:space="preserve">تاريخ التدقيق، المنطقة، عناصر PRPs التي تم مراجعتها، الملاحظات، حالات عدم المطابقة، الإجراءات التصحيحية، اسم المراجع، التوقيع.</w:t>
            </w:r>
          </w:p>
        </w:tc>
      </w:tr>
      <w:tr>
        <w:tc>
          <w:tcPr/>
          <w:p>
            <w:pPr>
              <w:pStyle w:val="Compact"/>
            </w:pPr>
            <w:r>
              <w:t xml:space="preserve">FSP-18-02</w:t>
            </w:r>
          </w:p>
        </w:tc>
        <w:tc>
          <w:tcPr/>
          <w:p>
            <w:pPr>
              <w:pStyle w:val="Compact"/>
            </w:pPr>
            <w:r>
              <w:t xml:space="preserve">سجل مراقبة جودة المياه (كيميائي وميكروبي)</w:t>
            </w:r>
          </w:p>
        </w:tc>
        <w:tc>
          <w:tcPr/>
          <w:p>
            <w:pPr>
              <w:pStyle w:val="Compact"/>
            </w:pPr>
            <w:r>
              <w:t xml:space="preserve">مدير الجودة</w:t>
            </w:r>
          </w:p>
        </w:tc>
        <w:tc>
          <w:tcPr/>
          <w:p>
            <w:pPr>
              <w:pStyle w:val="Compact"/>
            </w:pPr>
            <w:r>
              <w:t xml:space="preserve">5 سنوات</w:t>
            </w:r>
          </w:p>
        </w:tc>
        <w:tc>
          <w:tcPr/>
          <w:p>
            <w:pPr>
              <w:pStyle w:val="Compact"/>
            </w:pPr>
            <w:r>
              <w:t xml:space="preserve">تاريخ أخذ العينة، نقطة أخذ العينة، اسم المحلل، نتائج التحاليل، الحدود المسموح بها، الملاحظات، الإجراءات التصحيحية المتخذة.</w:t>
            </w:r>
          </w:p>
        </w:tc>
      </w:tr>
      <w:tr>
        <w:tc>
          <w:tcPr/>
          <w:p>
            <w:pPr>
              <w:pStyle w:val="Compact"/>
            </w:pPr>
            <w:r>
              <w:t xml:space="preserve">FSP-18-03</w:t>
            </w:r>
          </w:p>
        </w:tc>
        <w:tc>
          <w:tcPr/>
          <w:p>
            <w:pPr>
              <w:pStyle w:val="Compact"/>
            </w:pPr>
            <w:r>
              <w:t xml:space="preserve">سجل برنامج التنظيف والتطهير</w:t>
            </w:r>
          </w:p>
        </w:tc>
        <w:tc>
          <w:tcPr/>
          <w:p>
            <w:pPr>
              <w:pStyle w:val="Compact"/>
            </w:pPr>
            <w:r>
              <w:t xml:space="preserve">مدير الإنتاج/الجودة</w:t>
            </w:r>
          </w:p>
        </w:tc>
        <w:tc>
          <w:tcPr/>
          <w:p>
            <w:pPr>
              <w:pStyle w:val="Compact"/>
            </w:pPr>
            <w:r>
              <w:t xml:space="preserve">3 سنوات</w:t>
            </w:r>
          </w:p>
        </w:tc>
        <w:tc>
          <w:tcPr/>
          <w:p>
            <w:pPr>
              <w:pStyle w:val="Compact"/>
            </w:pPr>
            <w:r>
              <w:t xml:space="preserve">تاريخ التنظيف، المنطقة/المعدة، وقت البدء والانتهاء، المواد المستخدمة وتركيزاتها، نتائج التحقق البصري والميكروبي (إن وجدت)، اسم المشرف.</w:t>
            </w:r>
          </w:p>
        </w:tc>
      </w:tr>
      <w:tr>
        <w:tc>
          <w:tcPr/>
          <w:p>
            <w:pPr>
              <w:pStyle w:val="Compact"/>
            </w:pPr>
            <w:r>
              <w:t xml:space="preserve">FSP-18-04</w:t>
            </w:r>
          </w:p>
        </w:tc>
        <w:tc>
          <w:tcPr/>
          <w:p>
            <w:pPr>
              <w:pStyle w:val="Compact"/>
            </w:pPr>
            <w:r>
              <w:t xml:space="preserve">سجل الصيانة الوقائية والتصحيحية</w:t>
            </w:r>
          </w:p>
        </w:tc>
        <w:tc>
          <w:tcPr/>
          <w:p>
            <w:pPr>
              <w:pStyle w:val="Compact"/>
            </w:pPr>
            <w:r>
              <w:t xml:space="preserve">مدير الصيانة</w:t>
            </w:r>
          </w:p>
        </w:tc>
        <w:tc>
          <w:tcPr/>
          <w:p>
            <w:pPr>
              <w:pStyle w:val="Compact"/>
            </w:pPr>
            <w:r>
              <w:t xml:space="preserve">5 سنوات</w:t>
            </w:r>
          </w:p>
        </w:tc>
        <w:tc>
          <w:tcPr/>
          <w:p>
            <w:pPr>
              <w:pStyle w:val="Compact"/>
            </w:pPr>
            <w:r>
              <w:t xml:space="preserve">تاريخ الصيانة، اسم المعدة/المنطقة، نوع الصيانة (وقائية/تصحيحية)، الوصف، اسم الفني، قطع الغيار المستخدمة، التأكد من عدم وجود مخاطر.</w:t>
            </w:r>
          </w:p>
        </w:tc>
      </w:tr>
      <w:tr>
        <w:tc>
          <w:tcPr/>
          <w:p>
            <w:pPr>
              <w:pStyle w:val="Compact"/>
            </w:pPr>
            <w:r>
              <w:t xml:space="preserve">FSP-18-05</w:t>
            </w:r>
          </w:p>
        </w:tc>
        <w:tc>
          <w:tcPr/>
          <w:p>
            <w:pPr>
              <w:pStyle w:val="Compact"/>
            </w:pPr>
            <w:r>
              <w:t xml:space="preserve">سجل فحص النظافة الشخصية والملابس</w:t>
            </w:r>
          </w:p>
        </w:tc>
        <w:tc>
          <w:tcPr/>
          <w:p>
            <w:pPr>
              <w:pStyle w:val="Compact"/>
            </w:pPr>
            <w:r>
              <w:t xml:space="preserve">مشرف الإنتاج/مسؤول الموارد البشرية</w:t>
            </w:r>
          </w:p>
        </w:tc>
        <w:tc>
          <w:tcPr/>
          <w:p>
            <w:pPr>
              <w:pStyle w:val="Compact"/>
            </w:pPr>
            <w:r>
              <w:t xml:space="preserve">1 سنة</w:t>
            </w:r>
          </w:p>
        </w:tc>
        <w:tc>
          <w:tcPr/>
          <w:p>
            <w:pPr>
              <w:pStyle w:val="Compact"/>
            </w:pPr>
            <w:r>
              <w:t xml:space="preserve">تاريخ الفحص، اسم العامل، ملاحظات حول النظافة الشخصية/الملابس، الإجراءات المتخذة.</w:t>
            </w:r>
          </w:p>
        </w:tc>
      </w:tr>
      <w:tr>
        <w:tc>
          <w:tcPr/>
          <w:p>
            <w:pPr>
              <w:pStyle w:val="Compact"/>
            </w:pPr>
            <w:r>
              <w:t xml:space="preserve">FSP-18-06</w:t>
            </w:r>
          </w:p>
        </w:tc>
        <w:tc>
          <w:tcPr/>
          <w:p>
            <w:pPr>
              <w:pStyle w:val="Compact"/>
            </w:pPr>
            <w:r>
              <w:t xml:space="preserve">سجل برنامج مكافحة الآفات</w:t>
            </w:r>
          </w:p>
        </w:tc>
        <w:tc>
          <w:tcPr/>
          <w:p>
            <w:pPr>
              <w:pStyle w:val="Compact"/>
            </w:pPr>
            <w:r>
              <w:t xml:space="preserve">مدير الجودة/مسؤول مكافحة الآفات</w:t>
            </w:r>
          </w:p>
        </w:tc>
        <w:tc>
          <w:tcPr/>
          <w:p>
            <w:pPr>
              <w:pStyle w:val="Compact"/>
            </w:pPr>
            <w:r>
              <w:t xml:space="preserve">3 سنوات</w:t>
            </w:r>
          </w:p>
        </w:tc>
        <w:tc>
          <w:tcPr/>
          <w:p>
            <w:pPr>
              <w:pStyle w:val="Compact"/>
            </w:pPr>
            <w:r>
              <w:t xml:space="preserve">تاريخ الفحص/المعالجة، المنطقة، نوع الآفة، المواد المستخدمة، مواقع الفخاخ، الملاحظات، التوصيات، الإجراءات التصحيحية.</w:t>
            </w:r>
          </w:p>
        </w:tc>
      </w:tr>
      <w:tr>
        <w:tc>
          <w:tcPr/>
          <w:p>
            <w:pPr>
              <w:pStyle w:val="Compact"/>
            </w:pPr>
            <w:r>
              <w:t xml:space="preserve">FSP-18-07</w:t>
            </w:r>
          </w:p>
        </w:tc>
        <w:tc>
          <w:tcPr/>
          <w:p>
            <w:pPr>
              <w:pStyle w:val="Compact"/>
            </w:pPr>
            <w:r>
              <w:t xml:space="preserve">سجل تدريب العاملين (خاص بـ PRPs)</w:t>
            </w:r>
          </w:p>
        </w:tc>
        <w:tc>
          <w:tcPr/>
          <w:p>
            <w:pPr>
              <w:pStyle w:val="Compact"/>
            </w:pPr>
            <w:r>
              <w:t xml:space="preserve">مسؤول الموارد البشرية</w:t>
            </w:r>
          </w:p>
        </w:tc>
        <w:tc>
          <w:tcPr/>
          <w:p>
            <w:pPr>
              <w:pStyle w:val="Compact"/>
            </w:pPr>
            <w:r>
              <w:t xml:space="preserve">5 سنوات (أو مدة خدمة العامل)</w:t>
            </w:r>
          </w:p>
        </w:tc>
        <w:tc>
          <w:tcPr/>
          <w:p>
            <w:pPr>
              <w:pStyle w:val="Compact"/>
            </w:pPr>
            <w:r>
              <w:t xml:space="preserve">تاريخ التدريب، موضوع التدريب، أسماء المتدربين، المدرب، نتائج التقييم (إن وجدت).</w:t>
            </w:r>
          </w:p>
        </w:tc>
      </w:tr>
      <w:tr>
        <w:tc>
          <w:tcPr/>
          <w:p>
            <w:pPr>
              <w:pStyle w:val="Compact"/>
            </w:pPr>
            <w:r>
              <w:t xml:space="preserve">FSP-18-08</w:t>
            </w:r>
          </w:p>
        </w:tc>
        <w:tc>
          <w:tcPr/>
          <w:p>
            <w:pPr>
              <w:pStyle w:val="Compact"/>
            </w:pPr>
            <w:r>
              <w:t xml:space="preserve">سجل مراجعة خطة الدفاع عن الغذاء/الغش الغذائي</w:t>
            </w:r>
          </w:p>
        </w:tc>
        <w:tc>
          <w:tcPr/>
          <w:p>
            <w:pPr>
              <w:pStyle w:val="Compact"/>
            </w:pPr>
            <w:r>
              <w:t xml:space="preserve">مدير الجودة</w:t>
            </w:r>
          </w:p>
        </w:tc>
        <w:tc>
          <w:tcPr/>
          <w:p>
            <w:pPr>
              <w:pStyle w:val="Compact"/>
            </w:pPr>
            <w:r>
              <w:t xml:space="preserve">5 سنوات</w:t>
            </w:r>
          </w:p>
        </w:tc>
        <w:tc>
          <w:tcPr/>
          <w:p>
            <w:pPr>
              <w:pStyle w:val="Compact"/>
            </w:pPr>
            <w:r>
              <w:t xml:space="preserve">تاريخ المراجعة، نتائج تقييم المخاطر، التغييرات في الخطة، الإجراءات المتخذة.</w:t>
            </w:r>
          </w:p>
        </w:tc>
      </w:tr>
    </w:tbl>
    <w:bookmarkEnd w:id="28"/>
    <w:bookmarkStart w:id="2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نسبة الامتثال لبرامج المتطلبات الأولية</w:t>
      </w:r>
      <w:r>
        <w:t xml:space="preserve">: (عدد نقاط الامتثال / إجمالي نقاط المراجعة) * 100%. (هدف: لا يقل عن 98% في المراجعات الداخلية، 100% في المراجعات الخارجية FSSC/NFSA).</w:t>
      </w:r>
    </w:p>
    <w:p>
      <w:pPr>
        <w:pStyle w:val="Compact"/>
        <w:numPr>
          <w:ilvl w:val="0"/>
          <w:numId w:val="1003"/>
        </w:numPr>
      </w:pPr>
      <w:r>
        <w:rPr>
          <w:b/>
          <w:bCs/>
        </w:rPr>
        <w:t xml:space="preserve">عدد حالات عدم المطابقة المتعلقة بـ PRPs (صادرة من المراجعات الداخلية/الخارجية)</w:t>
      </w:r>
      <w:r>
        <w:t xml:space="preserve">: (هدف: انخفاض بنسبة 10% سنوياً).</w:t>
      </w:r>
    </w:p>
    <w:p>
      <w:pPr>
        <w:pStyle w:val="Compact"/>
        <w:numPr>
          <w:ilvl w:val="0"/>
          <w:numId w:val="1003"/>
        </w:numPr>
      </w:pPr>
      <w:r>
        <w:rPr>
          <w:b/>
          <w:bCs/>
        </w:rPr>
        <w:t xml:space="preserve">نسبة اكتمال برامج الصيانة الوقائية</w:t>
      </w:r>
      <w:r>
        <w:t xml:space="preserve">: (عدد المهام المكتملة / إجمالي المهام المجدولة) * 100%. (هدف: 95%).</w:t>
      </w:r>
    </w:p>
    <w:p>
      <w:pPr>
        <w:pStyle w:val="Compact"/>
        <w:numPr>
          <w:ilvl w:val="0"/>
          <w:numId w:val="1003"/>
        </w:numPr>
      </w:pPr>
      <w:r>
        <w:rPr>
          <w:b/>
          <w:bCs/>
        </w:rPr>
        <w:t xml:space="preserve">نتائج التحاليل الميكروبية للأسطح الملامسة للمنتج</w:t>
      </w:r>
      <w:r>
        <w:t xml:space="preserve">: (هدف: 100% مطابقة للمواصفات).</w:t>
      </w:r>
    </w:p>
    <w:p>
      <w:pPr>
        <w:pStyle w:val="Compact"/>
        <w:numPr>
          <w:ilvl w:val="0"/>
          <w:numId w:val="1003"/>
        </w:numPr>
      </w:pPr>
      <w:r>
        <w:rPr>
          <w:b/>
          <w:bCs/>
        </w:rPr>
        <w:t xml:space="preserve">عدد شكاوى العملاء المتعلقة بسلامة المنتج بسبب فشل PRPs</w:t>
      </w:r>
      <w:r>
        <w:t xml:space="preserve">: (هدف: صفر).</w:t>
      </w:r>
    </w:p>
    <w:p>
      <w:pPr>
        <w:pStyle w:val="Compact"/>
        <w:numPr>
          <w:ilvl w:val="0"/>
          <w:numId w:val="1003"/>
        </w:numPr>
      </w:pPr>
      <w:r>
        <w:rPr>
          <w:b/>
          <w:bCs/>
        </w:rPr>
        <w:t xml:space="preserve">نسبة اكتمال تدريب العاملين على PRPs والنظافة الشخصية</w:t>
      </w:r>
      <w:r>
        <w:t xml:space="preserve">: (هدف: 100% لجميع العاملين الجدد والقدامى بشكل دوري).</w:t>
      </w:r>
    </w:p>
    <w:p>
      <w:pPr>
        <w:pStyle w:val="Compact"/>
        <w:numPr>
          <w:ilvl w:val="0"/>
          <w:numId w:val="1003"/>
        </w:numPr>
      </w:pPr>
      <w:r>
        <w:rPr>
          <w:b/>
          <w:bCs/>
        </w:rPr>
        <w:t xml:space="preserve">فاعلية برنامج مكافحة الآفات</w:t>
      </w:r>
      <w:r>
        <w:t xml:space="preserve">: (مؤشر: عدم وجود علامات للآفات في مناطق الإنتاج).</w:t>
      </w:r>
    </w:p>
    <w:p>
      <w:r>
        <w:pict>
          <v:rect style="width:0;height:1.5pt" o:hralign="center" o:hrstd="t" o:hr="t"/>
        </w:pict>
      </w:r>
    </w:p>
    <w:bookmarkEnd w:id="29"/>
    <w:bookmarkStart w:id="3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30"/>
    <w:bookmarkStart w:id="3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1"/>
    <w:bookmarkStart w:id="3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18 - FSP-18</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2026-06-29T08:43:14Z</dcterms:created>
  <dcterms:modified xsi:type="dcterms:W3CDTF">2026-06-29T08:43:14Z</dcterms:modified>
</cp:coreProperties>
</file>

<file path=docProps/custom.xml><?xml version="1.0" encoding="utf-8"?>
<Properties xmlns="http://schemas.openxmlformats.org/officeDocument/2006/custom-properties" xmlns:vt="http://schemas.openxmlformats.org/officeDocument/2006/docPropsVTypes"/>
</file>