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10" w:name="شركة-لإنتاج-وتعبئة-المياه-الطبيعية"/>
    <w:p>
      <w:pPr>
        <w:pStyle w:val="Heading1"/>
      </w:pPr>
      <w:r>
        <w:t xml:space="preserve">شركة لإنتاج وتعبئة المياه الطبيعية</w:t>
      </w:r>
    </w:p>
    <w:bookmarkStart w:id="9" w:name="company-co."/>
    <w:p>
      <w:pPr>
        <w:pStyle w:val="Heading2"/>
      </w:pPr>
      <w:r>
        <w:t xml:space="preserve">Company Co.</w:t>
      </w:r>
    </w:p>
    <w:p>
      <w:pPr>
        <w:pStyle w:val="FirstParagraph"/>
      </w:pPr>
    </w:p>
    <w:bookmarkEnd w:id="9"/>
    <w:bookmarkEnd w:id="10"/>
    <w:bookmarkStart w:id="11" w:name="X0950273a0c4a2ee743e219778b8bdbba10ccc53"/>
    <w:p>
      <w:pPr>
        <w:pStyle w:val="Heading1"/>
      </w:pPr>
      <w:r>
        <w:t xml:space="preserve">تطوير وتطبيق خطة تحليل المخاطر وتحديد النقاط الحرجة (HACCP)</w:t>
      </w:r>
    </w:p>
    <w:p>
      <w:pPr>
        <w:pStyle w:val="FirstParagraph"/>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البيان</w:t>
            </w:r>
          </w:p>
        </w:tc>
        <w:tc>
          <w:tcPr/>
          <w:p>
            <w:pPr>
              <w:pStyle w:val="Compact"/>
            </w:pPr>
            <w:r>
              <w:t xml:space="preserve">التفصيل</w:t>
            </w:r>
          </w:p>
        </w:tc>
      </w:tr>
      <w:tr>
        <w:tc>
          <w:tcPr/>
          <w:p>
            <w:pPr>
              <w:pStyle w:val="Compact"/>
            </w:pPr>
            <w:r>
              <w:rPr>
                <w:b/>
                <w:bCs/>
              </w:rPr>
              <w:t xml:space="preserve">اسم الإجراء</w:t>
            </w:r>
          </w:p>
        </w:tc>
        <w:tc>
          <w:tcPr/>
          <w:p>
            <w:pPr>
              <w:pStyle w:val="Compact"/>
            </w:pPr>
            <w:r>
              <w:t xml:space="preserve">تطوير وتطبيق خطة تحليل المخاطر وتحديد النقاط الحرجة (HACCP)</w:t>
            </w:r>
          </w:p>
        </w:tc>
      </w:tr>
      <w:tr>
        <w:tc>
          <w:tcPr/>
          <w:p>
            <w:pPr>
              <w:pStyle w:val="Compact"/>
            </w:pPr>
            <w:r>
              <w:rPr>
                <w:b/>
                <w:bCs/>
              </w:rPr>
              <w:t xml:space="preserve">كود الوثيقة</w:t>
            </w:r>
          </w:p>
        </w:tc>
        <w:tc>
          <w:tcPr/>
          <w:p>
            <w:pPr>
              <w:pStyle w:val="Compact"/>
            </w:pPr>
            <w:r>
              <w:t xml:space="preserve">FSP-26</w:t>
            </w:r>
          </w:p>
        </w:tc>
      </w:tr>
      <w:tr>
        <w:tc>
          <w:tcPr/>
          <w:p>
            <w:pPr>
              <w:pStyle w:val="Compact"/>
            </w:pPr>
            <w:r>
              <w:rPr>
                <w:b/>
                <w:bCs/>
              </w:rPr>
              <w:t xml:space="preserve">رقم الإصدار</w:t>
            </w:r>
          </w:p>
        </w:tc>
        <w:tc>
          <w:tcPr/>
          <w:p>
            <w:pPr>
              <w:pStyle w:val="Compact"/>
            </w:pPr>
            <w:r>
              <w:t xml:space="preserve">02</w:t>
            </w:r>
          </w:p>
        </w:tc>
      </w:tr>
      <w:tr>
        <w:tc>
          <w:tcPr/>
          <w:p>
            <w:pPr>
              <w:pStyle w:val="Compact"/>
            </w:pPr>
            <w:r>
              <w:rPr>
                <w:b/>
                <w:bCs/>
              </w:rPr>
              <w:t xml:space="preserve">تاريخ الاعتماد</w:t>
            </w:r>
          </w:p>
        </w:tc>
        <w:tc>
          <w:tcPr/>
          <w:p>
            <w:pPr>
              <w:pStyle w:val="Compact"/>
            </w:pPr>
            <w:r>
              <w:t xml:space="preserve">01/06/2026</w:t>
            </w:r>
          </w:p>
        </w:tc>
      </w:tr>
      <w:tr>
        <w:tc>
          <w:tcPr/>
          <w:p>
            <w:pPr>
              <w:pStyle w:val="Compact"/>
            </w:pPr>
            <w:r>
              <w:rPr>
                <w:b/>
                <w:bCs/>
              </w:rPr>
              <w:t xml:space="preserve">تاريخ المراجعة القادمة</w:t>
            </w:r>
          </w:p>
        </w:tc>
        <w:tc>
          <w:tcPr/>
          <w:p>
            <w:pPr>
              <w:pStyle w:val="Compact"/>
            </w:pPr>
            <w:r>
              <w:t xml:space="preserve">01/06/2027</w:t>
            </w:r>
          </w:p>
        </w:tc>
      </w:tr>
      <w:tr>
        <w:tc>
          <w:tcPr/>
          <w:p>
            <w:pPr>
              <w:pStyle w:val="Compact"/>
            </w:pPr>
            <w:r>
              <w:rPr>
                <w:b/>
                <w:bCs/>
              </w:rPr>
              <w:t xml:space="preserve">أعدّ بواسطة</w:t>
            </w:r>
          </w:p>
        </w:tc>
        <w:tc>
          <w:tcPr/>
          <w:p>
            <w:pPr>
              <w:pStyle w:val="Compact"/>
            </w:pPr>
            <w:r>
              <w:t xml:space="preserve">مسؤول ضمان الجودة</w:t>
            </w:r>
          </w:p>
        </w:tc>
      </w:tr>
      <w:tr>
        <w:tc>
          <w:tcPr/>
          <w:p>
            <w:pPr>
              <w:pStyle w:val="Compact"/>
            </w:pPr>
            <w:r>
              <w:rPr>
                <w:b/>
                <w:bCs/>
              </w:rPr>
              <w:t xml:space="preserve">اعتُمد بواسطة</w:t>
            </w:r>
          </w:p>
        </w:tc>
        <w:tc>
          <w:tcPr/>
          <w:p>
            <w:pPr>
              <w:pStyle w:val="Compact"/>
            </w:pPr>
            <w:r>
              <w:t xml:space="preserve">المدير العام</w:t>
            </w:r>
          </w:p>
        </w:tc>
      </w:tr>
    </w:tbl>
    <w:bookmarkEnd w:id="11"/>
    <w:p>
      <w:r>
        <w:pict>
          <v:rect style="width:0;height:1.5pt" o:hralign="center" o:hrstd="t" o:hr="t"/>
        </w:pict>
      </w:r>
    </w:p>
    <w:bookmarkStart w:id="34" w:name="X662ecf2a7bf1d9719d90ae9fe3f493a517086c7"/>
    <w:p>
      <w:pPr>
        <w:pStyle w:val="Heading1"/>
      </w:pPr>
      <w:r>
        <w:t xml:space="preserve">الإجراء رقم 26: تطوير وتطبيق خطة تحليل المخاطر وتحديد النقاط الحرجة (HACCP)</w:t>
      </w:r>
    </w:p>
    <w:bookmarkStart w:id="12" w:name="الغرض-purpose"/>
    <w:p>
      <w:pPr>
        <w:pStyle w:val="Heading2"/>
      </w:pPr>
      <w:r>
        <w:t xml:space="preserve">1. الغرض (Purpose)</w:t>
      </w:r>
    </w:p>
    <w:p>
      <w:pPr>
        <w:pStyle w:val="FirstParagraph"/>
      </w:pPr>
      <w:r>
        <w:t xml:space="preserve">يهدف هذا الإجراء إلى وضع منهجية منظمة وموثقة لسلامة الغذاء تتوافق مع متطلبات ISO 22000:2018 و FSSC 22000 v6 و Codex Alimentarius CAC/RCP 1-1969، من خلال تحديد وتقييم وتحليل الأخطار المحتملة المتعلقة بسلامة الغذاء، ثم تحديد التدابير الرقابية اللازمة (OPRPs و CCPs) للتحكم فيها بفعالية طوال سلسلة الغذاء، بدءًا من استلام المواد الخام وحتى تسليم المنتج النهائي. يضمن هذا الإجراء إنتاج مياه طبيعية معبأة آمنة وصحية ومطابقة للمواصفة القياسية المصرية ES 1589/2023 و ES 190 ومتطلبات لائحة الهيئة القومية لسلامة الغذاء (NFSA) قرار 6/2023 وتعديلاته.</w:t>
      </w:r>
    </w:p>
    <w:bookmarkEnd w:id="12"/>
    <w:bookmarkStart w:id="13" w:name="النطاق-scope"/>
    <w:p>
      <w:pPr>
        <w:pStyle w:val="Heading2"/>
      </w:pPr>
      <w:r>
        <w:t xml:space="preserve">2. النطاق (Scope)</w:t>
      </w:r>
    </w:p>
    <w:p>
      <w:pPr>
        <w:pStyle w:val="FirstParagraph"/>
      </w:pPr>
      <w:r>
        <w:t xml:space="preserve">يطبق هذا الإجراء على جميع مراحل سلسلة الغذاء داخل منشأة Company لإنتاج وتعبئة المياه الطبيعية، والتي تشمل استلام المواد الخام (المياه الجوفية ومواد التعبئة والتغليف)، عمليات المعالجة (الترشيح، التعقيم، التناضح العكسي)، التعبئة، التخزين، وأي عملية أخرى قد تؤثر على سلامة منتجات الشركة من المياه الطبيعية المعبأة بمختلف السعات (330 مل، 600 مل، 1.5 لتر، 5 لتر، وجوالين 19 لتر).</w:t>
      </w:r>
    </w:p>
    <w:bookmarkEnd w:id="13"/>
    <w:bookmarkStart w:id="14" w:name="التعريفات-والمختصرات"/>
    <w:p>
      <w:pPr>
        <w:pStyle w:val="Heading2"/>
      </w:pPr>
      <w:r>
        <w:t xml:space="preserve">3. التعريفات والمختصرات</w:t>
      </w:r>
    </w:p>
    <w:p>
      <w:pPr>
        <w:pStyle w:val="Compact"/>
        <w:numPr>
          <w:ilvl w:val="0"/>
          <w:numId w:val="1001"/>
        </w:numPr>
      </w:pPr>
      <w:r>
        <w:rPr>
          <w:b/>
          <w:bCs/>
        </w:rPr>
        <w:t xml:space="preserve">HACCP (Hazard Analysis and Critical Control Point)</w:t>
      </w:r>
      <w:r>
        <w:t xml:space="preserve">: نظام يضمن سلامة الغذاء من خلال تحديد وتقييم ومراقبة المخاطر الكيميائية والبيولوجية والفيزيائية ذات الصلة بسلامة الغذاء.</w:t>
      </w:r>
    </w:p>
    <w:p>
      <w:pPr>
        <w:pStyle w:val="Compact"/>
        <w:numPr>
          <w:ilvl w:val="0"/>
          <w:numId w:val="1001"/>
        </w:numPr>
      </w:pPr>
      <w:r>
        <w:rPr>
          <w:b/>
          <w:bCs/>
        </w:rPr>
        <w:t xml:space="preserve">CCP (Critical Control Point)</w:t>
      </w:r>
      <w:r>
        <w:t xml:space="preserve">: نقطة أو خطوة أو إجراء يمكن تطبيق التحكم فيه حيث يكون عنصر التحكم ضروريًا لمنع أو القضاء على خطر يهدد سلامة الغذاء أو تقليله إلى مستوى مقبول.</w:t>
      </w:r>
    </w:p>
    <w:p>
      <w:pPr>
        <w:pStyle w:val="Compact"/>
        <w:numPr>
          <w:ilvl w:val="0"/>
          <w:numId w:val="1001"/>
        </w:numPr>
      </w:pPr>
      <w:r>
        <w:rPr>
          <w:b/>
          <w:bCs/>
        </w:rPr>
        <w:t xml:space="preserve">OPRP (Operational Prerequisite Program)</w:t>
      </w:r>
      <w:r>
        <w:t xml:space="preserve">: برنامج وقائي ضروري ومحدد للتحكم في الأخطار المحتملة على سلامة الغذاء بشكل مباشر وتخفيض احتمال حدوثها أو انتشارها، عن طريق التحكم في بيئة التشغيل أو المنتج.</w:t>
      </w:r>
    </w:p>
    <w:p>
      <w:pPr>
        <w:pStyle w:val="Compact"/>
        <w:numPr>
          <w:ilvl w:val="0"/>
          <w:numId w:val="1001"/>
        </w:numPr>
      </w:pPr>
      <w:r>
        <w:rPr>
          <w:b/>
          <w:bCs/>
        </w:rPr>
        <w:t xml:space="preserve">PRP (Prerequisite Program)</w:t>
      </w:r>
      <w:r>
        <w:t xml:space="preserve">: برامج أساسية وشروط لازمة قبل وأثناء تطبيق HACCP للحفاظ على بيئة صحية ومناسبة لمعالجة وتداول الغذاء وتصنيعه.</w:t>
      </w:r>
    </w:p>
    <w:p>
      <w:pPr>
        <w:pStyle w:val="Compact"/>
        <w:numPr>
          <w:ilvl w:val="0"/>
          <w:numId w:val="1001"/>
        </w:numPr>
      </w:pPr>
      <w:r>
        <w:rPr>
          <w:b/>
          <w:bCs/>
        </w:rPr>
        <w:t xml:space="preserve">O3 (الأوزون)</w:t>
      </w:r>
      <w:r>
        <w:t xml:space="preserve">: عامل مؤكسد قوي يستخدم للتعقيم، خاصة في معالجة المياه.</w:t>
      </w:r>
    </w:p>
    <w:p>
      <w:pPr>
        <w:pStyle w:val="Compact"/>
        <w:numPr>
          <w:ilvl w:val="0"/>
          <w:numId w:val="1001"/>
        </w:numPr>
      </w:pPr>
      <w:r>
        <w:rPr>
          <w:b/>
          <w:bCs/>
        </w:rPr>
        <w:t xml:space="preserve">UV (الأشعة فوق البنفسجية)</w:t>
      </w:r>
      <w:r>
        <w:t xml:space="preserve">: تقنية تعقيم تستخدم الإشعاع لقتل الكائنات الدقيقة.</w:t>
      </w:r>
    </w:p>
    <w:p>
      <w:pPr>
        <w:pStyle w:val="Compact"/>
        <w:numPr>
          <w:ilvl w:val="0"/>
          <w:numId w:val="1001"/>
        </w:numPr>
      </w:pPr>
      <w:r>
        <w:rPr>
          <w:b/>
          <w:bCs/>
        </w:rPr>
        <w:t xml:space="preserve">RO (التناضح العكسي)</w:t>
      </w:r>
      <w:r>
        <w:t xml:space="preserve">: تقنية فصل تستخدم لإزالة الأملاح والمعادن من الماء.</w:t>
      </w:r>
    </w:p>
    <w:p>
      <w:pPr>
        <w:pStyle w:val="Compact"/>
        <w:numPr>
          <w:ilvl w:val="0"/>
          <w:numId w:val="1001"/>
        </w:numPr>
      </w:pPr>
      <w:r>
        <w:rPr>
          <w:b/>
          <w:bCs/>
        </w:rPr>
        <w:t xml:space="preserve">NTU (Nephelometric Turbidity Unit)</w:t>
      </w:r>
      <w:r>
        <w:t xml:space="preserve">: وحدة قياس العكارة.</w:t>
      </w:r>
    </w:p>
    <w:p>
      <w:pPr>
        <w:pStyle w:val="Compact"/>
        <w:numPr>
          <w:ilvl w:val="0"/>
          <w:numId w:val="1001"/>
        </w:numPr>
      </w:pPr>
      <w:r>
        <w:rPr>
          <w:b/>
          <w:bCs/>
        </w:rPr>
        <w:t xml:space="preserve">TDS (Total Dissolved Solids)</w:t>
      </w:r>
      <w:r>
        <w:t xml:space="preserve">: إجمالي المواد الصلبة الذائبة في الماء.</w:t>
      </w:r>
    </w:p>
    <w:p>
      <w:pPr>
        <w:pStyle w:val="Compact"/>
        <w:numPr>
          <w:ilvl w:val="0"/>
          <w:numId w:val="1001"/>
        </w:numPr>
      </w:pPr>
      <w:r>
        <w:rPr>
          <w:b/>
          <w:bCs/>
        </w:rPr>
        <w:t xml:space="preserve">NFSA (الهيئة القومية لسلامة الغذاء)</w:t>
      </w:r>
      <w:r>
        <w:t xml:space="preserve">: الجهة الرقابية المصرية المسؤولة عن تنظيم وتفتيش قطاع سلامة الغذاء.</w:t>
      </w:r>
    </w:p>
    <w:p>
      <w:pPr>
        <w:pStyle w:val="Compact"/>
        <w:numPr>
          <w:ilvl w:val="0"/>
          <w:numId w:val="1001"/>
        </w:numPr>
      </w:pPr>
      <w:r>
        <w:rPr>
          <w:b/>
          <w:bCs/>
        </w:rPr>
        <w:t xml:space="preserve">Codex Alimentarius</w:t>
      </w:r>
      <w:r>
        <w:t xml:space="preserve">: مجموعة من المعايير والمبادئ التوجيهية الدولية في مجال الغذاء.</w:t>
      </w:r>
    </w:p>
    <w:p>
      <w:pPr>
        <w:pStyle w:val="Compact"/>
        <w:numPr>
          <w:ilvl w:val="0"/>
          <w:numId w:val="1001"/>
        </w:numPr>
      </w:pPr>
      <w:r>
        <w:rPr>
          <w:b/>
          <w:bCs/>
        </w:rPr>
        <w:t xml:space="preserve">Food Fraud</w:t>
      </w:r>
      <w:r>
        <w:t xml:space="preserve">: الخداع الاقتصادي المتعمد باستخدام الغذاء (مثل التزوير، التخفيف) للحصول على مكاسب غير مشروعة.</w:t>
      </w:r>
    </w:p>
    <w:p>
      <w:pPr>
        <w:pStyle w:val="Compact"/>
        <w:numPr>
          <w:ilvl w:val="0"/>
          <w:numId w:val="1001"/>
        </w:numPr>
      </w:pPr>
      <w:r>
        <w:rPr>
          <w:b/>
          <w:bCs/>
        </w:rPr>
        <w:t xml:space="preserve">Food Quality</w:t>
      </w:r>
      <w:r>
        <w:t xml:space="preserve">: جودة المنتج غير المتعلقة بالسلامة (مثل الطعم، الرائحة، المظهر، الخصائص الحسية).</w:t>
      </w:r>
    </w:p>
    <w:bookmarkEnd w:id="14"/>
    <w:bookmarkStart w:id="15" w:name="المراجع-references"/>
    <w:p>
      <w:pPr>
        <w:pStyle w:val="Heading2"/>
      </w:pPr>
      <w:r>
        <w:t xml:space="preserve">4. المراجع (References)</w:t>
      </w:r>
    </w:p>
    <w:p>
      <w:pPr>
        <w:pStyle w:val="Compact"/>
        <w:numPr>
          <w:ilvl w:val="0"/>
          <w:numId w:val="1002"/>
        </w:numPr>
      </w:pPr>
      <w:r>
        <w:rPr>
          <w:b/>
          <w:bCs/>
        </w:rPr>
        <w:t xml:space="preserve">ISO 22000:2018</w:t>
      </w:r>
      <w:r>
        <w:t xml:space="preserve">: بنود 8.5.2، 8.5.3، 8.5.4، 8.5.5، 8.5.6، 8.6، 8.7، 8.8، 8.9، 8.4.4، 7.5.3.2.b</w:t>
      </w:r>
    </w:p>
    <w:p>
      <w:pPr>
        <w:pStyle w:val="Compact"/>
        <w:numPr>
          <w:ilvl w:val="0"/>
          <w:numId w:val="1002"/>
        </w:numPr>
      </w:pPr>
      <w:r>
        <w:rPr>
          <w:b/>
          <w:bCs/>
        </w:rPr>
        <w:t xml:space="preserve">ISO 9001:2015</w:t>
      </w:r>
      <w:r>
        <w:t xml:space="preserve">: بنود 4.2، 4.3، 5.1، 6.1، 7.5.1</w:t>
      </w:r>
    </w:p>
    <w:p>
      <w:pPr>
        <w:pStyle w:val="Compact"/>
        <w:numPr>
          <w:ilvl w:val="0"/>
          <w:numId w:val="1002"/>
        </w:numPr>
      </w:pPr>
      <w:r>
        <w:rPr>
          <w:b/>
          <w:bCs/>
        </w:rPr>
        <w:t xml:space="preserve">Codex Alimentarius CAC/RCP 1-1969 (HACCP)</w:t>
      </w:r>
      <w:r>
        <w:t xml:space="preserve">: المبادئ السبعة (1-7) لتطبيق نظام الهاسب، وشجرة القرار (Decision Tree).</w:t>
      </w:r>
    </w:p>
    <w:p>
      <w:pPr>
        <w:pStyle w:val="Compact"/>
        <w:numPr>
          <w:ilvl w:val="0"/>
          <w:numId w:val="1002"/>
        </w:numPr>
      </w:pPr>
      <w:r>
        <w:rPr>
          <w:b/>
          <w:bCs/>
        </w:rPr>
        <w:t xml:space="preserve">FSSC 22000 v6</w:t>
      </w:r>
      <w:r>
        <w:t xml:space="preserve">: الجزء 2، بنود 2.1.2.c، 2.5.4، ومتطلبات ISO/TS 22002-1 (PRPs) بنود 1.4، 7.3، 16.2.</w:t>
      </w:r>
    </w:p>
    <w:p>
      <w:pPr>
        <w:pStyle w:val="Compact"/>
        <w:numPr>
          <w:ilvl w:val="0"/>
          <w:numId w:val="1002"/>
        </w:numPr>
      </w:pPr>
      <w:r>
        <w:rPr>
          <w:b/>
          <w:bCs/>
        </w:rPr>
        <w:t xml:space="preserve">المواصفة القياسية المصرية ES 1589/2023</w:t>
      </w:r>
      <w:r>
        <w:t xml:space="preserve">: مياه الشرب المعبأة.</w:t>
      </w:r>
    </w:p>
    <w:p>
      <w:pPr>
        <w:pStyle w:val="Compact"/>
        <w:numPr>
          <w:ilvl w:val="0"/>
          <w:numId w:val="1002"/>
        </w:numPr>
      </w:pPr>
      <w:r>
        <w:rPr>
          <w:b/>
          <w:bCs/>
        </w:rPr>
        <w:t xml:space="preserve">المواصفة القياسية المصرية ES 190</w:t>
      </w:r>
      <w:r>
        <w:t xml:space="preserve">: مياه معدنية طبيعية.</w:t>
      </w:r>
    </w:p>
    <w:p>
      <w:pPr>
        <w:pStyle w:val="Compact"/>
        <w:numPr>
          <w:ilvl w:val="0"/>
          <w:numId w:val="1002"/>
        </w:numPr>
      </w:pPr>
      <w:r>
        <w:rPr>
          <w:b/>
          <w:bCs/>
        </w:rPr>
        <w:t xml:space="preserve">لائحة الهيئة القومية لسلامة الغذاء (NFSA)</w:t>
      </w:r>
      <w:r>
        <w:t xml:space="preserve">: قرار 6/2023 وتعديلاته، المواد 10، 12، 18، 20.</w:t>
      </w:r>
    </w:p>
    <w:p>
      <w:pPr>
        <w:pStyle w:val="Compact"/>
        <w:numPr>
          <w:ilvl w:val="0"/>
          <w:numId w:val="1002"/>
        </w:numPr>
      </w:pPr>
      <w:r>
        <w:rPr>
          <w:b/>
          <w:bCs/>
        </w:rPr>
        <w:t xml:space="preserve">قرار وزير الصحة رقم 458/2007</w:t>
      </w:r>
      <w:r>
        <w:t xml:space="preserve">: ولائحته التنفيذية بشأن المياه الطبيعية والعبوات.</w:t>
      </w:r>
    </w:p>
    <w:bookmarkEnd w:id="15"/>
    <w:bookmarkStart w:id="16" w:name="المسؤوليات-responsibilities"/>
    <w:p>
      <w:pPr>
        <w:pStyle w:val="Heading2"/>
      </w:pPr>
      <w:r>
        <w:t xml:space="preserve">5. المسؤوليات (Responsibilities)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الدور/الوظيفة</w:t>
            </w:r>
          </w:p>
        </w:tc>
        <w:tc>
          <w:tcPr/>
          <w:p>
            <w:pPr>
              <w:pStyle w:val="Compact"/>
            </w:pPr>
            <w:r>
              <w:t xml:space="preserve">الإعداد (R)</w:t>
            </w:r>
          </w:p>
        </w:tc>
        <w:tc>
          <w:tcPr/>
          <w:p>
            <w:pPr>
              <w:pStyle w:val="Compact"/>
            </w:pPr>
            <w:r>
              <w:t xml:space="preserve">المراجعة (A)</w:t>
            </w:r>
          </w:p>
        </w:tc>
        <w:tc>
          <w:tcPr/>
          <w:p>
            <w:pPr>
              <w:pStyle w:val="Compact"/>
            </w:pPr>
            <w:r>
              <w:t xml:space="preserve">الاعتماد (C)</w:t>
            </w:r>
          </w:p>
        </w:tc>
        <w:tc>
          <w:tcPr/>
          <w:p>
            <w:pPr>
              <w:pStyle w:val="Compact"/>
            </w:pPr>
            <w:r>
              <w:t xml:space="preserve">التنفيذ (I)</w:t>
            </w:r>
          </w:p>
        </w:tc>
        <w:tc>
          <w:tcPr/>
          <w:p>
            <w:pPr>
              <w:pStyle w:val="Compact"/>
            </w:pPr>
            <w:r>
              <w:t xml:space="preserve">مراجعة الفعالية (I/R)</w:t>
            </w:r>
          </w:p>
        </w:tc>
      </w:tr>
      <w:tr>
        <w:tc>
          <w:tcPr/>
          <w:p>
            <w:pPr>
              <w:pStyle w:val="Compact"/>
            </w:pPr>
            <w:r>
              <w:rPr>
                <w:b/>
                <w:bCs/>
              </w:rPr>
              <w:t xml:space="preserve">مدير الجودة (قائد فريق سلامة الغذاء)</w:t>
            </w:r>
          </w:p>
        </w:tc>
        <w:tc>
          <w:tcPr/>
          <w:p>
            <w:pPr>
              <w:pStyle w:val="Compact"/>
            </w:pPr>
            <w:r>
              <w:t xml:space="preserve">R</w:t>
            </w:r>
          </w:p>
        </w:tc>
        <w:tc>
          <w:tcPr/>
          <w:p>
            <w:pPr>
              <w:pStyle w:val="Compact"/>
            </w:pPr>
            <w:r>
              <w:t xml:space="preserve">A</w:t>
            </w:r>
          </w:p>
        </w:tc>
        <w:tc>
          <w:tcPr/>
          <w:p>
            <w:pPr>
              <w:pStyle w:val="Compact"/>
            </w:pPr>
            <w:r>
              <w:t xml:space="preserve">C (للفريق)</w:t>
            </w:r>
          </w:p>
        </w:tc>
        <w:tc>
          <w:tcPr/>
          <w:p>
            <w:pPr>
              <w:pStyle w:val="Compact"/>
            </w:pPr>
            <w:r>
              <w:t xml:space="preserve">I</w:t>
            </w:r>
          </w:p>
        </w:tc>
        <w:tc>
          <w:tcPr/>
          <w:p>
            <w:pPr>
              <w:pStyle w:val="Compact"/>
            </w:pPr>
            <w:r>
              <w:t xml:space="preserve">I</w:t>
            </w:r>
          </w:p>
        </w:tc>
      </w:tr>
      <w:tr>
        <w:tc>
          <w:tcPr/>
          <w:p>
            <w:pPr>
              <w:pStyle w:val="Compact"/>
            </w:pPr>
            <w:r>
              <w:rPr>
                <w:b/>
                <w:bCs/>
              </w:rPr>
              <w:t xml:space="preserve">فريق سلامة الغذاء</w:t>
            </w:r>
          </w:p>
        </w:tc>
        <w:tc>
          <w:tcPr/>
          <w:p>
            <w:pPr>
              <w:pStyle w:val="Compact"/>
            </w:pPr>
            <w:r>
              <w:t xml:space="preserve">R</w:t>
            </w:r>
          </w:p>
        </w:tc>
        <w:tc>
          <w:tcPr/>
          <w:p>
            <w:pPr>
              <w:pStyle w:val="Compact"/>
            </w:pPr>
            <w:r>
              <w:t xml:space="preserve">A</w:t>
            </w:r>
          </w:p>
        </w:tc>
        <w:tc>
          <w:tcPr/>
          <w:p>
            <w:pPr>
              <w:pStyle w:val="Compact"/>
            </w:pPr>
            <w:r>
              <w:t xml:space="preserve">I (للاعتماد)</w:t>
            </w:r>
          </w:p>
        </w:tc>
        <w:tc>
          <w:tcPr/>
          <w:p>
            <w:pPr>
              <w:pStyle w:val="Compact"/>
            </w:pPr>
            <w:r>
              <w:t xml:space="preserve">I</w:t>
            </w:r>
          </w:p>
        </w:tc>
        <w:tc>
          <w:tcPr/>
          <w:p>
            <w:pPr>
              <w:pStyle w:val="Compact"/>
            </w:pPr>
            <w:r>
              <w:t xml:space="preserve">I</w:t>
            </w:r>
          </w:p>
        </w:tc>
      </w:tr>
      <w:tr>
        <w:tc>
          <w:tcPr/>
          <w:p>
            <w:pPr>
              <w:pStyle w:val="Compact"/>
            </w:pPr>
            <w:r>
              <w:rPr>
                <w:b/>
                <w:bCs/>
              </w:rPr>
              <w:t xml:space="preserve">المدير العام</w:t>
            </w:r>
          </w:p>
        </w:tc>
        <w:tc>
          <w:tcPr/>
          <w:p>
            <w:pPr>
              <w:pStyle w:val="Compact"/>
            </w:pPr>
          </w:p>
        </w:tc>
        <w:tc>
          <w:tcPr/>
          <w:p>
            <w:pPr>
              <w:pStyle w:val="Compact"/>
            </w:pPr>
          </w:p>
        </w:tc>
        <w:tc>
          <w:tcPr/>
          <w:p>
            <w:pPr>
              <w:pStyle w:val="Compact"/>
            </w:pPr>
            <w:r>
              <w:t xml:space="preserve">C (للإجراء)</w:t>
            </w:r>
          </w:p>
        </w:tc>
        <w:tc>
          <w:tcPr/>
          <w:p>
            <w:pPr>
              <w:pStyle w:val="Compact"/>
            </w:pPr>
          </w:p>
        </w:tc>
        <w:tc>
          <w:tcPr/>
          <w:p>
            <w:pPr>
              <w:pStyle w:val="Compact"/>
            </w:pPr>
          </w:p>
        </w:tc>
      </w:tr>
      <w:tr>
        <w:tc>
          <w:tcPr/>
          <w:p>
            <w:pPr>
              <w:pStyle w:val="Compact"/>
            </w:pPr>
            <w:r>
              <w:rPr>
                <w:b/>
                <w:bCs/>
              </w:rPr>
              <w:t xml:space="preserve">مدير المصنع</w:t>
            </w:r>
          </w:p>
        </w:tc>
        <w:tc>
          <w:tcPr/>
          <w:p>
            <w:pPr>
              <w:pStyle w:val="Compact"/>
            </w:pPr>
          </w:p>
        </w:tc>
        <w:tc>
          <w:tcPr/>
          <w:p>
            <w:pPr>
              <w:pStyle w:val="Compact"/>
            </w:pPr>
            <w:r>
              <w:t xml:space="preserve">A</w:t>
            </w:r>
          </w:p>
        </w:tc>
        <w:tc>
          <w:tcPr/>
          <w:p>
            <w:pPr>
              <w:pStyle w:val="Compact"/>
            </w:pPr>
          </w:p>
        </w:tc>
        <w:tc>
          <w:tcPr/>
          <w:p>
            <w:pPr>
              <w:pStyle w:val="Compact"/>
            </w:pPr>
            <w:r>
              <w:t xml:space="preserve">I</w:t>
            </w:r>
          </w:p>
        </w:tc>
        <w:tc>
          <w:tcPr/>
          <w:p>
            <w:pPr>
              <w:pStyle w:val="Compact"/>
            </w:pPr>
            <w:r>
              <w:t xml:space="preserve">I</w:t>
            </w:r>
          </w:p>
        </w:tc>
      </w:tr>
      <w:tr>
        <w:tc>
          <w:tcPr/>
          <w:p>
            <w:pPr>
              <w:pStyle w:val="Compact"/>
            </w:pPr>
            <w:r>
              <w:rPr>
                <w:b/>
                <w:bCs/>
              </w:rPr>
              <w:t xml:space="preserve">مسؤول المعالجة والتشغيل</w:t>
            </w:r>
          </w:p>
        </w:tc>
        <w:tc>
          <w:tcPr/>
          <w:p>
            <w:pPr>
              <w:pStyle w:val="Compact"/>
            </w:pPr>
          </w:p>
        </w:tc>
        <w:tc>
          <w:tcPr/>
          <w:p>
            <w:pPr>
              <w:pStyle w:val="Compact"/>
            </w:pPr>
          </w:p>
        </w:tc>
        <w:tc>
          <w:tcPr/>
          <w:p>
            <w:pPr>
              <w:pStyle w:val="Compact"/>
            </w:pPr>
          </w:p>
        </w:tc>
        <w:tc>
          <w:tcPr/>
          <w:p>
            <w:pPr>
              <w:pStyle w:val="Compact"/>
            </w:pPr>
            <w:r>
              <w:t xml:space="preserve">I</w:t>
            </w:r>
          </w:p>
        </w:tc>
        <w:tc>
          <w:tcPr/>
          <w:p>
            <w:pPr>
              <w:pStyle w:val="Compact"/>
            </w:pPr>
          </w:p>
        </w:tc>
      </w:tr>
      <w:tr>
        <w:tc>
          <w:tcPr/>
          <w:p>
            <w:pPr>
              <w:pStyle w:val="Compact"/>
            </w:pPr>
            <w:r>
              <w:rPr>
                <w:b/>
                <w:bCs/>
              </w:rPr>
              <w:t xml:space="preserve">كيميائي مختبر المعالجة</w:t>
            </w:r>
          </w:p>
        </w:tc>
        <w:tc>
          <w:tcPr/>
          <w:p>
            <w:pPr>
              <w:pStyle w:val="Compact"/>
            </w:pPr>
          </w:p>
        </w:tc>
        <w:tc>
          <w:tcPr/>
          <w:p>
            <w:pPr>
              <w:pStyle w:val="Compact"/>
            </w:pPr>
          </w:p>
        </w:tc>
        <w:tc>
          <w:tcPr/>
          <w:p>
            <w:pPr>
              <w:pStyle w:val="Compact"/>
            </w:pPr>
          </w:p>
        </w:tc>
        <w:tc>
          <w:tcPr/>
          <w:p>
            <w:pPr>
              <w:pStyle w:val="Compact"/>
            </w:pPr>
            <w:r>
              <w:t xml:space="preserve">I</w:t>
            </w:r>
          </w:p>
        </w:tc>
        <w:tc>
          <w:tcPr/>
          <w:p>
            <w:pPr>
              <w:pStyle w:val="Compact"/>
            </w:pPr>
          </w:p>
        </w:tc>
      </w:tr>
      <w:tr>
        <w:tc>
          <w:tcPr/>
          <w:p>
            <w:pPr>
              <w:pStyle w:val="Compact"/>
            </w:pPr>
            <w:r>
              <w:rPr>
                <w:b/>
                <w:bCs/>
              </w:rPr>
              <w:t xml:space="preserve">مراقب جودة خط التعبئة</w:t>
            </w:r>
          </w:p>
        </w:tc>
        <w:tc>
          <w:tcPr/>
          <w:p>
            <w:pPr>
              <w:pStyle w:val="Compact"/>
            </w:pPr>
          </w:p>
        </w:tc>
        <w:tc>
          <w:tcPr/>
          <w:p>
            <w:pPr>
              <w:pStyle w:val="Compact"/>
            </w:pPr>
          </w:p>
        </w:tc>
        <w:tc>
          <w:tcPr/>
          <w:p>
            <w:pPr>
              <w:pStyle w:val="Compact"/>
            </w:pPr>
          </w:p>
        </w:tc>
        <w:tc>
          <w:tcPr/>
          <w:p>
            <w:pPr>
              <w:pStyle w:val="Compact"/>
            </w:pPr>
            <w:r>
              <w:t xml:space="preserve">I</w:t>
            </w:r>
          </w:p>
        </w:tc>
        <w:tc>
          <w:tcPr/>
          <w:p>
            <w:pPr>
              <w:pStyle w:val="Compact"/>
            </w:pPr>
          </w:p>
        </w:tc>
      </w:tr>
      <w:tr>
        <w:tc>
          <w:tcPr/>
          <w:p>
            <w:pPr>
              <w:pStyle w:val="Compact"/>
            </w:pPr>
            <w:r>
              <w:rPr>
                <w:b/>
                <w:bCs/>
              </w:rPr>
              <w:t xml:space="preserve">مسؤول المشتريات</w:t>
            </w:r>
          </w:p>
        </w:tc>
        <w:tc>
          <w:tcPr/>
          <w:p>
            <w:pPr>
              <w:pStyle w:val="Compact"/>
            </w:pPr>
          </w:p>
        </w:tc>
        <w:tc>
          <w:tcPr/>
          <w:p>
            <w:pPr>
              <w:pStyle w:val="Compact"/>
            </w:pPr>
            <w:r>
              <w:t xml:space="preserve">A</w:t>
            </w:r>
          </w:p>
        </w:tc>
        <w:tc>
          <w:tcPr/>
          <w:p>
            <w:pPr>
              <w:pStyle w:val="Compact"/>
            </w:pPr>
          </w:p>
        </w:tc>
        <w:tc>
          <w:tcPr/>
          <w:p>
            <w:pPr>
              <w:pStyle w:val="Compact"/>
            </w:pPr>
            <w:r>
              <w:t xml:space="preserve">I</w:t>
            </w:r>
          </w:p>
        </w:tc>
        <w:tc>
          <w:tcPr/>
          <w:p>
            <w:pPr>
              <w:pStyle w:val="Compact"/>
            </w:pPr>
          </w:p>
        </w:tc>
      </w:tr>
      <w:tr>
        <w:tc>
          <w:tcPr/>
          <w:p>
            <w:pPr>
              <w:pStyle w:val="Compact"/>
            </w:pPr>
            <w:r>
              <w:rPr>
                <w:b/>
                <w:bCs/>
              </w:rPr>
              <w:t xml:space="preserve">مسؤول الصيانة</w:t>
            </w:r>
          </w:p>
        </w:tc>
        <w:tc>
          <w:tcPr/>
          <w:p>
            <w:pPr>
              <w:pStyle w:val="Compact"/>
            </w:pPr>
          </w:p>
        </w:tc>
        <w:tc>
          <w:tcPr/>
          <w:p>
            <w:pPr>
              <w:pStyle w:val="Compact"/>
            </w:pPr>
            <w:r>
              <w:t xml:space="preserve">A</w:t>
            </w:r>
          </w:p>
        </w:tc>
        <w:tc>
          <w:tcPr/>
          <w:p>
            <w:pPr>
              <w:pStyle w:val="Compact"/>
            </w:pPr>
          </w:p>
        </w:tc>
        <w:tc>
          <w:tcPr/>
          <w:p>
            <w:pPr>
              <w:pStyle w:val="Compact"/>
            </w:pPr>
            <w:r>
              <w:t xml:space="preserve">I</w:t>
            </w:r>
          </w:p>
        </w:tc>
        <w:tc>
          <w:tcPr/>
          <w:p>
            <w:pPr>
              <w:pStyle w:val="Compact"/>
            </w:pPr>
          </w:p>
        </w:tc>
      </w:tr>
    </w:tbl>
    <w:p>
      <w:pPr>
        <w:pStyle w:val="BodyText"/>
      </w:pPr>
      <w:r>
        <w:rPr>
          <w:b/>
          <w:bCs/>
        </w:rPr>
        <w:t xml:space="preserve">فريق سلامة الغذاء:</w:t>
      </w:r>
      <w:r>
        <w:t xml:space="preserve"> </w:t>
      </w:r>
      <w:r>
        <w:t xml:space="preserve">يتم تشكيل فريق متعدد التخصصات من الأقسام ذات الصلة (الجودة، الإنتاج، الصيانة، المشتريات، الموارد البشرية) بقرار إداري موثق. يجب أن يتمتع أعضاء الفريق بالمعرفة والخبرة اللازمة في مجال سلامة الغذاء، عمليات تصنيع المياه، والمبادئ الأساسية لنظام HACCP. يعين مدير الجودة كقائد لفريق سلامة الغذاء.</w:t>
      </w:r>
      <w:r>
        <w:t xml:space="preserve"> </w:t>
      </w:r>
      <w:r>
        <w:rPr>
          <w:b/>
          <w:bCs/>
        </w:rPr>
        <w:t xml:space="preserve">مسؤوليات فريق سلامة الغذاء (ISO 22000:2018 §5.3.1 b) &amp; §8.5.2.2):</w:t>
      </w:r>
      <w:r>
        <w:t xml:space="preserve"> </w:t>
      </w:r>
      <w:r>
        <w:t xml:space="preserve">- قيادة وتوجيه تطوير، تنفيذ، صيانة، وتحديث نظام إدارة سلامة الغذاء.</w:t>
      </w:r>
      <w:r>
        <w:t xml:space="preserve"> </w:t>
      </w:r>
      <w:r>
        <w:t xml:space="preserve">- التأكد من إجراء تحليل المخاطر بشكل منهجي وشامل.</w:t>
      </w:r>
      <w:r>
        <w:t xml:space="preserve"> </w:t>
      </w:r>
      <w:r>
        <w:t xml:space="preserve">- تحديد CCPs و OPRPs وتأكيد فعاليتها.</w:t>
      </w:r>
      <w:r>
        <w:t xml:space="preserve"> </w:t>
      </w:r>
      <w:r>
        <w:t xml:space="preserve">- التنسيق مع الأقسام المختلفة لضمان التطبيق الفعال للخطة.</w:t>
      </w:r>
      <w:r>
        <w:t xml:space="preserve"> </w:t>
      </w:r>
      <w:r>
        <w:t xml:space="preserve">- التأكد من تدريب وتوعية العاملين بأهمية سلامة الغذاء.</w:t>
      </w:r>
      <w:r>
        <w:t xml:space="preserve"> </w:t>
      </w:r>
      <w:r>
        <w:t xml:space="preserve">- مراجعة وتحديث خطة HACCP بشكل دوري أو عند حدوث تغييرات.</w:t>
      </w:r>
    </w:p>
    <w:bookmarkEnd w:id="16"/>
    <w:bookmarkStart w:id="28" w:name="خطوات-التنفيذ-التفصيلية-procedures"/>
    <w:p>
      <w:pPr>
        <w:pStyle w:val="Heading2"/>
      </w:pPr>
      <w:r>
        <w:t xml:space="preserve">6. خطوات التنفيذ التفصيلية (Procedures)</w:t>
      </w:r>
    </w:p>
    <w:bookmarkStart w:id="17" w:name="Xb3359cfb89a4262f2dabd00a65ab1258cfed877"/>
    <w:p>
      <w:pPr>
        <w:pStyle w:val="Heading3"/>
      </w:pPr>
      <w:r>
        <w:t xml:space="preserve">6-1. تحديد نطاق فريق سلامة الغذاء وتشكيله (ISO 22000:2018 §8.5.2.2)</w:t>
      </w:r>
    </w:p>
    <w:p>
      <w:pPr>
        <w:pStyle w:val="Compact"/>
        <w:numPr>
          <w:ilvl w:val="0"/>
          <w:numId w:val="1003"/>
        </w:numPr>
      </w:pPr>
      <w:r>
        <w:rPr>
          <w:b/>
          <w:bCs/>
        </w:rPr>
        <w:t xml:space="preserve">تشكيل فريق سلامة الغذاء</w:t>
      </w:r>
      <w:r>
        <w:t xml:space="preserve">: يتم تشكيل فريق سلامة الغذاء برئاسة مدير الجودة ويضم ممثلين مؤهلين من الأقسام ذات الصلة (مثل: الإنتاج، الصيانة، المشتريات، الموارد البشرية) بقرار إداري موثق. (المسؤول: مدير الجودة/ المدير العام).</w:t>
      </w:r>
    </w:p>
    <w:p>
      <w:pPr>
        <w:pStyle w:val="Compact"/>
        <w:numPr>
          <w:ilvl w:val="0"/>
          <w:numId w:val="1003"/>
        </w:numPr>
      </w:pPr>
      <w:r>
        <w:rPr>
          <w:b/>
          <w:bCs/>
        </w:rPr>
        <w:t xml:space="preserve">تحديد الكفاءات</w:t>
      </w:r>
      <w:r>
        <w:t xml:space="preserve">: يتم التأكد من أن أعضاء الفريق يمتلكون المعرفة والخبرة اللازمة في مجال سلامة الغذاء، ومباديء HACCP، وعمليات تصنيع المياه. (المسؤول: مدير الجودة).</w:t>
      </w:r>
    </w:p>
    <w:bookmarkEnd w:id="17"/>
    <w:bookmarkStart w:id="18" w:name="Xcb32f399a31d1ca13daf3880bd2a0a691b34a3c"/>
    <w:p>
      <w:pPr>
        <w:pStyle w:val="Heading3"/>
      </w:pPr>
      <w:r>
        <w:t xml:space="preserve">6-2. وصف المنتج والمواد الخام (ISO 22000:2018 §8.5.2.3)</w:t>
      </w:r>
    </w:p>
    <w:p>
      <w:pPr>
        <w:pStyle w:val="Compact"/>
        <w:numPr>
          <w:ilvl w:val="0"/>
          <w:numId w:val="1004"/>
        </w:numPr>
      </w:pPr>
      <w:r>
        <w:rPr>
          <w:b/>
          <w:bCs/>
        </w:rPr>
        <w:t xml:space="preserve">وصف المنتج النهائي</w:t>
      </w:r>
      <w:r>
        <w:t xml:space="preserve">: يتم توثيق وصف تفصيلي لكل منتج نهائي، يشمل: الاسم، التركيب (المياه الطبيعية)، الخصائص الفيزيائية والكيميائية (ES 1589/2023, ES 190)، الخصائص الميكروبيولوجية، طريقة المعالجة، خصائص التعبئة والتغليف (مثل PET، الكرتون)، العمر الافتراضي وظروف التخزين، طريقة الاستخدام المحددة وغير المحددة، الاستخدام المقصود للمستهلكين (مثال: الشرب المباشر). (المسؤول: فريق سلامة الغذاء).</w:t>
      </w:r>
    </w:p>
    <w:p>
      <w:pPr>
        <w:pStyle w:val="Compact"/>
        <w:numPr>
          <w:ilvl w:val="0"/>
          <w:numId w:val="1004"/>
        </w:numPr>
      </w:pPr>
      <w:r>
        <w:rPr>
          <w:b/>
          <w:bCs/>
        </w:rPr>
        <w:t xml:space="preserve">وصف المكونات (المياه الخام)</w:t>
      </w:r>
      <w:r>
        <w:t xml:space="preserve">: يتم توثيق وصف شامل للمياه الخام من البئر الجوفي، بما في ذلك: المصدر (ترخيص البئر)، الخصائص الكيميائية والميكروبيولوجية الأولية (التحاليل الأولية)، طريقة الاستلام والتخزين. (المسؤول: فريق سلامة الغذاء).</w:t>
      </w:r>
    </w:p>
    <w:p>
      <w:pPr>
        <w:pStyle w:val="Compact"/>
        <w:numPr>
          <w:ilvl w:val="0"/>
          <w:numId w:val="1004"/>
        </w:numPr>
      </w:pPr>
      <w:r>
        <w:rPr>
          <w:b/>
          <w:bCs/>
        </w:rPr>
        <w:t xml:space="preserve">وصف مواد التعبئة والتغليف</w:t>
      </w:r>
      <w:r>
        <w:t xml:space="preserve">: يتم توثيق وصف دقيق لجميع مواد التعبئة والتغليف (زجاجات PET، أغطية، ليبل، كرتون)، يشمل: المواصفات الفنية، شروط الموردين (مثل شهادات Food Grade و Migration)، شروط الاستلام والتخزين. (المسؤول: فريق سلامة الغذاء، مسؤول المشتريات).</w:t>
      </w:r>
    </w:p>
    <w:bookmarkEnd w:id="18"/>
    <w:bookmarkStart w:id="19" w:name="Xdefdd5cd669fa6356339a4586208d82a1448f41"/>
    <w:p>
      <w:pPr>
        <w:pStyle w:val="Heading3"/>
      </w:pPr>
      <w:r>
        <w:t xml:space="preserve">6-3. إعداد خرائط تدفق العملية (ISO 22000:2018 §8.5.2.4)</w:t>
      </w:r>
    </w:p>
    <w:p>
      <w:pPr>
        <w:pStyle w:val="Compact"/>
        <w:numPr>
          <w:ilvl w:val="0"/>
          <w:numId w:val="1005"/>
        </w:numPr>
      </w:pPr>
      <w:r>
        <w:rPr>
          <w:b/>
          <w:bCs/>
        </w:rPr>
        <w:t xml:space="preserve">رسم خرائط التدفق</w:t>
      </w:r>
      <w:r>
        <w:t xml:space="preserve">: يتم رسم خرائط تدفق لجميع عمليات الإنتاج، بدءاً من استلام المواد الخام وحتى الشحن. يجب أن تكون الخرائط شاملة وتفصيلية، موثقة لجميع مراحل العملية، والتوصيلات البينية، ومواقع الأجهزة والمعدات. (المسؤول: فريق سلامة الغذاء بالتنسيق مع مدير المصنع).</w:t>
      </w:r>
    </w:p>
    <w:p>
      <w:pPr>
        <w:pStyle w:val="Compact"/>
        <w:numPr>
          <w:ilvl w:val="0"/>
          <w:numId w:val="1005"/>
        </w:numPr>
      </w:pPr>
      <w:r>
        <w:rPr>
          <w:b/>
          <w:bCs/>
        </w:rPr>
        <w:t xml:space="preserve">التحقق من خرائط التدفق</w:t>
      </w:r>
      <w:r>
        <w:t xml:space="preserve">: يتم التحقق في الموقع من دقة وسلامة خرائط التدفق من قبل فريق سلامة الغذاء للتأكد من أنها تمثل الواقع الفعلي للعملية. (المسؤول: فريق سلامة الغذاء).</w:t>
      </w:r>
    </w:p>
    <w:bookmarkEnd w:id="19"/>
    <w:bookmarkStart w:id="20" w:name="X599265b6f758be6eff919a3857332b3aa675a28"/>
    <w:p>
      <w:pPr>
        <w:pStyle w:val="Heading3"/>
      </w:pPr>
      <w:r>
        <w:t xml:space="preserve">6-4. تحليل المخاطر (Hazard Analysis) (ISO 22000:2018 §8.5.3, Codex HACCP Principle 1)</w:t>
      </w:r>
    </w:p>
    <w:p>
      <w:pPr>
        <w:pStyle w:val="Compact"/>
        <w:numPr>
          <w:ilvl w:val="0"/>
          <w:numId w:val="1006"/>
        </w:numPr>
      </w:pPr>
      <w:r>
        <w:rPr>
          <w:b/>
          <w:bCs/>
        </w:rPr>
        <w:t xml:space="preserve">تحديد المخاطر المحتملة</w:t>
      </w:r>
      <w:r>
        <w:t xml:space="preserve">: يقوم فريق سلامة الغذاء بتحديد جميع المخاطر المحتملة (البيولوجية، الكيميائية، الفيزيائية، الاشعاعية) في كل مرحلة من مراحل العملية، بدءاً من المواد الخام وحتى المنتج النهائي، مع الأخذ في الاعتبار:</w:t>
      </w:r>
    </w:p>
    <w:p>
      <w:pPr>
        <w:pStyle w:val="Compact"/>
        <w:numPr>
          <w:ilvl w:val="1"/>
          <w:numId w:val="1007"/>
        </w:numPr>
      </w:pPr>
      <w:r>
        <w:rPr>
          <w:b/>
          <w:bCs/>
        </w:rPr>
        <w:t xml:space="preserve">المخاطر البيولوجية</w:t>
      </w:r>
      <w:r>
        <w:t xml:space="preserve">: البكتيريا، الفيروسات، الفطريات والطفيليات.</w:t>
      </w:r>
    </w:p>
    <w:p>
      <w:pPr>
        <w:pStyle w:val="Compact"/>
        <w:numPr>
          <w:ilvl w:val="1"/>
          <w:numId w:val="1007"/>
        </w:numPr>
      </w:pPr>
      <w:r>
        <w:rPr>
          <w:b/>
          <w:bCs/>
        </w:rPr>
        <w:t xml:space="preserve">المخاطر الكيميائية</w:t>
      </w:r>
      <w:r>
        <w:t xml:space="preserve">: بقايا المبيدات، المعادن الثقيلة، المضافات غير المصرح بها، مواد التنظيف، مواد التشحيم، متبقيات التعبئة والتغليف (Migration)، الكيماويات البيوسيدية (Biocides) المستخدمة في العمليات.</w:t>
      </w:r>
    </w:p>
    <w:p>
      <w:pPr>
        <w:pStyle w:val="Compact"/>
        <w:numPr>
          <w:ilvl w:val="1"/>
          <w:numId w:val="1007"/>
        </w:numPr>
      </w:pPr>
      <w:r>
        <w:rPr>
          <w:b/>
          <w:bCs/>
        </w:rPr>
        <w:t xml:space="preserve">المخاطر الفيزيائية</w:t>
      </w:r>
      <w:r>
        <w:t xml:space="preserve">: الشوائب، قطع الزجاج/المعدن/البلاستيك، الأتربة.</w:t>
      </w:r>
    </w:p>
    <w:p>
      <w:pPr>
        <w:pStyle w:val="Compact"/>
        <w:numPr>
          <w:ilvl w:val="1"/>
          <w:numId w:val="1007"/>
        </w:numPr>
      </w:pPr>
      <w:r>
        <w:rPr>
          <w:b/>
          <w:bCs/>
        </w:rPr>
        <w:t xml:space="preserve">المخاطر الإشعاعية</w:t>
      </w:r>
      <w:r>
        <w:t xml:space="preserve">: أي إشعاع يمكن أن يؤثر على سلامة المنتج (إن وجد).</w:t>
      </w:r>
    </w:p>
    <w:p>
      <w:pPr>
        <w:pStyle w:val="Compact"/>
        <w:numPr>
          <w:ilvl w:val="1"/>
          <w:numId w:val="1007"/>
        </w:numPr>
      </w:pPr>
      <w:r>
        <w:rPr>
          <w:b/>
          <w:bCs/>
        </w:rPr>
        <w:t xml:space="preserve">مخاطر الملوثات العرضية</w:t>
      </w:r>
      <w:r>
        <w:t xml:space="preserve">: من البيئة المحيطة أو العابرة. (المسؤول: فريق سلامة الغذاء).</w:t>
      </w:r>
    </w:p>
    <w:p>
      <w:pPr>
        <w:pStyle w:val="Compact"/>
        <w:numPr>
          <w:ilvl w:val="0"/>
          <w:numId w:val="1006"/>
        </w:numPr>
      </w:pPr>
      <w:r>
        <w:rPr>
          <w:b/>
          <w:bCs/>
        </w:rPr>
        <w:t xml:space="preserve">ربط المخاطر بالمنتجات والمواد الخام والمعدات والبيئة المحيطة</w:t>
      </w:r>
      <w:r>
        <w:t xml:space="preserve">: يتم تقييم كل خطر لتحديد احتمالية حدوثه وشدة تأثيره على سلامة الغذاء بناءً على بيانات علمية، تاريخية، بيانات شكاوى، ومعلومات خبراء.</w:t>
      </w:r>
    </w:p>
    <w:p>
      <w:pPr>
        <w:pStyle w:val="Compact"/>
        <w:numPr>
          <w:ilvl w:val="1"/>
          <w:numId w:val="1008"/>
        </w:numPr>
      </w:pPr>
      <w:r>
        <w:rPr>
          <w:b/>
          <w:bCs/>
        </w:rPr>
        <w:t xml:space="preserve">تحديد الاحتمالية (Likelihood)</w:t>
      </w:r>
      <w:r>
        <w:t xml:space="preserve">: يتم تقدير الاحتمالية بناءً على السجلات التاريخية، ظروف التشغيل، مراقبة الموردين.</w:t>
      </w:r>
    </w:p>
    <w:p>
      <w:pPr>
        <w:pStyle w:val="Compact"/>
        <w:numPr>
          <w:ilvl w:val="1"/>
          <w:numId w:val="1008"/>
        </w:numPr>
      </w:pPr>
      <w:r>
        <w:rPr>
          <w:b/>
          <w:bCs/>
        </w:rPr>
        <w:t xml:space="preserve">تحديد الشدة (Severity)</w:t>
      </w:r>
      <w:r>
        <w:t xml:space="preserve">: يتم تقدير شدة التأثير الصحي بناءً على نوع الخطر، الفئة المستهدفة من المستهلكين (حساسون أو عامة)، والتشريعات ذات الصلة (NFSA، ES).</w:t>
      </w:r>
    </w:p>
    <w:p>
      <w:pPr>
        <w:pStyle w:val="Compact"/>
        <w:numPr>
          <w:ilvl w:val="1"/>
          <w:numId w:val="1008"/>
        </w:numPr>
      </w:pPr>
      <w:r>
        <w:rPr>
          <w:b/>
          <w:bCs/>
        </w:rPr>
        <w:t xml:space="preserve">مصفوفة تقييم المخاطر المحدثة</w:t>
      </w:r>
      <w:r>
        <w:t xml:space="preserve">:</w:t>
      </w:r>
      <w:r>
        <w:t xml:space="preserve"> </w:t>
      </w:r>
      <w:r>
        <w:t xml:space="preserve">| الشدة (S)  الاحتمالية (P) | نادرة (1) | متوسطة (2) | متكررة (3) |</w:t>
      </w:r>
      <w:r>
        <w:t xml:space="preserve"> </w:t>
      </w:r>
      <w:r>
        <w:t xml:space="preserve">|—|—|—|—|</w:t>
      </w:r>
      <w:r>
        <w:t xml:space="preserve"> </w:t>
      </w:r>
      <w:r>
        <w:t xml:space="preserve">| طفيفة/غير مؤثرة (1) | 1 | 2 | 3 |</w:t>
      </w:r>
      <w:r>
        <w:t xml:space="preserve"> </w:t>
      </w:r>
      <w:r>
        <w:t xml:space="preserve">| متوسطة/تأثير صحي غير خطير (2) | 2 | 4 | 6 |</w:t>
      </w:r>
      <w:r>
        <w:t xml:space="preserve"> </w:t>
      </w:r>
      <w:r>
        <w:t xml:space="preserve">| شديدة/تأثير صحي خطير/موت (3) | 3 | 6 | 9 |</w:t>
      </w:r>
      <w:r>
        <w:t xml:space="preserve"> </w:t>
      </w:r>
      <w:r>
        <w:rPr>
          <w:b/>
          <w:bCs/>
        </w:rPr>
        <w:t xml:space="preserve">تصنيف مستوى الخطورة (R = P x S):</w:t>
      </w:r>
    </w:p>
    <w:p>
      <w:pPr>
        <w:pStyle w:val="Compact"/>
        <w:numPr>
          <w:ilvl w:val="2"/>
          <w:numId w:val="1009"/>
        </w:numPr>
      </w:pPr>
      <w:r>
        <w:rPr>
          <w:b/>
          <w:bCs/>
        </w:rPr>
        <w:t xml:space="preserve">(1-3): خطر ضعيف</w:t>
      </w:r>
      <w:r>
        <w:t xml:space="preserve">: يتم التحكم به عبر البرامج التحضيرية (PRPs).</w:t>
      </w:r>
    </w:p>
    <w:p>
      <w:pPr>
        <w:pStyle w:val="Compact"/>
        <w:numPr>
          <w:ilvl w:val="2"/>
          <w:numId w:val="1009"/>
        </w:numPr>
      </w:pPr>
      <w:r>
        <w:rPr>
          <w:b/>
          <w:bCs/>
        </w:rPr>
        <w:t xml:space="preserve">(4-6): خطر متوسط</w:t>
      </w:r>
      <w:r>
        <w:t xml:space="preserve">: يتم التحكم به عبر البرامج التحضيرية التشغيلية (OPRPs).</w:t>
      </w:r>
    </w:p>
    <w:p>
      <w:pPr>
        <w:pStyle w:val="Compact"/>
        <w:numPr>
          <w:ilvl w:val="2"/>
          <w:numId w:val="1009"/>
        </w:numPr>
      </w:pPr>
      <w:r>
        <w:rPr>
          <w:b/>
          <w:bCs/>
        </w:rPr>
        <w:t xml:space="preserve">(7-9): خطر شديد</w:t>
      </w:r>
      <w:r>
        <w:t xml:space="preserve">: يتم التحكم به عبر نقاط التحكم الحرجة (CCPs).</w:t>
      </w:r>
      <w:r>
        <w:t xml:space="preserve"> </w:t>
      </w:r>
      <w:r>
        <w:t xml:space="preserve">(المسؤول: فريق سلامة الغذاء).</w:t>
      </w:r>
    </w:p>
    <w:p>
      <w:pPr>
        <w:pStyle w:val="Compact"/>
        <w:numPr>
          <w:ilvl w:val="0"/>
          <w:numId w:val="1006"/>
        </w:numPr>
      </w:pPr>
      <w:r>
        <w:rPr>
          <w:b/>
          <w:bCs/>
        </w:rPr>
        <w:t xml:space="preserve">تحديد التدابير الرقابية (Control Measures)</w:t>
      </w:r>
      <w:r>
        <w:t xml:space="preserve">: لكل خطر تم تحديده، يتم تحديد التدابير الرقابية الحالية والمقترحة لمنع أو تقليل الخطر إلى مستوى مقبول. (المسؤول: فريق سلامة الغذاء).</w:t>
      </w:r>
    </w:p>
    <w:bookmarkEnd w:id="20"/>
    <w:bookmarkStart w:id="21" w:name="X4969406eac945ff649dd31ea0aab1b042043528"/>
    <w:p>
      <w:pPr>
        <w:pStyle w:val="Heading3"/>
      </w:pPr>
      <w:r>
        <w:t xml:space="preserve">6-5. تحديد نقاط التحكم الحرجة (CCPs) والبرامج التحضيرية التشغيلية (OPRPs) (ISO 22000:2018 §8.5.4, Codex HACCP Principle 2)</w:t>
      </w:r>
    </w:p>
    <w:p>
      <w:pPr>
        <w:pStyle w:val="Compact"/>
        <w:numPr>
          <w:ilvl w:val="0"/>
          <w:numId w:val="1010"/>
        </w:numPr>
      </w:pPr>
      <w:r>
        <w:rPr>
          <w:b/>
          <w:bCs/>
        </w:rPr>
        <w:t xml:space="preserve">تطبيق شجرة القرار</w:t>
      </w:r>
      <w:r>
        <w:t xml:space="preserve">: يتم استخدام شجرة القرار الموضحة في Codex Alimentarius (يتم إرفاقها كملحق للإجراء) لكل خطر تم تقييمه، لتحديد ما إذا كانت النقطة هي CCP أو OPRP. (المسؤول: فريق سلامة الغذاء).</w:t>
      </w:r>
    </w:p>
    <w:p>
      <w:pPr>
        <w:pStyle w:val="Compact"/>
        <w:numPr>
          <w:ilvl w:val="0"/>
          <w:numId w:val="1010"/>
        </w:numPr>
      </w:pPr>
      <w:r>
        <w:rPr>
          <w:b/>
          <w:bCs/>
        </w:rPr>
        <w:t xml:space="preserve">توثيق CCPs و OPRPs</w:t>
      </w:r>
      <w:r>
        <w:t xml:space="preserve">: يتم توثيق جميع النقاط المحددة كـ CCPs و OPRPs في جدول HACCP الموحد (الجدول 6-5).</w:t>
      </w:r>
    </w:p>
    <w:p>
      <w:pPr>
        <w:pStyle w:val="Compact"/>
        <w:numPr>
          <w:ilvl w:val="1"/>
          <w:numId w:val="1011"/>
        </w:numPr>
      </w:pPr>
      <w:r>
        <w:rPr>
          <w:b/>
          <w:bCs/>
        </w:rPr>
        <w:t xml:space="preserve">CCP-1: فلتر البيرم</w:t>
      </w:r>
      <w:r>
        <w:t xml:space="preserve">:</w:t>
      </w:r>
    </w:p>
    <w:p>
      <w:pPr>
        <w:pStyle w:val="Compact"/>
        <w:numPr>
          <w:ilvl w:val="2"/>
          <w:numId w:val="1012"/>
        </w:numPr>
      </w:pPr>
      <w:r>
        <w:t xml:space="preserve">الحد الحرج: نسبة الحديد في الماء ≤ 0.3 mg/L، ونسبة المنجنيز ≤ 0.05 mg/L (ES 1589/2023, ES 190).</w:t>
      </w:r>
    </w:p>
    <w:p>
      <w:pPr>
        <w:pStyle w:val="Compact"/>
        <w:numPr>
          <w:ilvl w:val="2"/>
          <w:numId w:val="1012"/>
        </w:numPr>
      </w:pPr>
      <w:r>
        <w:t xml:space="preserve">المراقبة: تحليل كيميائي يومي معملي (بالأقل مرة كل وردية تشغيلية) للحديد والمنجنيز بعد الفلتر. (المسؤول: كيميائي مختبر المعالجة)</w:t>
      </w:r>
    </w:p>
    <w:p>
      <w:pPr>
        <w:pStyle w:val="Compact"/>
        <w:numPr>
          <w:ilvl w:val="2"/>
          <w:numId w:val="1012"/>
        </w:numPr>
      </w:pPr>
      <w:r>
        <w:t xml:space="preserve">الإجراء التصحيحي: إيقاف المعالجة، غسيل عكسي مكثف للفلتر، إعادة تدوير المياه. المنتجات المتأثرة يتم حجزها وتقييمها.</w:t>
      </w:r>
    </w:p>
    <w:p>
      <w:pPr>
        <w:pStyle w:val="Compact"/>
        <w:numPr>
          <w:ilvl w:val="1"/>
          <w:numId w:val="1011"/>
        </w:numPr>
      </w:pPr>
      <w:r>
        <w:rPr>
          <w:b/>
          <w:bCs/>
        </w:rPr>
        <w:t xml:space="preserve">CCP-2: وحدة التناضح العكسي (RO)</w:t>
      </w:r>
      <w:r>
        <w:t xml:space="preserve">:</w:t>
      </w:r>
    </w:p>
    <w:p>
      <w:pPr>
        <w:pStyle w:val="Compact"/>
        <w:numPr>
          <w:ilvl w:val="2"/>
          <w:numId w:val="1013"/>
        </w:numPr>
      </w:pPr>
      <w:r>
        <w:t xml:space="preserve">الحد الحرج: كفاءة رفض أملاح الأغشية (Salt Rejection) ≥ 95%، أملاح المياه المنتجة (Permeate TDS) ≤ 121 ppm (NFSA قرار 6/2023 المادة 12، ES 1589/2023).</w:t>
      </w:r>
    </w:p>
    <w:p>
      <w:pPr>
        <w:pStyle w:val="Compact"/>
        <w:numPr>
          <w:ilvl w:val="2"/>
          <w:numId w:val="1013"/>
        </w:numPr>
      </w:pPr>
      <w:r>
        <w:t xml:space="preserve">المراقبة: متابعة أوتوماتيكية ومستمرة لشاشة جهاز قياس الأملاح والموصلية (كل ساعة). (المسؤول: مسؤول محطة المعالجة)</w:t>
      </w:r>
    </w:p>
    <w:p>
      <w:pPr>
        <w:pStyle w:val="Compact"/>
        <w:numPr>
          <w:ilvl w:val="2"/>
          <w:numId w:val="1013"/>
        </w:numPr>
      </w:pPr>
      <w:r>
        <w:t xml:space="preserve">الإجراء التصحيحي: إيقاف تشغيل RO، تحويل خط التغذية للمصرف، إجراء غسيل كيميائي هيدروليكي (CIP) للأغشية. المنتجات المتأثرة يتم حجزها وتقييمها.</w:t>
      </w:r>
    </w:p>
    <w:p>
      <w:pPr>
        <w:pStyle w:val="Compact"/>
        <w:numPr>
          <w:ilvl w:val="1"/>
          <w:numId w:val="1011"/>
        </w:numPr>
      </w:pPr>
      <w:r>
        <w:rPr>
          <w:b/>
          <w:bCs/>
        </w:rPr>
        <w:t xml:space="preserve">CCP-3: فلتر التلميع النهائي (0.45 ميكرون)</w:t>
      </w:r>
      <w:r>
        <w:t xml:space="preserve">:</w:t>
      </w:r>
    </w:p>
    <w:p>
      <w:pPr>
        <w:pStyle w:val="Compact"/>
        <w:numPr>
          <w:ilvl w:val="2"/>
          <w:numId w:val="1014"/>
        </w:numPr>
      </w:pPr>
      <w:r>
        <w:t xml:space="preserve">الحد الحرج: فرق الضغط عبر جدار الفلتر ≤ 3 بار. خلو تام من عوالق أكبر من 0.45 ميكرون.</w:t>
      </w:r>
    </w:p>
    <w:p>
      <w:pPr>
        <w:pStyle w:val="Compact"/>
        <w:numPr>
          <w:ilvl w:val="2"/>
          <w:numId w:val="1014"/>
        </w:numPr>
      </w:pPr>
      <w:r>
        <w:t xml:space="preserve">المراقبة: متابعة وتسجيل قراءة عداد الضغط في بداية ونهاية كل وردية. الفحص المختبري للعكارة بعد الفلتر لضمان &lt; 1 NTU. (المسؤول: مراقب جودة خط التعبئة)</w:t>
      </w:r>
    </w:p>
    <w:p>
      <w:pPr>
        <w:pStyle w:val="Compact"/>
        <w:numPr>
          <w:ilvl w:val="2"/>
          <w:numId w:val="1014"/>
        </w:numPr>
      </w:pPr>
      <w:r>
        <w:t xml:space="preserve">الإجراء التصحيحي: إيقاف خط التعبئة، حجز وتكويد المنتج المتأثر، استبدال الشمعة. التحقق من فعالية نظام التعقيم.</w:t>
      </w:r>
    </w:p>
    <w:p>
      <w:pPr>
        <w:pStyle w:val="Compact"/>
        <w:numPr>
          <w:ilvl w:val="1"/>
          <w:numId w:val="1011"/>
        </w:numPr>
      </w:pPr>
      <w:r>
        <w:rPr>
          <w:b/>
          <w:bCs/>
        </w:rPr>
        <w:t xml:space="preserve">OPRP-1: خزان حقن غاز الأوزون النهائي (قبل التعبئة)</w:t>
      </w:r>
      <w:r>
        <w:t xml:space="preserve">:</w:t>
      </w:r>
    </w:p>
    <w:p>
      <w:pPr>
        <w:pStyle w:val="Compact"/>
        <w:numPr>
          <w:ilvl w:val="2"/>
          <w:numId w:val="1015"/>
        </w:numPr>
      </w:pPr>
      <w:r>
        <w:t xml:space="preserve">الحد التشغيلي: تركيز الأوزون المتبقي النشط (Residual O3) عند نقطة التعبئة: 0.05 - 0.5 mg/L لضمان تعقيم العبوة والغطاء. (NFSA قرار 6/2023 المادة 12).</w:t>
      </w:r>
    </w:p>
    <w:p>
      <w:pPr>
        <w:pStyle w:val="Compact"/>
        <w:numPr>
          <w:ilvl w:val="2"/>
          <w:numId w:val="1015"/>
        </w:numPr>
      </w:pPr>
      <w:r>
        <w:t xml:space="preserve">المراقبة: قياس التركيز لونيّاً بجهاز (Colorimeter) مرتين في الوردية. (المسؤول: مسؤول المعالجة والتشغيل)</w:t>
      </w:r>
    </w:p>
    <w:p>
      <w:pPr>
        <w:pStyle w:val="Compact"/>
        <w:numPr>
          <w:ilvl w:val="2"/>
          <w:numId w:val="1015"/>
        </w:numPr>
      </w:pPr>
      <w:r>
        <w:t xml:space="preserve">الإجراء التصحيحي: تعديل ومعايرة الجرعة أوتوماتيكياً. إيقاف التعبئة وتحويل مسار المياه لإعادة التدوير وضخ الأوزون.</w:t>
      </w:r>
    </w:p>
    <w:p>
      <w:pPr>
        <w:pStyle w:val="Compact"/>
        <w:numPr>
          <w:ilvl w:val="1"/>
          <w:numId w:val="1011"/>
        </w:numPr>
      </w:pPr>
      <w:r>
        <w:rPr>
          <w:b/>
          <w:bCs/>
        </w:rPr>
        <w:t xml:space="preserve">OPRP-2: الفلتر الرملي (مرشح الوسائط)</w:t>
      </w:r>
      <w:r>
        <w:t xml:space="preserve">:</w:t>
      </w:r>
    </w:p>
    <w:p>
      <w:pPr>
        <w:pStyle w:val="Compact"/>
        <w:numPr>
          <w:ilvl w:val="2"/>
          <w:numId w:val="1016"/>
        </w:numPr>
      </w:pPr>
      <w:r>
        <w:t xml:space="preserve">الحد التشغيلي: الحفاظ على عكارة المياه الناتجة &lt; 1 NTU. فرق الضغط الهيدروليكي على المرشح ≤ 3 بار.</w:t>
      </w:r>
    </w:p>
    <w:p>
      <w:pPr>
        <w:pStyle w:val="Compact"/>
        <w:numPr>
          <w:ilvl w:val="2"/>
          <w:numId w:val="1016"/>
        </w:numPr>
      </w:pPr>
      <w:r>
        <w:t xml:space="preserve">المراقبة: متابعة قراءة الضغط والعكارة مرتين في الوردية. (المسؤول: مسؤول المعالجة والتشغيل)</w:t>
      </w:r>
    </w:p>
    <w:p>
      <w:pPr>
        <w:pStyle w:val="Compact"/>
        <w:numPr>
          <w:ilvl w:val="2"/>
          <w:numId w:val="1016"/>
        </w:numPr>
      </w:pPr>
      <w:r>
        <w:t xml:space="preserve">الإجراء التصحيحي: عزل وحجز الدفعة، إجراء غسيل عكسي (Backwash) أو استبدال الشمعات.</w:t>
      </w:r>
    </w:p>
    <w:bookmarkEnd w:id="21"/>
    <w:bookmarkStart w:id="22" w:name="X6f19ca77eb597309d8ca41ac7873c1d037c4764"/>
    <w:p>
      <w:pPr>
        <w:pStyle w:val="Heading3"/>
      </w:pPr>
      <w:r>
        <w:t xml:space="preserve">6-6. وضع الحدود الحرجة والتشغيلية (ISO 22000:2018 §8.5.4.3, Codex HACCP Principle 3)</w:t>
      </w:r>
    </w:p>
    <w:p>
      <w:pPr>
        <w:pStyle w:val="Compact"/>
        <w:numPr>
          <w:ilvl w:val="0"/>
          <w:numId w:val="1017"/>
        </w:numPr>
      </w:pPr>
      <w:r>
        <w:rPr>
          <w:b/>
          <w:bCs/>
        </w:rPr>
        <w:t xml:space="preserve">تحديد الحدود لكل CCP</w:t>
      </w:r>
      <w:r>
        <w:t xml:space="preserve">: يتم تحديد الحدود الحرجة والقابلة للقياس لكل CCP لتمييز المقبول عن غير المقبول. هذه الحدود يجب أن تكون مستندة إلى المواصفات والمعايير التشريعية والعلمية (ES 1589/2023، NFSA قرار 6/2023). (المسؤول: فريق سلامة الغذاء).</w:t>
      </w:r>
    </w:p>
    <w:p>
      <w:pPr>
        <w:pStyle w:val="Compact"/>
        <w:numPr>
          <w:ilvl w:val="0"/>
          <w:numId w:val="1017"/>
        </w:numPr>
      </w:pPr>
      <w:r>
        <w:rPr>
          <w:b/>
          <w:bCs/>
        </w:rPr>
        <w:t xml:space="preserve">تحديد الحدود لكل OPRP</w:t>
      </w:r>
      <w:r>
        <w:t xml:space="preserve">: يتم تحديد معايير التدخل والتشغيل لكل OPRP لضمان التحكم الفعال في الخطر. (المسؤول: فريق سلامة الغذاء).</w:t>
      </w:r>
    </w:p>
    <w:bookmarkEnd w:id="22"/>
    <w:bookmarkStart w:id="23" w:name="X52f0f20fcee7cde2e24495f61573f5070ffd2e3"/>
    <w:p>
      <w:pPr>
        <w:pStyle w:val="Heading3"/>
      </w:pPr>
      <w:r>
        <w:t xml:space="preserve">6-7. إنشاء نظام للمراقبة (Monitoring) (ISO 22000:2018 §8.5.4.4, Codex HACCP Principle 4)</w:t>
      </w:r>
    </w:p>
    <w:p>
      <w:pPr>
        <w:pStyle w:val="Compact"/>
        <w:numPr>
          <w:ilvl w:val="0"/>
          <w:numId w:val="1018"/>
        </w:numPr>
      </w:pPr>
      <w:r>
        <w:rPr>
          <w:b/>
          <w:bCs/>
        </w:rPr>
        <w:t xml:space="preserve">تحديد إجراءات المراقبة</w:t>
      </w:r>
      <w:r>
        <w:t xml:space="preserve">: يتم تحديد إجراءات المراقبة لكل CCP و OPRP، بما في ذلك: ماذا تتم مراقبته، متى (التكرار)، كيف (الأسلوب والأداة)، من (المسؤول). يجب أن تكون هذه الإجراءات فعالة لاكتشاف أي حيود في الوقت المناسب.</w:t>
      </w:r>
    </w:p>
    <w:p>
      <w:pPr>
        <w:pStyle w:val="Compact"/>
        <w:numPr>
          <w:ilvl w:val="0"/>
          <w:numId w:val="1018"/>
        </w:numPr>
      </w:pPr>
      <w:r>
        <w:rPr>
          <w:b/>
          <w:bCs/>
        </w:rPr>
        <w:t xml:space="preserve">توثيق المراقبة</w:t>
      </w:r>
      <w:r>
        <w:t xml:space="preserve">: يتم تسجيل جميع بيانات المراقبة في النماذج والسجلات المحددة. (المسؤول: الأفراد المحددين في مصفوفة المسؤوليات).</w:t>
      </w:r>
    </w:p>
    <w:bookmarkEnd w:id="23"/>
    <w:bookmarkStart w:id="24" w:name="X9fe105c2b25221410ab09e237072e3fb9f0ef4f"/>
    <w:p>
      <w:pPr>
        <w:pStyle w:val="Heading3"/>
      </w:pPr>
      <w:r>
        <w:t xml:space="preserve">6-8. تحديد الإجراءات التصحيحية وخطط الطوارئ (ISO 22000:2018 §8.5.4.5, Codex HACCP Principle 5 &amp; FSSC 22000 v6 Part 2 §2.5.4, ISO/TS 22002-1 §1.4, NFSA قرار 6/2023 المادة 18)</w:t>
      </w:r>
    </w:p>
    <w:p>
      <w:pPr>
        <w:pStyle w:val="Compact"/>
        <w:numPr>
          <w:ilvl w:val="0"/>
          <w:numId w:val="1019"/>
        </w:numPr>
      </w:pPr>
      <w:r>
        <w:rPr>
          <w:b/>
          <w:bCs/>
        </w:rPr>
        <w:t xml:space="preserve">الإجراءات التصحيحية لـ CCPs و OPRPs</w:t>
      </w:r>
      <w:r>
        <w:t xml:space="preserve">: يتم وضع إجراءات تصحيحية واضحة ومحددة لكل سيناريو حيود عن الحدود الحرجة/التشغيلية. يجب أن تشمل هذه الإجراءات:</w:t>
      </w:r>
    </w:p>
    <w:p>
      <w:pPr>
        <w:pStyle w:val="Compact"/>
        <w:numPr>
          <w:ilvl w:val="1"/>
          <w:numId w:val="1020"/>
        </w:numPr>
      </w:pPr>
      <w:r>
        <w:t xml:space="preserve">تحديد سبب الحيود.</w:t>
      </w:r>
    </w:p>
    <w:p>
      <w:pPr>
        <w:pStyle w:val="Compact"/>
        <w:numPr>
          <w:ilvl w:val="1"/>
          <w:numId w:val="1020"/>
        </w:numPr>
      </w:pPr>
      <w:r>
        <w:t xml:space="preserve">اتخاذ إجراء فوري لإعادة السيطرة على العملية.</w:t>
      </w:r>
    </w:p>
    <w:p>
      <w:pPr>
        <w:pStyle w:val="Compact"/>
        <w:numPr>
          <w:ilvl w:val="1"/>
          <w:numId w:val="1020"/>
        </w:numPr>
      </w:pPr>
      <w:r>
        <w:t xml:space="preserve">التعامل مع المنتجات المتأثرة (حجز، تقييم، التخلص الآمن أو إعادة المعالجة).</w:t>
      </w:r>
    </w:p>
    <w:p>
      <w:pPr>
        <w:pStyle w:val="Compact"/>
        <w:numPr>
          <w:ilvl w:val="1"/>
          <w:numId w:val="1020"/>
        </w:numPr>
      </w:pPr>
      <w:r>
        <w:t xml:space="preserve">سجلات الحيود والإجراءات التصحيحية. (المسؤول: فريق سلامة الغذاء، مشرفي الإنتاج والجودة).</w:t>
      </w:r>
    </w:p>
    <w:p>
      <w:pPr>
        <w:pStyle w:val="Compact"/>
        <w:numPr>
          <w:ilvl w:val="0"/>
          <w:numId w:val="1019"/>
        </w:numPr>
      </w:pPr>
      <w:r>
        <w:rPr>
          <w:b/>
          <w:bCs/>
        </w:rPr>
        <w:t xml:space="preserve">خطط الطوارئ واستمرارية الأعمال (Emergency Preparedness and Response)</w:t>
      </w:r>
      <w:r>
        <w:t xml:space="preserve">:</w:t>
      </w:r>
    </w:p>
    <w:p>
      <w:pPr>
        <w:pStyle w:val="Compact"/>
        <w:numPr>
          <w:ilvl w:val="1"/>
          <w:numId w:val="1021"/>
        </w:numPr>
      </w:pPr>
      <w:r>
        <w:rPr>
          <w:b/>
          <w:bCs/>
        </w:rPr>
        <w:t xml:space="preserve">انقطاع التيار الكهربائي</w:t>
      </w:r>
      <w:r>
        <w:t xml:space="preserve">:</w:t>
      </w:r>
    </w:p>
    <w:p>
      <w:pPr>
        <w:pStyle w:val="Compact"/>
        <w:numPr>
          <w:ilvl w:val="2"/>
          <w:numId w:val="1022"/>
        </w:numPr>
      </w:pPr>
      <w:r>
        <w:rPr>
          <w:b/>
          <w:bCs/>
        </w:rPr>
        <w:t xml:space="preserve">استجابة فورية (عند الانقطاع)</w:t>
      </w:r>
      <w:r>
        <w:t xml:space="preserve">: غلق محبس خروج خزان المنتج النهائي (10,000 لتر) فوراً. تفريغ مواد التعبئة والتغليف المفتوحة (ليبل، أغطية) من خط الإنتاج وتحويلها للهوالك (GMP). تفريغ فوهات ماكينة التعبئة يدوياً.</w:t>
      </w:r>
    </w:p>
    <w:p>
      <w:pPr>
        <w:pStyle w:val="Compact"/>
        <w:numPr>
          <w:ilvl w:val="2"/>
          <w:numId w:val="1022"/>
        </w:numPr>
      </w:pPr>
      <w:r>
        <w:rPr>
          <w:b/>
          <w:bCs/>
        </w:rPr>
        <w:t xml:space="preserve">بعد العودة</w:t>
      </w:r>
      <w:r>
        <w:t xml:space="preserve">: تفريغ خطوط المواسير الداخلية للفلر والجالون بالكامل. إجراء شطف هيدروليكي كيميائي مكثف بالكامل لمدة 15 دقيقة بمياه الـ RO. قياس عكارة المياه بجهاز (Milwaukee MI415 PRO) لنتائج &lt; 1 NTU.</w:t>
      </w:r>
    </w:p>
    <w:p>
      <w:pPr>
        <w:pStyle w:val="Compact"/>
        <w:numPr>
          <w:ilvl w:val="2"/>
          <w:numId w:val="1022"/>
        </w:numPr>
      </w:pPr>
      <w:r>
        <w:rPr>
          <w:b/>
          <w:bCs/>
        </w:rPr>
        <w:t xml:space="preserve">تقييم المخاطر الإضافية</w:t>
      </w:r>
      <w:r>
        <w:t xml:space="preserve">: تقييم المخاطر المحتملة لتلوث المنتج بسبب توقف أجهزة التكييف والتهوية، تأثر أنظمة التعقيم، وخطط لتقليل هذه الآثار.</w:t>
      </w:r>
    </w:p>
    <w:p>
      <w:pPr>
        <w:pStyle w:val="Compact"/>
        <w:numPr>
          <w:ilvl w:val="2"/>
          <w:numId w:val="1022"/>
        </w:numPr>
      </w:pPr>
      <w:r>
        <w:rPr>
          <w:b/>
          <w:bCs/>
        </w:rPr>
        <w:t xml:space="preserve">الاختبار والتدريب</w:t>
      </w:r>
      <w:r>
        <w:t xml:space="preserve">: إجراء اختبارات دورية لفعالية هذه الخطة وتدريب العاملين عليها. (المسؤول: مدير المصنع بالتعاون مع فريق سلامة الغذاء والصيانة).</w:t>
      </w:r>
    </w:p>
    <w:p>
      <w:pPr>
        <w:pStyle w:val="Compact"/>
        <w:numPr>
          <w:ilvl w:val="1"/>
          <w:numId w:val="1021"/>
        </w:numPr>
      </w:pPr>
      <w:r>
        <w:rPr>
          <w:b/>
          <w:bCs/>
        </w:rPr>
        <w:t xml:space="preserve">الحرائق والانفجارات (Recovery)</w:t>
      </w:r>
      <w:r>
        <w:t xml:space="preserve">:</w:t>
      </w:r>
    </w:p>
    <w:p>
      <w:pPr>
        <w:pStyle w:val="Compact"/>
        <w:numPr>
          <w:ilvl w:val="2"/>
          <w:numId w:val="1023"/>
        </w:numPr>
      </w:pPr>
      <w:r>
        <w:rPr>
          <w:b/>
          <w:bCs/>
        </w:rPr>
        <w:t xml:space="preserve">بعد السيطرة</w:t>
      </w:r>
      <w:r>
        <w:t xml:space="preserve">: التحقق الهندسي والميكانيكي الشامل من سلامة البنية التحتية، شبكة الأنابيب، والخزانات.</w:t>
      </w:r>
    </w:p>
    <w:p>
      <w:pPr>
        <w:pStyle w:val="Compact"/>
        <w:numPr>
          <w:ilvl w:val="2"/>
          <w:numId w:val="1023"/>
        </w:numPr>
      </w:pPr>
      <w:r>
        <w:rPr>
          <w:b/>
          <w:bCs/>
        </w:rPr>
        <w:t xml:space="preserve">التطهير</w:t>
      </w:r>
      <w:r>
        <w:t xml:space="preserve">: تنفيذ برنامج غسيل وتطهير ميكانيكي يدوي وهيدروليكي شامل للخطوط لضمان إزالة أي آثار كيميائية أو ترسبات.</w:t>
      </w:r>
    </w:p>
    <w:p>
      <w:pPr>
        <w:pStyle w:val="Compact"/>
        <w:numPr>
          <w:ilvl w:val="2"/>
          <w:numId w:val="1023"/>
        </w:numPr>
      </w:pPr>
      <w:r>
        <w:rPr>
          <w:b/>
          <w:bCs/>
        </w:rPr>
        <w:t xml:space="preserve">التحقق</w:t>
      </w:r>
      <w:r>
        <w:t xml:space="preserve">: سحب عينات مياه من خطوط التعبئة وتحليلها ميكروبيولوجياً وكيميائياً بالمعمل لضمان سلامتها المطلقة قبل استئناف التشغيل.</w:t>
      </w:r>
    </w:p>
    <w:p>
      <w:pPr>
        <w:pStyle w:val="Compact"/>
        <w:numPr>
          <w:ilvl w:val="2"/>
          <w:numId w:val="1023"/>
        </w:numPr>
      </w:pPr>
      <w:r>
        <w:rPr>
          <w:b/>
          <w:bCs/>
        </w:rPr>
        <w:t xml:space="preserve">التدريب على سيناريوهات الطوارئ</w:t>
      </w:r>
      <w:r>
        <w:t xml:space="preserve">: تدريب دوري للعاملين على إجراءات الإخلاء، استخدام أنظمة الإطفاء، والتعامل مع المواد الكيميائية الخطرة. (المسؤول: مدير المصنع بالتعاون مع فريق سلامة الغذاء والصيانة).</w:t>
      </w:r>
    </w:p>
    <w:p>
      <w:pPr>
        <w:pStyle w:val="Compact"/>
        <w:numPr>
          <w:ilvl w:val="1"/>
          <w:numId w:val="1021"/>
        </w:numPr>
      </w:pPr>
      <w:r>
        <w:rPr>
          <w:b/>
          <w:bCs/>
        </w:rPr>
        <w:t xml:space="preserve">تلوث المياه الخام أو المنتج</w:t>
      </w:r>
      <w:r>
        <w:t xml:space="preserve">:</w:t>
      </w:r>
    </w:p>
    <w:p>
      <w:pPr>
        <w:pStyle w:val="Compact"/>
        <w:numPr>
          <w:ilvl w:val="2"/>
          <w:numId w:val="1024"/>
        </w:numPr>
      </w:pPr>
      <w:r>
        <w:rPr>
          <w:b/>
          <w:bCs/>
        </w:rPr>
        <w:t xml:space="preserve">الاستجابة الفورية</w:t>
      </w:r>
      <w:r>
        <w:t xml:space="preserve">: إيقاف فورى لجميع العمليات المتأثرة، حجز واحتجاز الدفعات المشتبه فيها.</w:t>
      </w:r>
    </w:p>
    <w:p>
      <w:pPr>
        <w:pStyle w:val="Compact"/>
        <w:numPr>
          <w:ilvl w:val="2"/>
          <w:numId w:val="1024"/>
        </w:numPr>
      </w:pPr>
      <w:r>
        <w:rPr>
          <w:b/>
          <w:bCs/>
        </w:rPr>
        <w:t xml:space="preserve">التحقيق</w:t>
      </w:r>
      <w:r>
        <w:t xml:space="preserve">: تحديد مصدر التلوث، بالتعاون مع جهات خارجية معتمدة إذا لزم الأمر.</w:t>
      </w:r>
    </w:p>
    <w:p>
      <w:pPr>
        <w:pStyle w:val="Compact"/>
        <w:numPr>
          <w:ilvl w:val="2"/>
          <w:numId w:val="1024"/>
        </w:numPr>
      </w:pPr>
      <w:r>
        <w:rPr>
          <w:b/>
          <w:bCs/>
        </w:rPr>
        <w:t xml:space="preserve">الإجراء التصحيحي</w:t>
      </w:r>
      <w:r>
        <w:t xml:space="preserve">: تطهير وتعقيم مكثف للأنظمة، إعادة فحص شاملة.</w:t>
      </w:r>
    </w:p>
    <w:p>
      <w:pPr>
        <w:pStyle w:val="Compact"/>
        <w:numPr>
          <w:ilvl w:val="2"/>
          <w:numId w:val="1024"/>
        </w:numPr>
      </w:pPr>
      <w:r>
        <w:rPr>
          <w:b/>
          <w:bCs/>
        </w:rPr>
        <w:t xml:space="preserve">الاسترجاع (Recall)</w:t>
      </w:r>
      <w:r>
        <w:t xml:space="preserve">: في حال وصول المنتج للسوق، يتم تفعيل إجراء سحب المنتج من السوق (Recall Procedure) رقم FSP-XX (يتم تحديده). (المسؤول: فريق سلامة الغذاء بالتعاون مع مدير المصنع ووكيل NFSA).</w:t>
      </w:r>
    </w:p>
    <w:p>
      <w:pPr>
        <w:pStyle w:val="Compact"/>
        <w:numPr>
          <w:ilvl w:val="1"/>
          <w:numId w:val="1021"/>
        </w:numPr>
      </w:pPr>
      <w:r>
        <w:rPr>
          <w:b/>
          <w:bCs/>
        </w:rPr>
        <w:t xml:space="preserve">مخطط الدفاع ضد الغش الغذائي (Food Defense Plan)</w:t>
      </w:r>
      <w:r>
        <w:t xml:space="preserve">: يتم وضع خطة دفاع ضد الغش الغذائي لتقليل فرصة العبث المتعمد بالمنتج أو المواد الخام. (المسؤول: مدير الأمن/فريق سلامة الغذاء).</w:t>
      </w:r>
    </w:p>
    <w:p>
      <w:pPr>
        <w:pStyle w:val="Compact"/>
        <w:numPr>
          <w:ilvl w:val="1"/>
          <w:numId w:val="1021"/>
        </w:numPr>
      </w:pPr>
      <w:r>
        <w:rPr>
          <w:b/>
          <w:bCs/>
        </w:rPr>
        <w:t xml:space="preserve">ضبط الأتربة والآفات (Building Skin Control - ISO/TS 22002-1 §7.3)</w:t>
      </w:r>
      <w:r>
        <w:t xml:space="preserve">:</w:t>
      </w:r>
    </w:p>
    <w:p>
      <w:pPr>
        <w:pStyle w:val="Compact"/>
        <w:numPr>
          <w:ilvl w:val="2"/>
          <w:numId w:val="1025"/>
        </w:numPr>
      </w:pPr>
      <w:r>
        <w:rPr>
          <w:b/>
          <w:bCs/>
        </w:rPr>
        <w:t xml:space="preserve">الإجراءات الوقائية</w:t>
      </w:r>
      <w:r>
        <w:t xml:space="preserve">: إحكام غلق الأبواب، تركيب ستائر بلاستيكية عند بوابات الشحن والتصنيع، تأمين النوافذ بشبك ضيق المسام. تكثيف مصائد القوارض البلاستيكية المحمية المغلقة حول جدران المبنى الخارجي.</w:t>
      </w:r>
    </w:p>
    <w:p>
      <w:pPr>
        <w:pStyle w:val="Compact"/>
        <w:numPr>
          <w:ilvl w:val="2"/>
          <w:numId w:val="1025"/>
        </w:numPr>
      </w:pPr>
      <w:r>
        <w:rPr>
          <w:b/>
          <w:bCs/>
        </w:rPr>
        <w:t xml:space="preserve">المراقبة والتحقق</w:t>
      </w:r>
      <w:r>
        <w:t xml:space="preserve">: تفتيش أسبوعي لمصائد القوارض والحشرات. مراجعات دورية لسلامة الشبك والستائر البلاستيكية. قياس دوري لجودة الهواء الداخلي. (المسؤول: مسؤول الصيانة، فريق سلامة الغذاء).</w:t>
      </w:r>
    </w:p>
    <w:bookmarkEnd w:id="24"/>
    <w:bookmarkStart w:id="25" w:name="X06b8f8498c21e3274728b931307993640efd48e"/>
    <w:p>
      <w:pPr>
        <w:pStyle w:val="Heading3"/>
      </w:pPr>
      <w:r>
        <w:t xml:space="preserve">6-9. إجراءات التحقق (Verification) (ISO 22000:2018 §8.5.5, Codex HACCP Principle 6)</w:t>
      </w:r>
    </w:p>
    <w:p>
      <w:pPr>
        <w:pStyle w:val="Compact"/>
        <w:numPr>
          <w:ilvl w:val="0"/>
          <w:numId w:val="1026"/>
        </w:numPr>
      </w:pPr>
      <w:r>
        <w:rPr>
          <w:b/>
          <w:bCs/>
        </w:rPr>
        <w:t xml:space="preserve">التحقق من الخطة</w:t>
      </w:r>
      <w:r>
        <w:t xml:space="preserve">: يقوم فريق سلامة الغذاء بمراجعة خطة HACCP بشكل دوري للتأكد من استمرار فعاليتها وملائمتها.</w:t>
      </w:r>
    </w:p>
    <w:p>
      <w:pPr>
        <w:pStyle w:val="Compact"/>
        <w:numPr>
          <w:ilvl w:val="0"/>
          <w:numId w:val="1026"/>
        </w:numPr>
      </w:pPr>
      <w:r>
        <w:rPr>
          <w:b/>
          <w:bCs/>
        </w:rPr>
        <w:t xml:space="preserve">المعايرة الخارجية</w:t>
      </w:r>
      <w:r>
        <w:t xml:space="preserve">: معايرة أجهزة القياس الحساسة مثل أجهزة Online TDS من جهة خارجية معتمدة (ISO 17025) بشكل دوري (شهري/ربع سنوي).</w:t>
      </w:r>
    </w:p>
    <w:p>
      <w:pPr>
        <w:pStyle w:val="Compact"/>
        <w:numPr>
          <w:ilvl w:val="0"/>
          <w:numId w:val="1026"/>
        </w:numPr>
      </w:pPr>
      <w:r>
        <w:rPr>
          <w:b/>
          <w:bCs/>
        </w:rPr>
        <w:t xml:space="preserve">الاختبارات المعملية الخارجية</w:t>
      </w:r>
      <w:r>
        <w:t xml:space="preserve">: إجراء تحاليل كيميائية وميكروبيولوجية للمياه على فترات محددة في مختبرات خارجية معتمدة.</w:t>
      </w:r>
    </w:p>
    <w:p>
      <w:pPr>
        <w:pStyle w:val="Compact"/>
        <w:numPr>
          <w:ilvl w:val="0"/>
          <w:numId w:val="1026"/>
        </w:numPr>
      </w:pPr>
      <w:r>
        <w:rPr>
          <w:b/>
          <w:bCs/>
        </w:rPr>
        <w:t xml:space="preserve">تدقيق داخلي وخارجي</w:t>
      </w:r>
      <w:r>
        <w:t xml:space="preserve">: إجراء تدقيقات داخلية وخارجية (FSSC 22000) للتحقق من التزام نظام إدارة سلامة الغذاء بمتطلبات المواصفات والتشريعات. (المسؤول: مدير الجودة).</w:t>
      </w:r>
    </w:p>
    <w:bookmarkEnd w:id="25"/>
    <w:bookmarkStart w:id="26" w:name="Xff2b5c073bfb310012dca6cb74936b917981eae"/>
    <w:p>
      <w:pPr>
        <w:pStyle w:val="Heading3"/>
      </w:pPr>
      <w:r>
        <w:t xml:space="preserve">6-10. إنشاء نظام لحفظ السجلات والوثائق (ISO 22000:2018 §8.5.6, Codex HACCP Principle 7)</w:t>
      </w:r>
    </w:p>
    <w:p>
      <w:pPr>
        <w:pStyle w:val="Compact"/>
        <w:numPr>
          <w:ilvl w:val="0"/>
          <w:numId w:val="1027"/>
        </w:numPr>
      </w:pPr>
      <w:r>
        <w:rPr>
          <w:b/>
          <w:bCs/>
        </w:rPr>
        <w:t xml:space="preserve">التوثيق</w:t>
      </w:r>
      <w:r>
        <w:t xml:space="preserve">: يتم توثيق جميع الإجراءات والسجلات والـ KPIs المتعلقة بخطة HACCP.</w:t>
      </w:r>
    </w:p>
    <w:p>
      <w:pPr>
        <w:pStyle w:val="Compact"/>
        <w:numPr>
          <w:ilvl w:val="0"/>
          <w:numId w:val="1027"/>
        </w:numPr>
      </w:pPr>
      <w:r>
        <w:rPr>
          <w:b/>
          <w:bCs/>
        </w:rPr>
        <w:t xml:space="preserve">حفظ السجلات</w:t>
      </w:r>
      <w:r>
        <w:t xml:space="preserve">: يتم حفظ السجلات بطريقة منظمة (بشكل إلكتروني و/أو ورقي) لتمكين التتبع والمراجعة. (المسؤول: مدير الجودة).</w:t>
      </w:r>
    </w:p>
    <w:bookmarkEnd w:id="26"/>
    <w:bookmarkStart w:id="27" w:name="X51362c4732fe50cd07b2ffad5897115741268a3"/>
    <w:p>
      <w:pPr>
        <w:pStyle w:val="Heading3"/>
      </w:pPr>
      <w:r>
        <w:t xml:space="preserve">6-11. خطة التحديث (Updating of Preliminary Information and Documents) (ISO 22000:2018 §8.5.2.5)</w:t>
      </w:r>
    </w:p>
    <w:p>
      <w:pPr>
        <w:pStyle w:val="Compact"/>
        <w:numPr>
          <w:ilvl w:val="0"/>
          <w:numId w:val="1028"/>
        </w:numPr>
      </w:pPr>
      <w:r>
        <w:rPr>
          <w:b/>
          <w:bCs/>
        </w:rPr>
        <w:t xml:space="preserve">تحديث البيانات</w:t>
      </w:r>
      <w:r>
        <w:t xml:space="preserve">: عند حدوث أي تغييرات في المنتج، العملية، المواد الخام، أو متطلبات العملاء والتشريعات، يقوم فريق سلامة الغذاء بمراجعة وتحديث خطة HACCP ومستنداتها لضمان استمرار فعاليتها. (المسؤول: فريق سلامة الغذاء).</w:t>
      </w:r>
    </w:p>
    <w:p>
      <w:pPr>
        <w:pStyle w:val="Compact"/>
        <w:numPr>
          <w:ilvl w:val="0"/>
          <w:numId w:val="1028"/>
        </w:numPr>
      </w:pPr>
      <w:r>
        <w:rPr>
          <w:b/>
          <w:bCs/>
        </w:rPr>
        <w:t xml:space="preserve">تقييم المخاطر الجديدة</w:t>
      </w:r>
      <w:r>
        <w:t xml:space="preserve">: يتم تقييم أي مخاطر جديدة قد تنشأ من التغييرات والتحديثات. (المسؤول: فريق سلامة الغذاء).</w:t>
      </w:r>
    </w:p>
    <w:bookmarkEnd w:id="27"/>
    <w:bookmarkEnd w:id="28"/>
    <w:bookmarkStart w:id="29" w:name="السجلات-والنماذج-المرتبطة"/>
    <w:p>
      <w:pPr>
        <w:pStyle w:val="Heading2"/>
      </w:pPr>
      <w:r>
        <w:t xml:space="preserve">7. السجلات والنماذج المرتبطة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الكود</w:t>
            </w:r>
          </w:p>
        </w:tc>
        <w:tc>
          <w:tcPr/>
          <w:p>
            <w:pPr>
              <w:pStyle w:val="Compact"/>
            </w:pPr>
            <w:r>
              <w:t xml:space="preserve">الاسم</w:t>
            </w:r>
          </w:p>
        </w:tc>
        <w:tc>
          <w:tcPr/>
          <w:p>
            <w:pPr>
              <w:pStyle w:val="Compact"/>
            </w:pPr>
            <w:r>
              <w:t xml:space="preserve">المسؤول</w:t>
            </w:r>
          </w:p>
        </w:tc>
        <w:tc>
          <w:tcPr/>
          <w:p>
            <w:pPr>
              <w:pStyle w:val="Compact"/>
            </w:pPr>
            <w:r>
              <w:t xml:space="preserve">مدة الحفظ</w:t>
            </w:r>
          </w:p>
        </w:tc>
        <w:tc>
          <w:tcPr/>
          <w:p>
            <w:pPr>
              <w:pStyle w:val="Compact"/>
            </w:pPr>
            <w:r>
              <w:t xml:space="preserve">المحتوى المقترح</w:t>
            </w:r>
          </w:p>
        </w:tc>
      </w:tr>
      <w:tr>
        <w:tc>
          <w:tcPr/>
          <w:p>
            <w:pPr>
              <w:pStyle w:val="Compact"/>
            </w:pPr>
            <w:r>
              <w:t xml:space="preserve">FSP-26-01</w:t>
            </w:r>
          </w:p>
        </w:tc>
        <w:tc>
          <w:tcPr/>
          <w:p>
            <w:pPr>
              <w:pStyle w:val="Compact"/>
            </w:pPr>
            <w:r>
              <w:t xml:space="preserve">سجل تشكيل فريق سلامة الغذاء</w:t>
            </w:r>
          </w:p>
        </w:tc>
        <w:tc>
          <w:tcPr/>
          <w:p>
            <w:pPr>
              <w:pStyle w:val="Compact"/>
            </w:pPr>
            <w:r>
              <w:t xml:space="preserve">مدير الجودة</w:t>
            </w:r>
          </w:p>
        </w:tc>
        <w:tc>
          <w:tcPr/>
          <w:p>
            <w:pPr>
              <w:pStyle w:val="Compact"/>
            </w:pPr>
            <w:r>
              <w:t xml:space="preserve">5 سنوات</w:t>
            </w:r>
          </w:p>
        </w:tc>
        <w:tc>
          <w:tcPr/>
          <w:p>
            <w:pPr>
              <w:pStyle w:val="Compact"/>
            </w:pPr>
            <w:r>
              <w:t xml:space="preserve">أسماء الأعضاء، مؤهلاتهم، مسؤولياتهم، تاريخ التشكيل.</w:t>
            </w:r>
          </w:p>
        </w:tc>
      </w:tr>
      <w:tr>
        <w:tc>
          <w:tcPr/>
          <w:p>
            <w:pPr>
              <w:pStyle w:val="Compact"/>
            </w:pPr>
            <w:r>
              <w:t xml:space="preserve">FSP-26-02</w:t>
            </w:r>
          </w:p>
        </w:tc>
        <w:tc>
          <w:tcPr/>
          <w:p>
            <w:pPr>
              <w:pStyle w:val="Compact"/>
            </w:pPr>
            <w:r>
              <w:t xml:space="preserve">وصف المنتج النهائي والمواد الخام</w:t>
            </w:r>
          </w:p>
        </w:tc>
        <w:tc>
          <w:tcPr/>
          <w:p>
            <w:pPr>
              <w:pStyle w:val="Compact"/>
            </w:pPr>
            <w:r>
              <w:t xml:space="preserve">مدير الجودة</w:t>
            </w:r>
          </w:p>
        </w:tc>
        <w:tc>
          <w:tcPr/>
          <w:p>
            <w:pPr>
              <w:pStyle w:val="Compact"/>
            </w:pPr>
            <w:r>
              <w:t xml:space="preserve">5 سنوات (أو مدة صلاحية المنتج + سنة)</w:t>
            </w:r>
          </w:p>
        </w:tc>
        <w:tc>
          <w:tcPr/>
          <w:p>
            <w:pPr>
              <w:pStyle w:val="Compact"/>
            </w:pPr>
            <w:r>
              <w:t xml:space="preserve">مواصفات المنتج النهائي، المياه الخام، مواد التعبئة والتغليف.</w:t>
            </w:r>
          </w:p>
        </w:tc>
      </w:tr>
      <w:tr>
        <w:tc>
          <w:tcPr/>
          <w:p>
            <w:pPr>
              <w:pStyle w:val="Compact"/>
            </w:pPr>
            <w:r>
              <w:t xml:space="preserve">FSP-26-03</w:t>
            </w:r>
          </w:p>
        </w:tc>
        <w:tc>
          <w:tcPr/>
          <w:p>
            <w:pPr>
              <w:pStyle w:val="Compact"/>
            </w:pPr>
            <w:r>
              <w:t xml:space="preserve">خرائط تدفق العملية</w:t>
            </w:r>
          </w:p>
        </w:tc>
        <w:tc>
          <w:tcPr/>
          <w:p>
            <w:pPr>
              <w:pStyle w:val="Compact"/>
            </w:pPr>
            <w:r>
              <w:t xml:space="preserve">مدير الجودة</w:t>
            </w:r>
          </w:p>
        </w:tc>
        <w:tc>
          <w:tcPr/>
          <w:p>
            <w:pPr>
              <w:pStyle w:val="Compact"/>
            </w:pPr>
            <w:r>
              <w:t xml:space="preserve">5 سنوات</w:t>
            </w:r>
          </w:p>
        </w:tc>
        <w:tc>
          <w:tcPr/>
          <w:p>
            <w:pPr>
              <w:pStyle w:val="Compact"/>
            </w:pPr>
            <w:r>
              <w:t xml:space="preserve">جميع خرائط تدفق عمليات الإنتاج والتحقق عليها.</w:t>
            </w:r>
          </w:p>
        </w:tc>
      </w:tr>
      <w:tr>
        <w:tc>
          <w:tcPr/>
          <w:p>
            <w:pPr>
              <w:pStyle w:val="Compact"/>
            </w:pPr>
            <w:r>
              <w:t xml:space="preserve">FSP-26-04</w:t>
            </w:r>
          </w:p>
        </w:tc>
        <w:tc>
          <w:tcPr/>
          <w:p>
            <w:pPr>
              <w:pStyle w:val="Compact"/>
            </w:pPr>
            <w:r>
              <w:t xml:space="preserve">سجل تحليل المخاطر</w:t>
            </w:r>
          </w:p>
        </w:tc>
        <w:tc>
          <w:tcPr/>
          <w:p>
            <w:pPr>
              <w:pStyle w:val="Compact"/>
            </w:pPr>
            <w:r>
              <w:t xml:space="preserve">مدير الجودة</w:t>
            </w:r>
          </w:p>
        </w:tc>
        <w:tc>
          <w:tcPr/>
          <w:p>
            <w:pPr>
              <w:pStyle w:val="Compact"/>
            </w:pPr>
            <w:r>
              <w:t xml:space="preserve">5 سنوات</w:t>
            </w:r>
          </w:p>
        </w:tc>
        <w:tc>
          <w:tcPr/>
          <w:p>
            <w:pPr>
              <w:pStyle w:val="Compact"/>
            </w:pPr>
            <w:r>
              <w:t xml:space="preserve">المخاطر المحددة، تقييم الاحتمالية والشدة، التدابير الرقابية.</w:t>
            </w:r>
          </w:p>
        </w:tc>
      </w:tr>
      <w:tr>
        <w:tc>
          <w:tcPr/>
          <w:p>
            <w:pPr>
              <w:pStyle w:val="Compact"/>
            </w:pPr>
            <w:r>
              <w:t xml:space="preserve">FSP-26-05</w:t>
            </w:r>
          </w:p>
        </w:tc>
        <w:tc>
          <w:tcPr/>
          <w:p>
            <w:pPr>
              <w:pStyle w:val="Compact"/>
            </w:pPr>
            <w:r>
              <w:t xml:space="preserve">جدول خطة HACCP الموحد</w:t>
            </w:r>
          </w:p>
        </w:tc>
        <w:tc>
          <w:tcPr/>
          <w:p>
            <w:pPr>
              <w:pStyle w:val="Compact"/>
            </w:pPr>
            <w:r>
              <w:t xml:space="preserve">مدير الجودة</w:t>
            </w:r>
          </w:p>
        </w:tc>
        <w:tc>
          <w:tcPr/>
          <w:p>
            <w:pPr>
              <w:pStyle w:val="Compact"/>
            </w:pPr>
            <w:r>
              <w:t xml:space="preserve">5 سنوات</w:t>
            </w:r>
          </w:p>
        </w:tc>
        <w:tc>
          <w:tcPr/>
          <w:p>
            <w:pPr>
              <w:pStyle w:val="Compact"/>
            </w:pPr>
            <w:r>
              <w:t xml:space="preserve">CCPs/OPRPs، الحدود الحرجة/التشغيلية، المراقبة، الإجراءات التصحيحية، التحقق.</w:t>
            </w:r>
          </w:p>
        </w:tc>
      </w:tr>
      <w:tr>
        <w:tc>
          <w:tcPr/>
          <w:p>
            <w:pPr>
              <w:pStyle w:val="Compact"/>
            </w:pPr>
            <w:r>
              <w:t xml:space="preserve">FSP-26-06</w:t>
            </w:r>
          </w:p>
        </w:tc>
        <w:tc>
          <w:tcPr/>
          <w:p>
            <w:pPr>
              <w:pStyle w:val="Compact"/>
            </w:pPr>
            <w:r>
              <w:t xml:space="preserve">سجل مراقبة CCP-1 (فلتر البيرم)</w:t>
            </w:r>
          </w:p>
        </w:tc>
        <w:tc>
          <w:tcPr/>
          <w:p>
            <w:pPr>
              <w:pStyle w:val="Compact"/>
            </w:pPr>
            <w:r>
              <w:t xml:space="preserve">كيميائي معالجة</w:t>
            </w:r>
          </w:p>
        </w:tc>
        <w:tc>
          <w:tcPr/>
          <w:p>
            <w:pPr>
              <w:pStyle w:val="Compact"/>
            </w:pPr>
            <w:r>
              <w:t xml:space="preserve">5 سنوات</w:t>
            </w:r>
          </w:p>
        </w:tc>
        <w:tc>
          <w:tcPr/>
          <w:p>
            <w:pPr>
              <w:pStyle w:val="Compact"/>
            </w:pPr>
            <w:r>
              <w:t xml:space="preserve">نتائج تحليل الحديد والمنجنيز، تاريخ ووقت المراقبة، توقيع المسؤول.</w:t>
            </w:r>
          </w:p>
        </w:tc>
      </w:tr>
      <w:tr>
        <w:tc>
          <w:tcPr/>
          <w:p>
            <w:pPr>
              <w:pStyle w:val="Compact"/>
            </w:pPr>
            <w:r>
              <w:t xml:space="preserve">FSP-26-07</w:t>
            </w:r>
          </w:p>
        </w:tc>
        <w:tc>
          <w:tcPr/>
          <w:p>
            <w:pPr>
              <w:pStyle w:val="Compact"/>
            </w:pPr>
            <w:r>
              <w:t xml:space="preserve">سجل مراقبة CCP-2 (وحدة RO)</w:t>
            </w:r>
          </w:p>
        </w:tc>
        <w:tc>
          <w:tcPr/>
          <w:p>
            <w:pPr>
              <w:pStyle w:val="Compact"/>
            </w:pPr>
            <w:r>
              <w:t xml:space="preserve">مسؤول محطة المعالجة</w:t>
            </w:r>
          </w:p>
        </w:tc>
        <w:tc>
          <w:tcPr/>
          <w:p>
            <w:pPr>
              <w:pStyle w:val="Compact"/>
            </w:pPr>
            <w:r>
              <w:t xml:space="preserve">5 سنوات</w:t>
            </w:r>
          </w:p>
        </w:tc>
        <w:tc>
          <w:tcPr/>
          <w:p>
            <w:pPr>
              <w:pStyle w:val="Compact"/>
            </w:pPr>
            <w:r>
              <w:t xml:space="preserve">قراءات TDS، كفاءة الرفض، توقيتات، توقيع المسؤول.</w:t>
            </w:r>
          </w:p>
        </w:tc>
      </w:tr>
      <w:tr>
        <w:tc>
          <w:tcPr/>
          <w:p>
            <w:pPr>
              <w:pStyle w:val="Compact"/>
            </w:pPr>
            <w:r>
              <w:t xml:space="preserve">FSP-26-08</w:t>
            </w:r>
          </w:p>
        </w:tc>
        <w:tc>
          <w:tcPr/>
          <w:p>
            <w:pPr>
              <w:pStyle w:val="Compact"/>
            </w:pPr>
            <w:r>
              <w:t xml:space="preserve">سجل مراقبة CCP-3 (فلتر التلميع)</w:t>
            </w:r>
          </w:p>
        </w:tc>
        <w:tc>
          <w:tcPr/>
          <w:p>
            <w:pPr>
              <w:pStyle w:val="Compact"/>
            </w:pPr>
            <w:r>
              <w:t xml:space="preserve">مراقب جودة التعبئة</w:t>
            </w:r>
          </w:p>
        </w:tc>
        <w:tc>
          <w:tcPr/>
          <w:p>
            <w:pPr>
              <w:pStyle w:val="Compact"/>
            </w:pPr>
            <w:r>
              <w:t xml:space="preserve">5 سنوات</w:t>
            </w:r>
          </w:p>
        </w:tc>
        <w:tc>
          <w:tcPr/>
          <w:p>
            <w:pPr>
              <w:pStyle w:val="Compact"/>
            </w:pPr>
            <w:r>
              <w:t xml:space="preserve">قراءات فرق الضغط، توقيتات، توقيع المسؤول، نتائج تحليل العكارة.</w:t>
            </w:r>
          </w:p>
        </w:tc>
      </w:tr>
      <w:tr>
        <w:tc>
          <w:tcPr/>
          <w:p>
            <w:pPr>
              <w:pStyle w:val="Compact"/>
            </w:pPr>
            <w:r>
              <w:t xml:space="preserve">FSP-26-09</w:t>
            </w:r>
          </w:p>
        </w:tc>
        <w:tc>
          <w:tcPr/>
          <w:p>
            <w:pPr>
              <w:pStyle w:val="Compact"/>
            </w:pPr>
            <w:r>
              <w:t xml:space="preserve">سجل مراقبة OPRP-1 (الأوزون)</w:t>
            </w:r>
          </w:p>
        </w:tc>
        <w:tc>
          <w:tcPr/>
          <w:p>
            <w:pPr>
              <w:pStyle w:val="Compact"/>
            </w:pPr>
            <w:r>
              <w:t xml:space="preserve">مسؤول معالجة وتشغيل</w:t>
            </w:r>
          </w:p>
        </w:tc>
        <w:tc>
          <w:tcPr/>
          <w:p>
            <w:pPr>
              <w:pStyle w:val="Compact"/>
            </w:pPr>
            <w:r>
              <w:t xml:space="preserve">5 سنوات</w:t>
            </w:r>
          </w:p>
        </w:tc>
        <w:tc>
          <w:tcPr/>
          <w:p>
            <w:pPr>
              <w:pStyle w:val="Compact"/>
            </w:pPr>
            <w:r>
              <w:t xml:space="preserve">تركيز الأوزون، توقيتات، توقيع المسؤول.</w:t>
            </w:r>
          </w:p>
        </w:tc>
      </w:tr>
      <w:tr>
        <w:tc>
          <w:tcPr/>
          <w:p>
            <w:pPr>
              <w:pStyle w:val="Compact"/>
            </w:pPr>
            <w:r>
              <w:t xml:space="preserve">FSP-26-10</w:t>
            </w:r>
          </w:p>
        </w:tc>
        <w:tc>
          <w:tcPr/>
          <w:p>
            <w:pPr>
              <w:pStyle w:val="Compact"/>
            </w:pPr>
            <w:r>
              <w:t xml:space="preserve">سجل مراقبة OPRP-2 (الفلتر الرملي)</w:t>
            </w:r>
          </w:p>
        </w:tc>
        <w:tc>
          <w:tcPr/>
          <w:p>
            <w:pPr>
              <w:pStyle w:val="Compact"/>
            </w:pPr>
            <w:r>
              <w:t xml:space="preserve">مسؤول معالجة وتشغيل</w:t>
            </w:r>
          </w:p>
        </w:tc>
        <w:tc>
          <w:tcPr/>
          <w:p>
            <w:pPr>
              <w:pStyle w:val="Compact"/>
            </w:pPr>
            <w:r>
              <w:t xml:space="preserve">5 سنوات</w:t>
            </w:r>
          </w:p>
        </w:tc>
        <w:tc>
          <w:tcPr/>
          <w:p>
            <w:pPr>
              <w:pStyle w:val="Compact"/>
            </w:pPr>
            <w:r>
              <w:t xml:space="preserve">قراءات الضغط والعكارة، توقيتات، توقيع المسؤول.</w:t>
            </w:r>
          </w:p>
        </w:tc>
      </w:tr>
      <w:tr>
        <w:tc>
          <w:tcPr/>
          <w:p>
            <w:pPr>
              <w:pStyle w:val="Compact"/>
            </w:pPr>
            <w:r>
              <w:t xml:space="preserve">FSP-26-11</w:t>
            </w:r>
          </w:p>
        </w:tc>
        <w:tc>
          <w:tcPr/>
          <w:p>
            <w:pPr>
              <w:pStyle w:val="Compact"/>
            </w:pPr>
            <w:r>
              <w:t xml:space="preserve">سجل الإجراءات التصحيحية</w:t>
            </w:r>
          </w:p>
        </w:tc>
        <w:tc>
          <w:tcPr/>
          <w:p>
            <w:pPr>
              <w:pStyle w:val="Compact"/>
            </w:pPr>
            <w:r>
              <w:t xml:space="preserve">مدير الجودة</w:t>
            </w:r>
          </w:p>
        </w:tc>
        <w:tc>
          <w:tcPr/>
          <w:p>
            <w:pPr>
              <w:pStyle w:val="Compact"/>
            </w:pPr>
            <w:r>
              <w:t xml:space="preserve">5 سنوات</w:t>
            </w:r>
          </w:p>
        </w:tc>
        <w:tc>
          <w:tcPr/>
          <w:p>
            <w:pPr>
              <w:pStyle w:val="Compact"/>
            </w:pPr>
            <w:r>
              <w:t xml:space="preserve">تفاصيل الحيود، الإجراء المتخذ، تحديد المنتج المتأثر، توقيع المسؤول.</w:t>
            </w:r>
          </w:p>
        </w:tc>
      </w:tr>
      <w:tr>
        <w:tc>
          <w:tcPr/>
          <w:p>
            <w:pPr>
              <w:pStyle w:val="Compact"/>
            </w:pPr>
            <w:r>
              <w:t xml:space="preserve">FSP-26-12</w:t>
            </w:r>
          </w:p>
        </w:tc>
        <w:tc>
          <w:tcPr/>
          <w:p>
            <w:pPr>
              <w:pStyle w:val="Compact"/>
            </w:pPr>
            <w:r>
              <w:t xml:space="preserve">سجل تقييم فعالية خطط الطوارئ</w:t>
            </w:r>
          </w:p>
        </w:tc>
        <w:tc>
          <w:tcPr/>
          <w:p>
            <w:pPr>
              <w:pStyle w:val="Compact"/>
            </w:pPr>
            <w:r>
              <w:t xml:space="preserve">مدير الجودة</w:t>
            </w:r>
          </w:p>
        </w:tc>
        <w:tc>
          <w:tcPr/>
          <w:p>
            <w:pPr>
              <w:pStyle w:val="Compact"/>
            </w:pPr>
            <w:r>
              <w:t xml:space="preserve">5 سنوات</w:t>
            </w:r>
          </w:p>
        </w:tc>
        <w:tc>
          <w:tcPr/>
          <w:p>
            <w:pPr>
              <w:pStyle w:val="Compact"/>
            </w:pPr>
            <w:r>
              <w:t xml:space="preserve">تاريخ التقييم، السيناريو، النتائج، الإجراءات التحسينية.</w:t>
            </w:r>
          </w:p>
        </w:tc>
      </w:tr>
      <w:tr>
        <w:tc>
          <w:tcPr/>
          <w:p>
            <w:pPr>
              <w:pStyle w:val="Compact"/>
            </w:pPr>
            <w:r>
              <w:t xml:space="preserve">FSP-26-13</w:t>
            </w:r>
          </w:p>
        </w:tc>
        <w:tc>
          <w:tcPr/>
          <w:p>
            <w:pPr>
              <w:pStyle w:val="Compact"/>
            </w:pPr>
            <w:r>
              <w:t xml:space="preserve">سجل تدريب العاملين على الطوارئ</w:t>
            </w:r>
          </w:p>
        </w:tc>
        <w:tc>
          <w:tcPr/>
          <w:p>
            <w:pPr>
              <w:pStyle w:val="Compact"/>
            </w:pPr>
            <w:r>
              <w:t xml:space="preserve">مدير الموارد البشرية</w:t>
            </w:r>
          </w:p>
        </w:tc>
        <w:tc>
          <w:tcPr/>
          <w:p>
            <w:pPr>
              <w:pStyle w:val="Compact"/>
            </w:pPr>
            <w:r>
              <w:t xml:space="preserve">5 سنوات</w:t>
            </w:r>
          </w:p>
        </w:tc>
        <w:tc>
          <w:tcPr/>
          <w:p>
            <w:pPr>
              <w:pStyle w:val="Compact"/>
            </w:pPr>
            <w:r>
              <w:t xml:space="preserve">أسماء المتدربين، تواريخ التدريب، المحتوى.</w:t>
            </w:r>
          </w:p>
        </w:tc>
      </w:tr>
      <w:tr>
        <w:tc>
          <w:tcPr/>
          <w:p>
            <w:pPr>
              <w:pStyle w:val="Compact"/>
            </w:pPr>
            <w:r>
              <w:t xml:space="preserve">FSP-26-14</w:t>
            </w:r>
          </w:p>
        </w:tc>
        <w:tc>
          <w:tcPr/>
          <w:p>
            <w:pPr>
              <w:pStyle w:val="Compact"/>
            </w:pPr>
            <w:r>
              <w:t xml:space="preserve">سجل مراجعة وتقييم الموردين</w:t>
            </w:r>
          </w:p>
        </w:tc>
        <w:tc>
          <w:tcPr/>
          <w:p>
            <w:pPr>
              <w:pStyle w:val="Compact"/>
            </w:pPr>
            <w:r>
              <w:t xml:space="preserve">مدير المشتريات</w:t>
            </w:r>
          </w:p>
        </w:tc>
        <w:tc>
          <w:tcPr/>
          <w:p>
            <w:pPr>
              <w:pStyle w:val="Compact"/>
            </w:pPr>
            <w:r>
              <w:t xml:space="preserve">5 سنوات</w:t>
            </w:r>
          </w:p>
        </w:tc>
        <w:tc>
          <w:tcPr/>
          <w:p>
            <w:pPr>
              <w:pStyle w:val="Compact"/>
            </w:pPr>
            <w:r>
              <w:t xml:space="preserve">تقييم الموردين، شهادات مطابقة (مثل Food Grade).</w:t>
            </w:r>
          </w:p>
        </w:tc>
      </w:tr>
      <w:tr>
        <w:tc>
          <w:tcPr/>
          <w:p>
            <w:pPr>
              <w:pStyle w:val="Compact"/>
            </w:pPr>
            <w:r>
              <w:t xml:space="preserve">FSP-26-15</w:t>
            </w:r>
          </w:p>
        </w:tc>
        <w:tc>
          <w:tcPr/>
          <w:p>
            <w:pPr>
              <w:pStyle w:val="Compact"/>
            </w:pPr>
            <w:r>
              <w:t xml:space="preserve">سجل نتائج التحاليل الخارجية</w:t>
            </w:r>
          </w:p>
        </w:tc>
        <w:tc>
          <w:tcPr/>
          <w:p>
            <w:pPr>
              <w:pStyle w:val="Compact"/>
            </w:pPr>
            <w:r>
              <w:t xml:space="preserve">مدير الجودة</w:t>
            </w:r>
          </w:p>
        </w:tc>
        <w:tc>
          <w:tcPr/>
          <w:p>
            <w:pPr>
              <w:pStyle w:val="Compact"/>
            </w:pPr>
            <w:r>
              <w:t xml:space="preserve">5 سنوات</w:t>
            </w:r>
          </w:p>
        </w:tc>
        <w:tc>
          <w:tcPr/>
          <w:p>
            <w:pPr>
              <w:pStyle w:val="Compact"/>
            </w:pPr>
            <w:r>
              <w:t xml:space="preserve">نتائج تحاليل معملية خارجية (كيميائية وميكروبيولوجية).</w:t>
            </w:r>
          </w:p>
        </w:tc>
      </w:tr>
      <w:tr>
        <w:tc>
          <w:tcPr/>
          <w:p>
            <w:pPr>
              <w:pStyle w:val="Compact"/>
            </w:pPr>
            <w:r>
              <w:t xml:space="preserve">FSP-26-16</w:t>
            </w:r>
          </w:p>
        </w:tc>
        <w:tc>
          <w:tcPr/>
          <w:p>
            <w:pPr>
              <w:pStyle w:val="Compact"/>
            </w:pPr>
            <w:r>
              <w:t xml:space="preserve">سجل معايرة الأجهزة الحساسة</w:t>
            </w:r>
          </w:p>
        </w:tc>
        <w:tc>
          <w:tcPr/>
          <w:p>
            <w:pPr>
              <w:pStyle w:val="Compact"/>
            </w:pPr>
            <w:r>
              <w:t xml:space="preserve">مدير الصيانة</w:t>
            </w:r>
          </w:p>
        </w:tc>
        <w:tc>
          <w:tcPr/>
          <w:p>
            <w:pPr>
              <w:pStyle w:val="Compact"/>
            </w:pPr>
            <w:r>
              <w:t xml:space="preserve">5 سنوات</w:t>
            </w:r>
          </w:p>
        </w:tc>
        <w:tc>
          <w:tcPr/>
          <w:p>
            <w:pPr>
              <w:pStyle w:val="Compact"/>
            </w:pPr>
            <w:r>
              <w:t xml:space="preserve">تواريخ المعايرة، نتائج، شهادات، توقيعات.</w:t>
            </w:r>
          </w:p>
        </w:tc>
      </w:tr>
      <w:tr>
        <w:tc>
          <w:tcPr/>
          <w:p>
            <w:pPr>
              <w:pStyle w:val="Compact"/>
            </w:pPr>
            <w:r>
              <w:t xml:space="preserve">FSP-26-17</w:t>
            </w:r>
          </w:p>
        </w:tc>
        <w:tc>
          <w:tcPr/>
          <w:p>
            <w:pPr>
              <w:pStyle w:val="Compact"/>
            </w:pPr>
            <w:r>
              <w:t xml:space="preserve">سجل التدقيق الداخلي والخارجي</w:t>
            </w:r>
          </w:p>
        </w:tc>
        <w:tc>
          <w:tcPr/>
          <w:p>
            <w:pPr>
              <w:pStyle w:val="Compact"/>
            </w:pPr>
            <w:r>
              <w:t xml:space="preserve">مدير الجودة</w:t>
            </w:r>
          </w:p>
        </w:tc>
        <w:tc>
          <w:tcPr/>
          <w:p>
            <w:pPr>
              <w:pStyle w:val="Compact"/>
            </w:pPr>
            <w:r>
              <w:t xml:space="preserve">5 سنوات</w:t>
            </w:r>
          </w:p>
        </w:tc>
        <w:tc>
          <w:tcPr/>
          <w:p>
            <w:pPr>
              <w:pStyle w:val="Compact"/>
            </w:pPr>
            <w:r>
              <w:t xml:space="preserve">تقارير التدقيق، الملاحظات، عدم المطابقات، الإجراءات التصحيحية.</w:t>
            </w:r>
          </w:p>
        </w:tc>
      </w:tr>
      <w:tr>
        <w:tc>
          <w:tcPr/>
          <w:p>
            <w:pPr>
              <w:pStyle w:val="Compact"/>
            </w:pPr>
            <w:r>
              <w:t xml:space="preserve">FSP-26-18</w:t>
            </w:r>
          </w:p>
        </w:tc>
        <w:tc>
          <w:tcPr/>
          <w:p>
            <w:pPr>
              <w:pStyle w:val="Compact"/>
            </w:pPr>
            <w:r>
              <w:t xml:space="preserve">سجل تحديث الوثائق والمراجعة</w:t>
            </w:r>
          </w:p>
        </w:tc>
        <w:tc>
          <w:tcPr/>
          <w:p>
            <w:pPr>
              <w:pStyle w:val="Compact"/>
            </w:pPr>
            <w:r>
              <w:t xml:space="preserve">مدير الجودة</w:t>
            </w:r>
          </w:p>
        </w:tc>
        <w:tc>
          <w:tcPr/>
          <w:p>
            <w:pPr>
              <w:pStyle w:val="Compact"/>
            </w:pPr>
            <w:r>
              <w:t xml:space="preserve">5 سنوات</w:t>
            </w:r>
          </w:p>
        </w:tc>
        <w:tc>
          <w:tcPr/>
          <w:p>
            <w:pPr>
              <w:pStyle w:val="Compact"/>
            </w:pPr>
            <w:r>
              <w:t xml:space="preserve">تفاصيل التحديثات، تاريخ المراجعة، توقيعات الاعتماد.</w:t>
            </w:r>
          </w:p>
        </w:tc>
      </w:tr>
    </w:tbl>
    <w:bookmarkEnd w:id="29"/>
    <w:bookmarkStart w:id="30" w:name="معايير-قياس-فاعلية-الأداء-kpis"/>
    <w:p>
      <w:pPr>
        <w:pStyle w:val="Heading2"/>
      </w:pPr>
      <w:r>
        <w:t xml:space="preserve">8. معايير قياس فاعلية الأداء (KPIs)</w:t>
      </w:r>
    </w:p>
    <w:p>
      <w:pPr>
        <w:pStyle w:val="Compact"/>
        <w:numPr>
          <w:ilvl w:val="0"/>
          <w:numId w:val="1029"/>
        </w:numPr>
      </w:pPr>
      <w:r>
        <w:rPr>
          <w:b/>
          <w:bCs/>
        </w:rPr>
        <w:t xml:space="preserve">نسبة الامتثال للحدود الحرجة والتشغيلية (CCPs &amp; OPRPs)</w:t>
      </w:r>
      <w:r>
        <w:t xml:space="preserve">: يجب أن لا تقل عن 98% من جميع نقاط المراقبة المسجلة، حيث يتم اعتبار أي حيود نقطة عدم امتثال. (المعيار: ISO 22000:2018 §9.1.1).</w:t>
      </w:r>
    </w:p>
    <w:p>
      <w:pPr>
        <w:pStyle w:val="Compact"/>
        <w:numPr>
          <w:ilvl w:val="0"/>
          <w:numId w:val="1029"/>
        </w:numPr>
      </w:pPr>
      <w:r>
        <w:rPr>
          <w:b/>
          <w:bCs/>
        </w:rPr>
        <w:t xml:space="preserve">عدد حالات عدم المطابقة المرتبطة بسلامة الغذاء (Food Safety NCs)</w:t>
      </w:r>
      <w:r>
        <w:t xml:space="preserve">:</w:t>
      </w:r>
    </w:p>
    <w:p>
      <w:pPr>
        <w:pStyle w:val="Compact"/>
        <w:numPr>
          <w:ilvl w:val="1"/>
          <w:numId w:val="1030"/>
        </w:numPr>
      </w:pPr>
      <w:r>
        <w:rPr>
          <w:b/>
          <w:bCs/>
        </w:rPr>
        <w:t xml:space="preserve">داخلية</w:t>
      </w:r>
      <w:r>
        <w:t xml:space="preserve">: يجب ألا تتجاوز 2 عدم مطابقة رئيسية سنوياً في التدقيقات الداخلية.</w:t>
      </w:r>
    </w:p>
    <w:p>
      <w:pPr>
        <w:pStyle w:val="Compact"/>
        <w:numPr>
          <w:ilvl w:val="1"/>
          <w:numId w:val="1030"/>
        </w:numPr>
      </w:pPr>
      <w:r>
        <w:rPr>
          <w:b/>
          <w:bCs/>
        </w:rPr>
        <w:t xml:space="preserve">خارجية (NFSA / FSSC)</w:t>
      </w:r>
      <w:r>
        <w:t xml:space="preserve">: يجب ألا يتجاوز حدوث أي عدم مطابقة رئيسية واحدة سنوياً، وعدم تكرار عدم المطابقات الصغرى. (المعيار: FSSC 22000 v6 Part 2 §2.1.2.c).</w:t>
      </w:r>
    </w:p>
    <w:p>
      <w:pPr>
        <w:pStyle w:val="Compact"/>
        <w:numPr>
          <w:ilvl w:val="0"/>
          <w:numId w:val="1029"/>
        </w:numPr>
      </w:pPr>
      <w:r>
        <w:rPr>
          <w:b/>
          <w:bCs/>
        </w:rPr>
        <w:t xml:space="preserve">عدد شكاوى العملاء المتعلقة بسلامة المنتج</w:t>
      </w:r>
      <w:r>
        <w:t xml:space="preserve">: يجب أن تكون صفر شهرياً، أو يتم التحقيق في جميع الشكاوى المثبتة وإقفالها بالإجراءات التصحيحية الفعالة في غضون 10 أيام عمل. (المعيار: NFSA قرار 6/2023 المادة 20).</w:t>
      </w:r>
    </w:p>
    <w:p>
      <w:pPr>
        <w:pStyle w:val="Compact"/>
        <w:numPr>
          <w:ilvl w:val="0"/>
          <w:numId w:val="1029"/>
        </w:numPr>
      </w:pPr>
      <w:r>
        <w:rPr>
          <w:b/>
          <w:bCs/>
        </w:rPr>
        <w:t xml:space="preserve">نسبة إغلاق الإجراءات التصحيحية والوقائية (CAPAs)</w:t>
      </w:r>
      <w:r>
        <w:t xml:space="preserve">: يجب أن لا تقل عن 95% من CAPAs المتعلقة بسلامة الغذاء خلال الإطار الزمني المحدد. (المعيار: ISO 9001:2015 §6.1).</w:t>
      </w:r>
    </w:p>
    <w:p>
      <w:pPr>
        <w:pStyle w:val="Compact"/>
        <w:numPr>
          <w:ilvl w:val="0"/>
          <w:numId w:val="1029"/>
        </w:numPr>
      </w:pPr>
      <w:r>
        <w:rPr>
          <w:b/>
          <w:bCs/>
        </w:rPr>
        <w:t xml:space="preserve">نسبة إتمام برامج ومعايرة التدريب المجدولة</w:t>
      </w:r>
      <w:r>
        <w:t xml:space="preserve">: يجب أن لا تقل عن 100% من التدريبات المكتملة والمعايرة المجدولة لأجهزة المراقبة الحساسة لكل من CCPs و OPRPs. (المعيار: ISO 22000:2018 §7.2, §7.1.5).</w:t>
      </w:r>
    </w:p>
    <w:p>
      <w:pPr>
        <w:pStyle w:val="Compact"/>
        <w:numPr>
          <w:ilvl w:val="0"/>
          <w:numId w:val="1029"/>
        </w:numPr>
      </w:pPr>
      <w:r>
        <w:rPr>
          <w:b/>
          <w:bCs/>
        </w:rPr>
        <w:t xml:space="preserve">فعالية تقييم خطط الطوارئ</w:t>
      </w:r>
      <w:r>
        <w:t xml:space="preserve">: تنفيذ اختبارات دورية (بالأقل مرة سنوياً) لجميع خطط الطوارئ (مثل انقطاع الكهرباء، التلوث)، مع تحقيق نسبة نجاح لا تقل عن 90% في التقييم اللاحق. (المعيار: ISO 22000:2018 §8.4.4).</w:t>
      </w:r>
    </w:p>
    <w:p>
      <w:r>
        <w:pict>
          <v:rect style="width:0;height:1.5pt" o:hralign="center" o:hrstd="t" o:hr="t"/>
        </w:pict>
      </w:r>
    </w:p>
    <w:bookmarkEnd w:id="30"/>
    <w:bookmarkStart w:id="31" w:name="نموذج-اعتماد-الإجراء-وتوقيعات-المسؤولين"/>
    <w:p>
      <w:pPr>
        <w:pStyle w:val="Heading2"/>
      </w:pPr>
      <w:r>
        <w:t xml:space="preserve">نموذج اعتماد الإجراء وتوقيعات المسؤولين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الدور</w:t>
            </w:r>
          </w:p>
        </w:tc>
        <w:tc>
          <w:tcPr/>
          <w:p>
            <w:pPr>
              <w:pStyle w:val="Compact"/>
            </w:pPr>
            <w:r>
              <w:t xml:space="preserve">الاسم</w:t>
            </w:r>
          </w:p>
        </w:tc>
        <w:tc>
          <w:tcPr/>
          <w:p>
            <w:pPr>
              <w:pStyle w:val="Compact"/>
            </w:pPr>
            <w:r>
              <w:t xml:space="preserve">التوقيع</w:t>
            </w:r>
          </w:p>
        </w:tc>
        <w:tc>
          <w:tcPr/>
          <w:p>
            <w:pPr>
              <w:pStyle w:val="Compact"/>
            </w:pPr>
            <w:r>
              <w:t xml:space="preserve">التاريخ</w:t>
            </w:r>
          </w:p>
        </w:tc>
      </w:tr>
      <w:tr>
        <w:tc>
          <w:tcPr/>
          <w:p>
            <w:pPr>
              <w:pStyle w:val="Compact"/>
            </w:pPr>
            <w:r>
              <w:t xml:space="preserve">أعدّ بواسطة (مسؤول ضمان الجودة)</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راجع بواسطة (مدير الجودة وسلامة الغذاء)</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اعتُمد بواسطة (المدير العام)</w:t>
            </w:r>
          </w:p>
        </w:tc>
        <w:tc>
          <w:tcPr/>
          <w:p>
            <w:pPr>
              <w:pStyle w:val="Compact"/>
            </w:pPr>
            <w:r>
              <w:t xml:space="preserve">………………………</w:t>
            </w:r>
          </w:p>
        </w:tc>
        <w:tc>
          <w:tcPr/>
          <w:p>
            <w:pPr>
              <w:pStyle w:val="Compact"/>
            </w:pPr>
            <w:r>
              <w:t xml:space="preserve">………………………</w:t>
            </w:r>
          </w:p>
        </w:tc>
        <w:tc>
          <w:tcPr/>
          <w:p>
            <w:pPr>
              <w:pStyle w:val="Compact"/>
            </w:pPr>
            <w:r>
              <w:t xml:space="preserve">……./……./……….</w:t>
            </w:r>
          </w:p>
        </w:tc>
      </w:tr>
    </w:tbl>
    <w:bookmarkEnd w:id="31"/>
    <w:bookmarkStart w:id="32" w:name="سجل-مراجعات-الوثيقة-revision-history"/>
    <w:p>
      <w:pPr>
        <w:pStyle w:val="Heading2"/>
      </w:pPr>
      <w:r>
        <w:t xml:space="preserve">سجل مراجعات الوثيقة (Revision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رقم الإصدار</w:t>
            </w:r>
          </w:p>
        </w:tc>
        <w:tc>
          <w:tcPr/>
          <w:p>
            <w:pPr>
              <w:pStyle w:val="Compact"/>
            </w:pPr>
            <w:r>
              <w:t xml:space="preserve">تاريخ الإصدار</w:t>
            </w:r>
          </w:p>
        </w:tc>
        <w:tc>
          <w:tcPr/>
          <w:p>
            <w:pPr>
              <w:pStyle w:val="Compact"/>
            </w:pPr>
            <w:r>
              <w:t xml:space="preserve">وصف التغيير</w:t>
            </w:r>
          </w:p>
        </w:tc>
        <w:tc>
          <w:tcPr/>
          <w:p>
            <w:pPr>
              <w:pStyle w:val="Compact"/>
            </w:pPr>
            <w:r>
              <w:t xml:space="preserve">المُعدّ</w:t>
            </w:r>
          </w:p>
        </w:tc>
        <w:tc>
          <w:tcPr/>
          <w:p>
            <w:pPr>
              <w:pStyle w:val="Compact"/>
            </w:pPr>
            <w:r>
              <w:t xml:space="preserve">المُعتمد</w:t>
            </w:r>
          </w:p>
        </w:tc>
      </w:tr>
      <w:tr>
        <w:tc>
          <w:tcPr/>
          <w:p>
            <w:pPr>
              <w:pStyle w:val="Compact"/>
            </w:pPr>
            <w:r>
              <w:t xml:space="preserve">01</w:t>
            </w:r>
          </w:p>
        </w:tc>
        <w:tc>
          <w:tcPr/>
          <w:p>
            <w:pPr>
              <w:pStyle w:val="Compact"/>
            </w:pPr>
            <w:r>
              <w:t xml:space="preserve">01/06/2025</w:t>
            </w:r>
          </w:p>
        </w:tc>
        <w:tc>
          <w:tcPr/>
          <w:p>
            <w:pPr>
              <w:pStyle w:val="Compact"/>
            </w:pPr>
            <w:r>
              <w:t xml:space="preserve">الإصدار الأول</w:t>
            </w:r>
          </w:p>
        </w:tc>
        <w:tc>
          <w:tcPr/>
          <w:p>
            <w:pPr>
              <w:pStyle w:val="Compact"/>
            </w:pPr>
            <w:r>
              <w:t xml:space="preserve">………………</w:t>
            </w:r>
          </w:p>
        </w:tc>
        <w:tc>
          <w:tcPr/>
          <w:p>
            <w:pPr>
              <w:pStyle w:val="Compact"/>
            </w:pPr>
            <w:r>
              <w:t xml:space="preserve">………………</w:t>
            </w:r>
          </w:p>
        </w:tc>
      </w:tr>
      <w:tr>
        <w:tc>
          <w:tcPr/>
          <w:p>
            <w:pPr>
              <w:pStyle w:val="Compact"/>
            </w:pPr>
            <w:r>
              <w:t xml:space="preserve">02</w:t>
            </w:r>
          </w:p>
        </w:tc>
        <w:tc>
          <w:tcPr/>
          <w:p>
            <w:pPr>
              <w:pStyle w:val="Compact"/>
            </w:pPr>
            <w:r>
              <w:t xml:space="preserve">01/06/2026</w:t>
            </w:r>
          </w:p>
        </w:tc>
        <w:tc>
          <w:tcPr/>
          <w:p>
            <w:pPr>
              <w:pStyle w:val="Compact"/>
            </w:pPr>
            <w:r>
              <w:t xml:space="preserve">تحديث شامل وفق ISO 22000:2018 / FSSC 22000 v6 / Codex HACCP / ES 1589 / NFSA</w:t>
            </w:r>
          </w:p>
        </w:tc>
        <w:tc>
          <w:tcPr/>
          <w:p>
            <w:pPr>
              <w:pStyle w:val="Compact"/>
            </w:pPr>
            <w:r>
              <w:t xml:space="preserv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2"/>
    <w:bookmarkStart w:id="33" w:name="X41b360a63802f33e05f4a3aaf91f59ba9058e30"/>
    <w:p>
      <w:pPr>
        <w:pStyle w:val="Heading2"/>
      </w:pPr>
      <w:r>
        <w:t xml:space="preserve">سجل توزيع نسخ الوثيقة (Distribution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الإدارة / القسم</w:t>
            </w:r>
          </w:p>
        </w:tc>
        <w:tc>
          <w:tcPr/>
          <w:p>
            <w:pPr>
              <w:pStyle w:val="Compact"/>
            </w:pPr>
            <w:r>
              <w:t xml:space="preserve">اسم المستلم</w:t>
            </w:r>
          </w:p>
        </w:tc>
        <w:tc>
          <w:tcPr/>
          <w:p>
            <w:pPr>
              <w:pStyle w:val="Compact"/>
            </w:pPr>
            <w:r>
              <w:t xml:space="preserve">عدد النسخ</w:t>
            </w:r>
          </w:p>
        </w:tc>
        <w:tc>
          <w:tcPr/>
          <w:p>
            <w:pPr>
              <w:pStyle w:val="Compact"/>
            </w:pPr>
            <w:r>
              <w:t xml:space="preserve">التوقيع</w:t>
            </w:r>
          </w:p>
        </w:tc>
        <w:tc>
          <w:tcPr/>
          <w:p>
            <w:pPr>
              <w:pStyle w:val="Compact"/>
            </w:pPr>
            <w:r>
              <w:t xml:space="preserve">التاريخ</w:t>
            </w:r>
          </w:p>
        </w:tc>
      </w:tr>
      <w:tr>
        <w:tc>
          <w:tcPr/>
          <w:p>
            <w:pPr>
              <w:pStyle w:val="Compact"/>
            </w:pPr>
            <w:r>
              <w:t xml:space="preserve">إدارة الجودة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الإنتاج</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الصيانة</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المخازن</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المختبر</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المبيعات</w:t>
            </w: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انتهى الإجراء رقم 26 - FSP-26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2026-06-29T08:43:15Z</dcterms:created>
  <dcterms:modified xsi:type="dcterms:W3CDTF">2026-06-29T08:43:15Z</dcterms:modified>
</cp:coreProperties>
</file>

<file path=docProps/custom.xml><?xml version="1.0" encoding="utf-8"?>
<Properties xmlns="http://schemas.openxmlformats.org/officeDocument/2006/custom-properties" xmlns:vt="http://schemas.openxmlformats.org/officeDocument/2006/docPropsVTypes"/>
</file>