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حورس-لإنتاج-وتعبئة-المياه-الطبيعية"/>
    <w:p>
      <w:pPr>
        <w:pStyle w:val="Heading1"/>
      </w:pPr>
      <w:r>
        <w:t xml:space="preserve">شركة حورس لإنتاج وتعبئة المياه الطبيعية</w:t>
      </w:r>
    </w:p>
    <w:bookmarkStart w:id="9" w:name="horus-natural-water-co."/>
    <w:p>
      <w:pPr>
        <w:pStyle w:val="Heading2"/>
      </w:pPr>
      <w:r>
        <w:t xml:space="preserve">Horus Natural Water Co.</w:t>
      </w:r>
    </w:p>
    <w:p>
      <w:pPr>
        <w:pStyle w:val="FirstParagraph"/>
      </w:pPr>
    </w:p>
    <w:bookmarkEnd w:id="9"/>
    <w:bookmarkEnd w:id="10"/>
    <w:bookmarkStart w:id="11" w:name="الصيانة"/>
    <w:p>
      <w:pPr>
        <w:pStyle w:val="Heading1"/>
      </w:pPr>
      <w:r>
        <w:t xml:space="preserve">الصيانة</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الصيانة</w:t>
            </w:r>
          </w:p>
        </w:tc>
      </w:tr>
      <w:tr>
        <w:tc>
          <w:tcPr/>
          <w:p>
            <w:pPr>
              <w:pStyle w:val="Compact"/>
            </w:pPr>
            <w:r>
              <w:rPr>
                <w:b/>
                <w:bCs/>
              </w:rPr>
              <w:t xml:space="preserve">كود الوثيقة</w:t>
            </w:r>
          </w:p>
        </w:tc>
        <w:tc>
          <w:tcPr/>
          <w:p>
            <w:pPr>
              <w:pStyle w:val="Compact"/>
            </w:pPr>
            <w:r>
              <w:t xml:space="preserve">FSP-09</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الإجراء-رقم-9-الصيانة"/>
    <w:p>
      <w:pPr>
        <w:pStyle w:val="Heading1"/>
      </w:pPr>
      <w:r>
        <w:t xml:space="preserve">الإجراء رقم 9: الصيانة</w:t>
      </w:r>
    </w:p>
    <w:bookmarkStart w:id="12" w:name="الغرض-purpose"/>
    <w:p>
      <w:pPr>
        <w:pStyle w:val="Heading3"/>
      </w:pPr>
      <w:r>
        <w:t xml:space="preserve">1. الغرض (Purpose)</w:t>
      </w:r>
    </w:p>
    <w:p>
      <w:pPr>
        <w:pStyle w:val="FirstParagraph"/>
      </w:pPr>
      <w:r>
        <w:t xml:space="preserve">يهدف هذا الإجراء إلى تحديد وتطبيق المتطلبات اللازمة لإدارة وصيانة المعدات، الآلات، أجهزة القياس والرصد، والبنية التحتية، وذلك لضمان أدائها التشغيلي الفعال والمستمر، مع التركيز على منع المخاطر المحتملة التي قد تؤثر على سلامة وجودة المنتج النهائي (المياه المعبأة)، تماشياً مع متطلبات المواصفات القياسية الدولية والتشريعات المحلية والخاصة بسلامة الغذاء. يساهم هذا الإجراء في الحفاظ على بيئة عمل صحية وآمنة، تقليل التوقفات غير المخطط لها، وضمان استمرارية الإنتاج وفقاً للمخططات الزمنية ودون المساس بمتطلبات سلامة المستهلك.</w:t>
      </w:r>
    </w:p>
    <w:bookmarkEnd w:id="12"/>
    <w:bookmarkStart w:id="13" w:name="النطاق-scope"/>
    <w:p>
      <w:pPr>
        <w:pStyle w:val="Heading3"/>
      </w:pPr>
      <w:r>
        <w:t xml:space="preserve">2. النطاق (Scope)</w:t>
      </w:r>
    </w:p>
    <w:p>
      <w:pPr>
        <w:pStyle w:val="FirstParagraph"/>
      </w:pPr>
      <w:r>
        <w:t xml:space="preserve">يطبق هذا الإجراء على جميع المعدات، الآلات، خطوط الإنتاج، أجهزة ومعدات القياس والرصد، والمرافق والبنية التحتية (بما في ذلك المباني، أنظمة التهوية، أنظمة الصرف الصحي، وإمدادات المياه والطاقة) ضمن العمليات التشغيلية لمصنع تعبئة المياه. ويشمل ذلك تخطيط، تنفيذ، ومراقبة جميع أنشطة الصيانة الوقائية، العلاجية، والتنبؤية، بالإضافة إلى إدارة قطع الغيار والمخاطر المتعلقة بالصيانة والتي قد تؤثر على سلامة الغذاء.</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الصيانة الوقائية (Preventive Maintenance - PM)</w:t>
      </w:r>
      <w:r>
        <w:t xml:space="preserve">: أنشطة صيانة مخططة ومنتظمة تُنفذ لتجنب الأعطال وتحسين أداء المعدات قبل حدوث أي عطل أو تدهور.</w:t>
      </w:r>
    </w:p>
    <w:p>
      <w:pPr>
        <w:pStyle w:val="Compact"/>
        <w:numPr>
          <w:ilvl w:val="0"/>
          <w:numId w:val="1001"/>
        </w:numPr>
      </w:pPr>
      <w:r>
        <w:rPr>
          <w:b/>
          <w:bCs/>
        </w:rPr>
        <w:t xml:space="preserve">الصيانة العلاجية (Corrective Maintenance - CM)</w:t>
      </w:r>
      <w:r>
        <w:t xml:space="preserve">: أنشطة صيانة تُنفذ لإصلاح عطل أو خلل حدث بالفعل في المعدات، بهدف إعادتها إلى حالة التشغيل الطبيعية.</w:t>
      </w:r>
    </w:p>
    <w:p>
      <w:pPr>
        <w:pStyle w:val="Compact"/>
        <w:numPr>
          <w:ilvl w:val="0"/>
          <w:numId w:val="1001"/>
        </w:numPr>
      </w:pPr>
      <w:r>
        <w:rPr>
          <w:b/>
          <w:bCs/>
        </w:rPr>
        <w:t xml:space="preserve">الصيانة التنبؤية (Predictive Maintenance - PdM)</w:t>
      </w:r>
      <w:r>
        <w:t xml:space="preserve">: أنشطة صيانة تعتمد على مراقبة حالة المعدات وتحليل البيانات لاكتشاف علامات التدهور أو الأعطال المحتملة والتنبؤ بها، لتحديد وقت الصيانة الأمثل.</w:t>
      </w:r>
    </w:p>
    <w:p>
      <w:pPr>
        <w:pStyle w:val="Compact"/>
        <w:numPr>
          <w:ilvl w:val="0"/>
          <w:numId w:val="1001"/>
        </w:numPr>
      </w:pPr>
      <w:r>
        <w:rPr>
          <w:b/>
          <w:bCs/>
        </w:rPr>
        <w:t xml:space="preserve">البنية التحتية (Infrastructure)</w:t>
      </w:r>
      <w:r>
        <w:t xml:space="preserve">: تشمل المباني، المرافق، أنظمة المرافق العامة (مثل المياه، الكهرباء، التهوية، الصرف الصحي)، ومعدات الدعم اللازمة لعمليات الإنتاج.</w:t>
      </w:r>
    </w:p>
    <w:p>
      <w:pPr>
        <w:pStyle w:val="Compact"/>
        <w:numPr>
          <w:ilvl w:val="0"/>
          <w:numId w:val="1001"/>
        </w:numPr>
      </w:pPr>
      <w:r>
        <w:rPr>
          <w:b/>
          <w:bCs/>
        </w:rPr>
        <w:t xml:space="preserve">برامج المتطلبات الأساسية (Prerequisite Programs - PRPs)</w:t>
      </w:r>
      <w:r>
        <w:t xml:space="preserve">: الشروط والأنشطة الأساسية اللازمة للحفاظ على بيئة صحية مناسبة لإنتاج وتداول وتوفير منتج نهائي آمن.</w:t>
      </w:r>
    </w:p>
    <w:p>
      <w:pPr>
        <w:pStyle w:val="Compact"/>
        <w:numPr>
          <w:ilvl w:val="0"/>
          <w:numId w:val="1001"/>
        </w:numPr>
      </w:pPr>
      <w:r>
        <w:rPr>
          <w:b/>
          <w:bCs/>
        </w:rPr>
        <w:t xml:space="preserve">HACCP</w:t>
      </w:r>
      <w:r>
        <w:t xml:space="preserve">: تحليل المخاطر ونقاط التحكم الحرجة.</w:t>
      </w:r>
    </w:p>
    <w:p>
      <w:pPr>
        <w:pStyle w:val="Compact"/>
        <w:numPr>
          <w:ilvl w:val="0"/>
          <w:numId w:val="1001"/>
        </w:numPr>
      </w:pPr>
      <w:r>
        <w:rPr>
          <w:b/>
          <w:bCs/>
        </w:rPr>
        <w:t xml:space="preserve">NFSA</w:t>
      </w:r>
      <w:r>
        <w:t xml:space="preserve">: الهيئة القومية لسلامة الغذاء.</w:t>
      </w:r>
    </w:p>
    <w:p>
      <w:pPr>
        <w:pStyle w:val="Compact"/>
        <w:numPr>
          <w:ilvl w:val="0"/>
          <w:numId w:val="1001"/>
        </w:numPr>
      </w:pPr>
      <w:r>
        <w:rPr>
          <w:b/>
          <w:bCs/>
        </w:rPr>
        <w:t xml:space="preserve">FSSC 22000</w:t>
      </w:r>
      <w:r>
        <w:t xml:space="preserve">: مواصفة نظام شهادات سلامة الغذاء للمصنعين.</w:t>
      </w:r>
    </w:p>
    <w:bookmarkEnd w:id="14"/>
    <w:bookmarkStart w:id="15" w:name="المراجع-references"/>
    <w:p>
      <w:pPr>
        <w:pStyle w:val="Heading3"/>
      </w:pPr>
      <w:r>
        <w:t xml:space="preserve">4. المراجع (References)</w:t>
      </w:r>
    </w:p>
    <w:p>
      <w:pPr>
        <w:pStyle w:val="Compact"/>
        <w:numPr>
          <w:ilvl w:val="0"/>
          <w:numId w:val="1002"/>
        </w:numPr>
      </w:pPr>
      <w:r>
        <w:t xml:space="preserve">ISO 22000:2018 §4 (Context of the organization), §5 (Leadership), §7 (Support), §8 (Operation), §9 (Performance evaluation).</w:t>
      </w:r>
    </w:p>
    <w:p>
      <w:pPr>
        <w:pStyle w:val="Compact"/>
        <w:numPr>
          <w:ilvl w:val="0"/>
          <w:numId w:val="1002"/>
        </w:numPr>
      </w:pPr>
      <w:r>
        <w:t xml:space="preserve">FSSC 22000 v6: Part 2.4.1.3 (PRPs – Buildings and Facilities, Utilities, Equipment). Annex A (Specific PRPs for Food Manufacturing – Maintenance).</w:t>
      </w:r>
    </w:p>
    <w:p>
      <w:pPr>
        <w:pStyle w:val="Compact"/>
        <w:numPr>
          <w:ilvl w:val="0"/>
          <w:numId w:val="1002"/>
        </w:numPr>
      </w:pPr>
      <w:r>
        <w:t xml:space="preserve">ISO/TS 22002-1:2009 (Prerequisite Programmes on Food Safety for Food Manufacturing) §4 (Plant lay-out and work flow), §5 (Utilities), §6 (Waste disposal), §7 (Equipment suitability, cleaning and maintenance), §10 (Contamination control).</w:t>
      </w:r>
    </w:p>
    <w:p>
      <w:pPr>
        <w:pStyle w:val="Compact"/>
        <w:numPr>
          <w:ilvl w:val="0"/>
          <w:numId w:val="1002"/>
        </w:numPr>
      </w:pPr>
      <w:r>
        <w:t xml:space="preserve">ISO 9001:2015 §7 (Support), §8 (Operation).</w:t>
      </w:r>
    </w:p>
    <w:p>
      <w:pPr>
        <w:pStyle w:val="Compact"/>
        <w:numPr>
          <w:ilvl w:val="0"/>
          <w:numId w:val="1002"/>
        </w:numPr>
      </w:pPr>
      <w:r>
        <w:t xml:space="preserve">Codex Alimentarius CAC/RCP 1-1969 General Principles of Food Hygiene (HACCP) §2 (Primary Production), §3 (Establishment: Design and Facilities), §4 (Control of Operation), §5 (Maintenance and Sanitation).</w:t>
      </w:r>
    </w:p>
    <w:p>
      <w:pPr>
        <w:pStyle w:val="Compact"/>
        <w:numPr>
          <w:ilvl w:val="0"/>
          <w:numId w:val="1002"/>
        </w:numPr>
      </w:pPr>
      <w:r>
        <w:t xml:space="preserve">المواصفة القياسية المصرية ES 1589/2007 (مياه الشرب المعبأة).</w:t>
      </w:r>
    </w:p>
    <w:p>
      <w:pPr>
        <w:pStyle w:val="Compact"/>
        <w:numPr>
          <w:ilvl w:val="0"/>
          <w:numId w:val="1002"/>
        </w:numPr>
      </w:pPr>
      <w:r>
        <w:t xml:space="preserve">المواصفة القياسية المصرية ES 190 (مياه معدنية طبيعية).</w:t>
      </w:r>
    </w:p>
    <w:p>
      <w:pPr>
        <w:pStyle w:val="Compact"/>
        <w:numPr>
          <w:ilvl w:val="0"/>
          <w:numId w:val="1002"/>
        </w:numPr>
      </w:pPr>
      <w:r>
        <w:t xml:space="preserve">لائحة الهيئة القومية لسلامة الغذاء NFSA (قرار رقم 6 لسنة 2023 وتعديلاته) المادة 11 (الكفاءة والتدريب), المادة 12 (معايرة الأجهزة), المادة 18 (تصحيح الحالات غير المطابقة).</w:t>
      </w:r>
    </w:p>
    <w:p>
      <w:pPr>
        <w:pStyle w:val="Compact"/>
        <w:numPr>
          <w:ilvl w:val="0"/>
          <w:numId w:val="1002"/>
        </w:numPr>
      </w:pPr>
      <w:r>
        <w:t xml:space="preserve">قرار وزير الصحة رقم 458 لسنة 2007 ولوائحه التنفيذية بشأن متطلبات ترخيص مصانع المياه.</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الجهة</w:t>
            </w:r>
          </w:p>
        </w:tc>
        <w:tc>
          <w:tcPr/>
          <w:p>
            <w:pPr>
              <w:pStyle w:val="Compact"/>
            </w:pPr>
            <w:r>
              <w:t xml:space="preserve">المسؤولية الأساسية (Accountable)</w:t>
            </w:r>
          </w:p>
        </w:tc>
        <w:tc>
          <w:tcPr/>
          <w:p>
            <w:pPr>
              <w:pStyle w:val="Compact"/>
            </w:pPr>
            <w:r>
              <w:t xml:space="preserve">المسؤولية (Responsible)</w:t>
            </w:r>
          </w:p>
        </w:tc>
        <w:tc>
          <w:tcPr/>
          <w:p>
            <w:pPr>
              <w:pStyle w:val="Compact"/>
            </w:pPr>
            <w:r>
              <w:t xml:space="preserve">الاستشارة (Consulted)</w:t>
            </w:r>
          </w:p>
        </w:tc>
        <w:tc>
          <w:tcPr/>
          <w:p>
            <w:pPr>
              <w:pStyle w:val="Compact"/>
            </w:pPr>
            <w:r>
              <w:t xml:space="preserve">الإبلاغ (Informed)</w:t>
            </w:r>
          </w:p>
        </w:tc>
      </w:tr>
      <w:tr>
        <w:tc>
          <w:tcPr/>
          <w:p>
            <w:pPr>
              <w:pStyle w:val="Compact"/>
            </w:pPr>
            <w:r>
              <w:rPr>
                <w:b/>
                <w:bCs/>
              </w:rPr>
              <w:t xml:space="preserve">المدير العام</w:t>
            </w:r>
          </w:p>
        </w:tc>
        <w:tc>
          <w:tcPr/>
          <w:p>
            <w:pPr>
              <w:pStyle w:val="Compact"/>
            </w:pPr>
            <w:r>
              <w:t xml:space="preserve">اعتماد سياسة الصيانة والميزانية.</w:t>
            </w:r>
          </w:p>
        </w:tc>
        <w:tc>
          <w:tcPr/>
          <w:p>
            <w:pPr>
              <w:pStyle w:val="Compact"/>
            </w:pPr>
            <w:r>
              <w:t xml:space="preserve">لا ينطبق</w:t>
            </w:r>
          </w:p>
        </w:tc>
        <w:tc>
          <w:tcPr/>
          <w:p>
            <w:pPr>
              <w:pStyle w:val="Compact"/>
            </w:pPr>
            <w:r>
              <w:t xml:space="preserve">مدير الجودة، مدير الصيانة</w:t>
            </w:r>
          </w:p>
        </w:tc>
        <w:tc>
          <w:tcPr/>
          <w:p>
            <w:pPr>
              <w:pStyle w:val="Compact"/>
            </w:pPr>
            <w:r>
              <w:t xml:space="preserve">جميع الإدارات</w:t>
            </w:r>
          </w:p>
        </w:tc>
      </w:tr>
      <w:tr>
        <w:tc>
          <w:tcPr/>
          <w:p>
            <w:pPr>
              <w:pStyle w:val="Compact"/>
            </w:pPr>
            <w:r>
              <w:rPr>
                <w:b/>
                <w:bCs/>
              </w:rPr>
              <w:t xml:space="preserve">مدير الصيانة</w:t>
            </w:r>
          </w:p>
        </w:tc>
        <w:tc>
          <w:tcPr/>
          <w:p>
            <w:pPr>
              <w:pStyle w:val="Compact"/>
            </w:pPr>
            <w:r>
              <w:t xml:space="preserve">إدارة وتنفيذ كامل نظام الصيانة وفعاليته، ضمان مطابقة المعدات للبنية التحتية.</w:t>
            </w:r>
          </w:p>
        </w:tc>
        <w:tc>
          <w:tcPr/>
          <w:p>
            <w:pPr>
              <w:pStyle w:val="Compact"/>
            </w:pPr>
            <w:r>
              <w:t xml:space="preserve">تخطيط وتنفيذ الصيانة (وقائية، علاجية، تنبؤية)، إدارة قطع الغيار، تقييم المخاطر المرتبطة بالصيانة، تدريب فريق الصيانة، متابعة جودة أعمال الصيانة.</w:t>
            </w:r>
          </w:p>
        </w:tc>
        <w:tc>
          <w:tcPr/>
          <w:p>
            <w:pPr>
              <w:pStyle w:val="Compact"/>
            </w:pPr>
            <w:r>
              <w:t xml:space="preserve">مدير الإنتاج، مدير الجودة، مدير المشتريات</w:t>
            </w:r>
          </w:p>
        </w:tc>
        <w:tc>
          <w:tcPr/>
          <w:p>
            <w:pPr>
              <w:pStyle w:val="Compact"/>
            </w:pPr>
            <w:r>
              <w:t xml:space="preserve">المدير العام</w:t>
            </w:r>
          </w:p>
        </w:tc>
      </w:tr>
      <w:tr>
        <w:tc>
          <w:tcPr/>
          <w:p>
            <w:pPr>
              <w:pStyle w:val="Compact"/>
            </w:pPr>
            <w:r>
              <w:rPr>
                <w:b/>
                <w:bCs/>
              </w:rPr>
              <w:t xml:space="preserve">مدير الجودة</w:t>
            </w:r>
          </w:p>
        </w:tc>
        <w:tc>
          <w:tcPr/>
          <w:p>
            <w:pPr>
              <w:pStyle w:val="Compact"/>
            </w:pPr>
            <w:r>
              <w:t xml:space="preserve">ضمان تماشي أعمال الصيانة مع متطلبات سلامة الغذاء، معايرة أجهزة القياس.</w:t>
            </w:r>
          </w:p>
        </w:tc>
        <w:tc>
          <w:tcPr/>
          <w:p>
            <w:pPr>
              <w:pStyle w:val="Compact"/>
            </w:pPr>
            <w:r>
              <w:t xml:space="preserve">تدقيق أعمال الصيانة، المشاركة في تقييم المخاطر، مراجعة فعاليات الصيانة لضمان سلامة المنتج، إدارة معايرة أجهزة القياس والرصد.</w:t>
            </w:r>
          </w:p>
        </w:tc>
        <w:tc>
          <w:tcPr/>
          <w:p>
            <w:pPr>
              <w:pStyle w:val="Compact"/>
            </w:pPr>
            <w:r>
              <w:t xml:space="preserve">مدير الصيانة، مدير الإنتاج</w:t>
            </w:r>
          </w:p>
        </w:tc>
        <w:tc>
          <w:tcPr/>
          <w:p>
            <w:pPr>
              <w:pStyle w:val="Compact"/>
            </w:pPr>
            <w:r>
              <w:t xml:space="preserve">المدير العام</w:t>
            </w:r>
          </w:p>
        </w:tc>
      </w:tr>
      <w:tr>
        <w:tc>
          <w:tcPr/>
          <w:p>
            <w:pPr>
              <w:pStyle w:val="Compact"/>
            </w:pPr>
            <w:r>
              <w:rPr>
                <w:b/>
                <w:bCs/>
              </w:rPr>
              <w:t xml:space="preserve">مدير الإنتاج</w:t>
            </w:r>
          </w:p>
        </w:tc>
        <w:tc>
          <w:tcPr/>
          <w:p>
            <w:pPr>
              <w:pStyle w:val="Compact"/>
            </w:pPr>
            <w:r>
              <w:t xml:space="preserve">تبليغ أعطال المعدات، التنسيق مع الصيانة لتحديد أولويات العمل.</w:t>
            </w:r>
          </w:p>
        </w:tc>
        <w:tc>
          <w:tcPr/>
          <w:p>
            <w:pPr>
              <w:pStyle w:val="Compact"/>
            </w:pPr>
            <w:r>
              <w:t xml:space="preserve">الإبلاغ عن الأعطال، جدولة فترات التوقف للصيانة، اختبار المعدات بعد الصيانة، ضمان نظافة المنطقة بعد الصيانة.</w:t>
            </w:r>
          </w:p>
        </w:tc>
        <w:tc>
          <w:tcPr/>
          <w:p>
            <w:pPr>
              <w:pStyle w:val="Compact"/>
            </w:pPr>
            <w:r>
              <w:t xml:space="preserve">مدير الصيانة، مدير الجودة</w:t>
            </w:r>
          </w:p>
        </w:tc>
        <w:tc>
          <w:tcPr/>
          <w:p>
            <w:pPr>
              <w:pStyle w:val="Compact"/>
            </w:pPr>
            <w:r>
              <w:t xml:space="preserve">المدير العام</w:t>
            </w:r>
          </w:p>
        </w:tc>
      </w:tr>
      <w:tr>
        <w:tc>
          <w:tcPr/>
          <w:p>
            <w:pPr>
              <w:pStyle w:val="Compact"/>
            </w:pPr>
            <w:r>
              <w:rPr>
                <w:b/>
                <w:bCs/>
              </w:rPr>
              <w:t xml:space="preserve">مسؤول السلامة والصحة المهنية</w:t>
            </w:r>
          </w:p>
        </w:tc>
        <w:tc>
          <w:tcPr/>
          <w:p>
            <w:pPr>
              <w:pStyle w:val="Compact"/>
            </w:pPr>
            <w:r>
              <w:t xml:space="preserve">ضمان سلامة بيئة عمل الصيانة.</w:t>
            </w:r>
          </w:p>
        </w:tc>
        <w:tc>
          <w:tcPr/>
          <w:p>
            <w:pPr>
              <w:pStyle w:val="Compact"/>
            </w:pPr>
            <w:r>
              <w:t xml:space="preserve">مراجعة إجراءات السلامة أثناء أعمال الصيانة، توفير معدات الوقاية الشخصية، الإشراف على التخلص الآمن من النفايات الخطرة.</w:t>
            </w:r>
          </w:p>
        </w:tc>
        <w:tc>
          <w:tcPr/>
          <w:p>
            <w:pPr>
              <w:pStyle w:val="Compact"/>
            </w:pPr>
            <w:r>
              <w:t xml:space="preserve">مدير الصيانة</w:t>
            </w:r>
          </w:p>
        </w:tc>
        <w:tc>
          <w:tcPr/>
          <w:p>
            <w:pPr>
              <w:pStyle w:val="Compact"/>
            </w:pPr>
            <w:r>
              <w:t xml:space="preserve">المدير العام</w:t>
            </w:r>
          </w:p>
        </w:tc>
      </w:tr>
      <w:tr>
        <w:tc>
          <w:tcPr/>
          <w:p>
            <w:pPr>
              <w:pStyle w:val="Compact"/>
            </w:pPr>
            <w:r>
              <w:rPr>
                <w:b/>
                <w:bCs/>
              </w:rPr>
              <w:t xml:space="preserve">المشغلون/الفنيون (الإنتاج)</w:t>
            </w:r>
          </w:p>
        </w:tc>
        <w:tc>
          <w:tcPr/>
          <w:p>
            <w:pPr>
              <w:pStyle w:val="Compact"/>
            </w:pPr>
            <w:r>
              <w:t xml:space="preserve">المراقبة الأولية للمعدات والإبلاغ عن أي انحرافات.</w:t>
            </w:r>
          </w:p>
        </w:tc>
        <w:tc>
          <w:tcPr/>
          <w:p>
            <w:pPr>
              <w:pStyle w:val="Compact"/>
            </w:pPr>
            <w:r>
              <w:t xml:space="preserve">إجراء فحوصات يومية للمعدات (Checklists)، الإبلاغ الفوري عن أي أعطال أو تغييرات غير طبيعية.</w:t>
            </w:r>
          </w:p>
        </w:tc>
        <w:tc>
          <w:tcPr/>
          <w:p>
            <w:pPr>
              <w:pStyle w:val="Compact"/>
            </w:pPr>
            <w:r>
              <w:t xml:space="preserve">مدير الإنتاج، فريق الصيانة</w:t>
            </w:r>
          </w:p>
        </w:tc>
        <w:tc>
          <w:tcPr/>
          <w:p>
            <w:pPr>
              <w:pStyle w:val="Compact"/>
            </w:pPr>
            <w:r>
              <w:t xml:space="preserve">مدير الإنتاج</w:t>
            </w:r>
          </w:p>
        </w:tc>
      </w:tr>
      <w:tr>
        <w:tc>
          <w:tcPr/>
          <w:p>
            <w:pPr>
              <w:pStyle w:val="Compact"/>
            </w:pPr>
            <w:r>
              <w:rPr>
                <w:b/>
                <w:bCs/>
              </w:rPr>
              <w:t xml:space="preserve">إدارة المشتريات</w:t>
            </w:r>
          </w:p>
        </w:tc>
        <w:tc>
          <w:tcPr/>
          <w:p>
            <w:pPr>
              <w:pStyle w:val="Compact"/>
            </w:pPr>
            <w:r>
              <w:t xml:space="preserve">توفير قطع الغيار والمواد اللازمة للصيانة.</w:t>
            </w:r>
          </w:p>
        </w:tc>
        <w:tc>
          <w:tcPr/>
          <w:p>
            <w:pPr>
              <w:pStyle w:val="Compact"/>
            </w:pPr>
            <w:r>
              <w:t xml:space="preserve">شراء قطع الغيار والمواد وفقاً للمواصفات الفنية والجودة المطلوبة.</w:t>
            </w:r>
          </w:p>
        </w:tc>
        <w:tc>
          <w:tcPr/>
          <w:p>
            <w:pPr>
              <w:pStyle w:val="Compact"/>
            </w:pPr>
            <w:r>
              <w:t xml:space="preserve">مدير الصيانة، مدير الجودة</w:t>
            </w:r>
          </w:p>
        </w:tc>
        <w:tc>
          <w:tcPr/>
          <w:p>
            <w:pPr>
              <w:pStyle w:val="Compact"/>
            </w:pPr>
            <w:r>
              <w:t xml:space="preserve">مدير الصيانة</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t xml:space="preserve">6-1</w:t>
      </w:r>
      <w:r>
        <w:t xml:space="preserve"> </w:t>
      </w:r>
      <w:r>
        <w:rPr>
          <w:b/>
          <w:bCs/>
        </w:rPr>
        <w:t xml:space="preserve">حصر وتصنيف المعدات وأجهزة القياس (ISO 22000:2018 §7.1.4, NFSA قرار 6/2023 المادة 12)</w:t>
      </w:r>
      <w:r>
        <w:t xml:space="preserve"> </w:t>
      </w:r>
      <w:r>
        <w:t xml:space="preserve">- 6-1-1 يقوم مدير الصيانة بإنشاء وتحديث قائمة محدثة بجميع المعدات، الآلات، أجهزة القياس والرصد، والمرافق ضمن المنشأة، مصنفة حسب الأهمية (Critical, Major, Minor) بناءً على تأثيرها على سلامة الغذاء والإنتاج.</w:t>
      </w:r>
      <w:r>
        <w:t xml:space="preserve"> </w:t>
      </w:r>
      <w:r>
        <w:t xml:space="preserve">- 6-1-2 يتم تكويد كل معدة أو جهاز قياس بكود فريد، وتسجيل بياناته الأساسية (الاسم، الموديل، الرقم التسلسلي، تاريخ الشراء، العمر التشغيلي المتوقع، الجهة المصنعة، المورد، قطع الغيار الأساسية المتوفرة) في سجل حصر المعدات (F-09-01).</w:t>
      </w:r>
      <w:r>
        <w:t xml:space="preserve"> </w:t>
      </w:r>
      <w:r>
        <w:t xml:space="preserve">- 6-1-3 يتم تحديث هذه القائمة سنوياً أو عند إضافة/إزالة أي معدة/جهاز بمعرفة مدير الصيانة، ومراجعتها واعتمادها من قبل مدير الإنتاج ومدير الجودة.</w:t>
      </w:r>
      <w:r>
        <w:t xml:space="preserve"> </w:t>
      </w:r>
      <w:r>
        <w:t xml:space="preserve">- 6-1-4 لكل معدة أو جهاز، يتم تحديد ما إذا كان يتلامس مع المنتج الغذائي، أو يؤثر بشكل مباشر/غير مباشر على سلامة الغذاء، ويسجل ذلك في حصر المعدات.</w:t>
      </w:r>
    </w:p>
    <w:p>
      <w:pPr>
        <w:pStyle w:val="BodyText"/>
      </w:pPr>
      <w:r>
        <w:t xml:space="preserve">6-2</w:t>
      </w:r>
      <w:r>
        <w:t xml:space="preserve"> </w:t>
      </w:r>
      <w:r>
        <w:rPr>
          <w:b/>
          <w:bCs/>
        </w:rPr>
        <w:t xml:space="preserve">تخطيط الصيانة الوقائية والتنبؤية (ISO 22000:2018 §7.1.4, FSSC 22000 v6 Annex A)</w:t>
      </w:r>
      <w:r>
        <w:t xml:space="preserve"> </w:t>
      </w:r>
      <w:r>
        <w:t xml:space="preserve">- 6-2-1 يقوم مدير الصيانة، بالتعاون مع مدير الإنتاج ومدير الجودة، بوضع خطة سنوية (F-09-03) للصيانة الوقائية والتنبؤية لجميع المعدات وأجزاء البنية التحتية، مع الأخذ في الاعتبار:</w:t>
      </w:r>
      <w:r>
        <w:t xml:space="preserve"> </w:t>
      </w:r>
      <w:r>
        <w:t xml:space="preserve">- توصيات الجهة المصنعة (الكتالوجات الفنية).</w:t>
      </w:r>
      <w:r>
        <w:t xml:space="preserve"> </w:t>
      </w:r>
      <w:r>
        <w:t xml:space="preserve">- تحليل المخاطر لسلامة الغذاء (HACCP) المتعلقة بكل معدة.</w:t>
      </w:r>
      <w:r>
        <w:t xml:space="preserve"> </w:t>
      </w:r>
      <w:r>
        <w:t xml:space="preserve">- التاريخ السابق للأعطال.</w:t>
      </w:r>
      <w:r>
        <w:t xml:space="preserve"> </w:t>
      </w:r>
      <w:r>
        <w:t xml:space="preserve">- أهمية المعدة لسلامة المنتج والإنتاج.</w:t>
      </w:r>
      <w:r>
        <w:t xml:space="preserve"> </w:t>
      </w:r>
      <w:r>
        <w:t xml:space="preserve">- نتائج الصيانة التنبؤية (إن وجدت).</w:t>
      </w:r>
      <w:r>
        <w:t xml:space="preserve"> </w:t>
      </w:r>
      <w:r>
        <w:t xml:space="preserve">- 6-2-2 تتضمن الخطة: نوع الصيانة المطلوب، التردد، الموارد المطلوبة (أفراد، قطع غيار)، الفترة الزمنية المقترحة للتنفيذ، والمسؤولية.</w:t>
      </w:r>
      <w:r>
        <w:t xml:space="preserve"> </w:t>
      </w:r>
      <w:r>
        <w:t xml:space="preserve">- 6-2-3 يتم تكويد أنواع الصيانة المختلفة برموز وإيضاحها بمفتاح أسفل الخطة.</w:t>
      </w:r>
      <w:r>
        <w:t xml:space="preserve"> </w:t>
      </w:r>
      <w:r>
        <w:t xml:space="preserve">- 6-2-4 يجب أن تتضمن خطة الصيانة البنود التالية على الأقل للمعدات التي تتلامس مع المنتج أو تؤثر على سلامته:</w:t>
      </w:r>
      <w:r>
        <w:t xml:space="preserve"> </w:t>
      </w:r>
      <w:r>
        <w:t xml:space="preserve">- فحص وتنظيف الأجزاء المعرضة للتلوث.</w:t>
      </w:r>
      <w:r>
        <w:t xml:space="preserve"> </w:t>
      </w:r>
      <w:r>
        <w:t xml:space="preserve">- التأكد من سلامة وسائط التشحيم (أنها من الدرجة الغذائية Food Grade حيثما تتلامس مع المنتج).</w:t>
      </w:r>
      <w:r>
        <w:t xml:space="preserve"> </w:t>
      </w:r>
      <w:r>
        <w:t xml:space="preserve">- فحص واختبار أجهزة الاستشعار وأنظمة التحكم المرتبطة بالسلامة (مثل أجهزة قياس درجة الحرارة، الضغط).</w:t>
      </w:r>
      <w:r>
        <w:t xml:space="preserve"> </w:t>
      </w:r>
      <w:r>
        <w:t xml:space="preserve">- أعمال المعايرة والتحقق لأجهزة القياس (راجع 6-9).</w:t>
      </w:r>
      <w:r>
        <w:t xml:space="preserve"> </w:t>
      </w:r>
      <w:r>
        <w:t xml:space="preserve">- 6-2-5 يتم مراجعة الخطة واعتمادها سنوياً من قبل المدير العام ومدير الجودة ومدير الإنتاج ومدير الصيانة.</w:t>
      </w:r>
    </w:p>
    <w:p>
      <w:pPr>
        <w:pStyle w:val="BodyText"/>
      </w:pPr>
      <w:r>
        <w:t xml:space="preserve">6-3</w:t>
      </w:r>
      <w:r>
        <w:t xml:space="preserve"> </w:t>
      </w:r>
      <w:r>
        <w:rPr>
          <w:b/>
          <w:bCs/>
        </w:rPr>
        <w:t xml:space="preserve">تنفيذ الصيانة الوقائية/التنبؤية (ISO 22000:2018 §7.1.4, ISO/TS 22002-1 §7)</w:t>
      </w:r>
      <w:r>
        <w:t xml:space="preserve"> </w:t>
      </w:r>
      <w:r>
        <w:t xml:space="preserve">- 6-3-1 يقوم فريق الصيانة بتنفيذ أعمال الصيانة الوقائية والتنبؤية حسب الخطة (F-09-03) وبالتنسيق مع إدارة الإنتاج لتقليل وقت التوقف.</w:t>
      </w:r>
      <w:r>
        <w:t xml:space="preserve"> </w:t>
      </w:r>
      <w:r>
        <w:t xml:space="preserve">- 6-3-2 يتم توثيق جميع أعمال الصيانة المنفذة، بما في ذلك الأجزاء المستبدلة، وقت البدء والانتهاء، اسم الفنيين، وأي ملاحظات، في كارت حياة المعدة/الآلة (F-09-02).</w:t>
      </w:r>
      <w:r>
        <w:t xml:space="preserve"> </w:t>
      </w:r>
      <w:r>
        <w:t xml:space="preserve">- 6-3-3 قبل إعادة تشغيل أي معدة بعد الصيانة، يتم التأكد من إزالة جميع أدوات ومخلفات الصيانة، وتنظيف المنطقة المحيطة بالمعدة (بما في ذلك أي تلوث بمواد التشحيم أو سوائل الصيانة)، ويتم التنسيق مع قسم الجودة والإنتاج للتحقق من نظافة وكفاءة عمل المعدة (راجع إجراء التنظيف والتطهير).</w:t>
      </w:r>
      <w:r>
        <w:t xml:space="preserve"> </w:t>
      </w:r>
      <w:r>
        <w:t xml:space="preserve">- 6-3-4 يتم التأكد من أن جميع قطع الغيار والمواد المضافة (مثل مواد التشحيم) ذات جودة مناسبة ولا تشكل خطراً على سلامة الغذاء (يتم التحقق من شهادات المطابقة Food Grade لمواد التشحيم).</w:t>
      </w:r>
    </w:p>
    <w:p>
      <w:pPr>
        <w:pStyle w:val="BodyText"/>
      </w:pPr>
      <w:r>
        <w:t xml:space="preserve">6-4</w:t>
      </w:r>
      <w:r>
        <w:t xml:space="preserve"> </w:t>
      </w:r>
      <w:r>
        <w:rPr>
          <w:b/>
          <w:bCs/>
        </w:rPr>
        <w:t xml:space="preserve">الصيانة العلاجية (الإصلاحية) (ISO 22000:2018 §8.5.3, FSSC 22000 v6 Part 2.4.1.3)</w:t>
      </w:r>
      <w:r>
        <w:t xml:space="preserve"> </w:t>
      </w:r>
      <w:r>
        <w:t xml:space="preserve">- 6-4-1 عند حدوث عطل غير متوقع في أي معدة، يقوم المشغل/فني الإنتاج بإبلاغ مدير الإنتاج ومدير الصيانة فوراً باستخدام نموذج طلب إصلاح/صيانة (F-09-04).</w:t>
      </w:r>
      <w:r>
        <w:t xml:space="preserve"> </w:t>
      </w:r>
      <w:r>
        <w:t xml:space="preserve">- 6-4-2 يقوم مدير الصيانة بتقييم العطل وتأثيره المحتمل على سلامة المنتج (مثل احتمالية تلوث المنتج)، واتخاذ الإجراءات العاجلة مثل:</w:t>
      </w:r>
      <w:r>
        <w:t xml:space="preserve"> </w:t>
      </w:r>
      <w:r>
        <w:t xml:space="preserve">- عزل المنتج المتأثر (إذا كان العطل قد يؤثر على سلامة المنتج).</w:t>
      </w:r>
      <w:r>
        <w:t xml:space="preserve"> </w:t>
      </w:r>
      <w:r>
        <w:t xml:space="preserve">- إيقاف خط الإنتاج.</w:t>
      </w:r>
      <w:r>
        <w:t xml:space="preserve"> </w:t>
      </w:r>
      <w:r>
        <w:t xml:space="preserve">- اتخاذ تدابير لمنع انتشار التلوث.</w:t>
      </w:r>
      <w:r>
        <w:t xml:space="preserve"> </w:t>
      </w:r>
      <w:r>
        <w:t xml:space="preserve">- 6-4-3 يقوم فريق الصيانة بإصلاح العطل، وتوثيق جميع الأعمال في كارت حياة المعدة/الآلة (F-09-02).</w:t>
      </w:r>
      <w:r>
        <w:t xml:space="preserve"> </w:t>
      </w:r>
      <w:r>
        <w:t xml:space="preserve">- 6-4-4 بعد الإصلاح، يتم التحقق من عمل المعدة بشكل صحيح ومن عدم وجود أي تأثيرات سلبية على سلامة الغذاء. يتم توثيق نتائج التحقق في كارت حياة المعدة.</w:t>
      </w:r>
      <w:r>
        <w:t xml:space="preserve"> </w:t>
      </w:r>
      <w:r>
        <w:t xml:space="preserve">- 6-4-5 في حالة طلب صيانة خارجية، يتم استخدام نموذج أمر شغل (F-09-05)، ويجب على مقدم الخدمة الخارجية الالتزام بمتطلبات سلامة الغذاء والتعقيم المحددة من الشركة.</w:t>
      </w:r>
    </w:p>
    <w:p>
      <w:pPr>
        <w:pStyle w:val="BodyText"/>
      </w:pPr>
      <w:r>
        <w:t xml:space="preserve">6-5</w:t>
      </w:r>
      <w:r>
        <w:t xml:space="preserve"> </w:t>
      </w:r>
      <w:r>
        <w:rPr>
          <w:b/>
          <w:bCs/>
        </w:rPr>
        <w:t xml:space="preserve">صيانة البنية التحتية والمرافق (ISO/TS 22002-1 §4, §5, §6, NFSA قرار 6/2023 المادة 11)</w:t>
      </w:r>
      <w:r>
        <w:t xml:space="preserve"> </w:t>
      </w:r>
      <w:r>
        <w:t xml:space="preserve">- 6-5-1 يقوم مدير الصيانة، بالتعاون مع مدير الجودة، بوضع خطة سنوية وبرنامج مرور دوري على المباني والمنشآت والبنية التحتية (أسقف، جدران، أرضيات، أنظمة صرف صحي، تهوية، إضاءة، أبواب ونوافذ) لتحديد أي احتياجات للصيانة.</w:t>
      </w:r>
      <w:r>
        <w:t xml:space="preserve"> </w:t>
      </w:r>
      <w:r>
        <w:t xml:space="preserve">- 6-5-2 يتم توثيق نتائج المرور الدوري والملاحظات ونقاط عدم المطابقة في تقرير المرور الدوري على البنية التحتية (F-09-08).</w:t>
      </w:r>
      <w:r>
        <w:t xml:space="preserve"> </w:t>
      </w:r>
      <w:r>
        <w:t xml:space="preserve">- 6-5-3 يتم اتخاذ الإجراءات التصحيحية اللازمة فوراً لمعالجة أي قصور في البنية التحتية قد يؤثر على سلامة الغذاء (مثل الشقوق في الجدران، تسرب المياه، نقص التهوية، تكاثر الآفات) ويتم توثيقها.</w:t>
      </w:r>
      <w:r>
        <w:t xml:space="preserve"> </w:t>
      </w:r>
      <w:r>
        <w:t xml:space="preserve">- 6-5-4 يجب أن تتم أعمال صيانة البنية التحتية بطريقة تمنع تلوث المنتج، مع عزل مناطق العمل والتنظيف الشامل بعد الانتهاء، ويتم التأكد من أن المواد المستخدمة في الصيانة (مثل الدهانات، مواد العزل) مناسبة للاستخدام في بيئة تصنيع الأغذية.</w:t>
      </w:r>
    </w:p>
    <w:p>
      <w:pPr>
        <w:pStyle w:val="BodyText"/>
      </w:pPr>
      <w:r>
        <w:t xml:space="preserve">6-6</w:t>
      </w:r>
      <w:r>
        <w:t xml:space="preserve"> </w:t>
      </w:r>
      <w:r>
        <w:rPr>
          <w:b/>
          <w:bCs/>
        </w:rPr>
        <w:t xml:space="preserve">إدارة قطع الغيار والمخازن (ISO 22000:2018 §7.1.4)</w:t>
      </w:r>
      <w:r>
        <w:t xml:space="preserve"> </w:t>
      </w:r>
      <w:r>
        <w:t xml:space="preserve">- 6-6-1 يقوم مدير الصيانة بتحديد قائمة بقطع الغيار الحرجة والأساسية لضمان استمرارية التشغيل وسلامة الغذاء.</w:t>
      </w:r>
      <w:r>
        <w:t xml:space="preserve"> </w:t>
      </w:r>
      <w:r>
        <w:t xml:space="preserve">- 6-6-2 يتم تخزين قطع الغيار بطريقة منظمة ومحمية من التلف والتلوث، وتطبيق مبدأ الوارد أولاً يصرف أولاً (FIFO).</w:t>
      </w:r>
      <w:r>
        <w:t xml:space="preserve"> </w:t>
      </w:r>
      <w:r>
        <w:t xml:space="preserve">- 6-6-3 تُراجع جودة ومطابقة قطع الغيار المستلمة للمواصفات الفنية، خاصة تلك التي قد تتلامس مع المنتج، ويتم التأكد من أن مواد التشحيم والمواد الكيميائية المستخدمة في الصيانة هي من الدرجة الغذائية (Food Grade) عند الضرورة القصوى.</w:t>
      </w:r>
      <w:r>
        <w:t xml:space="preserve"> </w:t>
      </w:r>
      <w:r>
        <w:t xml:space="preserve">- 6-6-4 يتم تسجيل حركة قطع الغيار (صرف/إرجاع) في السجلات المخصصة.</w:t>
      </w:r>
    </w:p>
    <w:p>
      <w:pPr>
        <w:pStyle w:val="BodyText"/>
      </w:pPr>
      <w:r>
        <w:t xml:space="preserve">6-7</w:t>
      </w:r>
      <w:r>
        <w:t xml:space="preserve"> </w:t>
      </w:r>
      <w:r>
        <w:rPr>
          <w:b/>
          <w:bCs/>
        </w:rPr>
        <w:t xml:space="preserve">تقييم المخاطر وتدابير الرقابة خلال الصيانة (ISO 22000:2018 §6.1, §8.2)</w:t>
      </w:r>
      <w:r>
        <w:t xml:space="preserve"> </w:t>
      </w:r>
      <w:r>
        <w:t xml:space="preserve">- 6-7-1 قبل البدء بأي عمل صيانة، يتم تقييم المخاطر المحتملة لسلامة الغذاء (مثل التلوث الفيزيائي، الكيميائي، الميكروبيولوجي) المرتبطة بالنشاط.</w:t>
      </w:r>
      <w:r>
        <w:t xml:space="preserve"> </w:t>
      </w:r>
      <w:r>
        <w:t xml:space="preserve">- 6-7-2 يتم وضع تدابير رقابية لمنع هذه المخاطر (مثل: تغطية المعدات المجاورة، عزل منطقة الصيانة، ارتداء ملابس واقية خاصة، استخدام أدوات مخصصة، التنظيف والتعقيم بعد الصيانة، فحص المنتج بعد إعادة التشغيل).</w:t>
      </w:r>
      <w:r>
        <w:t xml:space="preserve"> </w:t>
      </w:r>
      <w:r>
        <w:t xml:space="preserve">- 6-7-3 يجب التأكد من إزالة جميع أدوات الصيانة والمخلفات قبل إعادة تشغيل الخط.</w:t>
      </w:r>
    </w:p>
    <w:p>
      <w:pPr>
        <w:pStyle w:val="BodyText"/>
      </w:pPr>
      <w:r>
        <w:t xml:space="preserve">6-8</w:t>
      </w:r>
      <w:r>
        <w:t xml:space="preserve"> </w:t>
      </w:r>
      <w:r>
        <w:rPr>
          <w:b/>
          <w:bCs/>
        </w:rPr>
        <w:t xml:space="preserve">الكفاءة والتدريب لفريق الصيانة (ISO 22000:2018 §7.2, NFSA قرار 6/2023 المادة 11)</w:t>
      </w:r>
      <w:r>
        <w:t xml:space="preserve"> </w:t>
      </w:r>
      <w:r>
        <w:t xml:space="preserve">- 6-8-1 يتم تحديد متطلبات الكفاءة والتدريب اللازمة لفريق الصيانة، وخاصة فيما يتعلق بمتطلبات سلامة الغذاء والممارسات التصنيعية الجيدة.</w:t>
      </w:r>
      <w:r>
        <w:t xml:space="preserve"> </w:t>
      </w:r>
      <w:r>
        <w:t xml:space="preserve">- 6-8-2 يتم توفير التدريب المستمر للعاملين في الصيانة على إجراءات السلامة والصحة المهنية، وإجراءات النظافة والتعقيم، وتقنيات الصيانة، وكيفية التعامل مع المعدات التي تتلامس مع الغذاء.</w:t>
      </w:r>
      <w:r>
        <w:t xml:space="preserve"> </w:t>
      </w:r>
      <w:r>
        <w:t xml:space="preserve">- 6-8-3 يتم الاحتفاظ بسجلات لتدريب وكفاءة أفراد الصيانة.</w:t>
      </w:r>
    </w:p>
    <w:p>
      <w:pPr>
        <w:pStyle w:val="BodyText"/>
      </w:pPr>
      <w:r>
        <w:t xml:space="preserve">6-9</w:t>
      </w:r>
      <w:r>
        <w:t xml:space="preserve"> </w:t>
      </w:r>
      <w:r>
        <w:rPr>
          <w:b/>
          <w:bCs/>
        </w:rPr>
        <w:t xml:space="preserve">معايرة أجهزة القياس والرصد والتحقق منها (ISO 22000:2018 §7.1.5, NFSA قرار 6/2023 المادة 12)</w:t>
      </w:r>
      <w:r>
        <w:t xml:space="preserve"> </w:t>
      </w:r>
      <w:r>
        <w:t xml:space="preserve">- 6-9-1 يقوم مدير الجودة، بالتعاون مع مدير الصيانة، بحصر جميع أجهزة القياس والرصد المستخدمة في مراقبة نقاط التحكم الحرجة (CCPs) أو برامج المتطلبات الأساسية (PRPs)، أو التي تؤثر على سلامة المنتج.</w:t>
      </w:r>
      <w:r>
        <w:t xml:space="preserve"> </w:t>
      </w:r>
      <w:r>
        <w:t xml:space="preserve">- 6-9-2 يتم وضع خطة سنوية للمعايرة والتحقق (F-09-06) تحدد: الجهاز، الكود، نطاق القياس، تردد المعايرة، طريقة المعايرة، الجهة المسؤولة (داخلية/خارجية)، ومعايير القبول.</w:t>
      </w:r>
      <w:r>
        <w:t xml:space="preserve"> </w:t>
      </w:r>
      <w:r>
        <w:t xml:space="preserve">- 6-9-3 يجب معايرة الأجهزة بشكل منتظم وفقاً لخطة المعايرة، ويتم الاحتفاظ بشهادات المعايرة الدالة على ذلك في ملفات الأجهزة.</w:t>
      </w:r>
      <w:r>
        <w:t xml:space="preserve"> </w:t>
      </w:r>
      <w:r>
        <w:t xml:space="preserve">- 6-9-4 يتم تمييز أجهزة القياس بملصق (F-09-07) يوضح تاريخ المعايرة وتاريخ الاستحقاق التالي، وجهة المعايرة، وحالة المعايرة.</w:t>
      </w:r>
      <w:r>
        <w:t xml:space="preserve"> </w:t>
      </w:r>
      <w:r>
        <w:t xml:space="preserve">- 6-9-5 في حالة عدم مطابقة جهاز قياس، يتم تمييزه بوضوح على أنه</w:t>
      </w:r>
      <w:r>
        <w:t xml:space="preserve"> </w:t>
      </w:r>
      <w:r>
        <w:t xml:space="preserve">“غير صالح للاستخدام”</w:t>
      </w:r>
      <w:r>
        <w:t xml:space="preserve"> </w:t>
      </w:r>
      <w:r>
        <w:t xml:space="preserve">أو</w:t>
      </w:r>
      <w:r>
        <w:t xml:space="preserve"> </w:t>
      </w:r>
      <w:r>
        <w:t xml:space="preserve">“غير معاير”</w:t>
      </w:r>
      <w:r>
        <w:t xml:space="preserve"> </w:t>
      </w:r>
      <w:r>
        <w:t xml:space="preserve">وعزله عن التشغيل، ويتم تقييم تأثير ذلك على دقة القياسات السابقة وعلى سلامة المنتج، واتخاذ الإجراءات التصحيحية اللازمة.</w:t>
      </w:r>
      <w:r>
        <w:t xml:space="preserve"> </w:t>
      </w:r>
      <w:r>
        <w:t xml:space="preserve">- 6-9-6 قبل كل استخدام، يتم إجراء فحص وتحقق يومي لأجهزة القياس (مثل فحص نقطة الصفر أو نقطة التحكم) لضمان فعاليتها.</w:t>
      </w:r>
    </w:p>
    <w:p>
      <w:pPr>
        <w:pStyle w:val="BodyText"/>
      </w:pPr>
      <w:r>
        <w:t xml:space="preserve">6-10</w:t>
      </w:r>
      <w:r>
        <w:t xml:space="preserve"> </w:t>
      </w:r>
      <w:r>
        <w:rPr>
          <w:b/>
          <w:bCs/>
        </w:rPr>
        <w:t xml:space="preserve">مراقبة السجلات (ISO 22000:2018 §7.5)</w:t>
      </w:r>
      <w:r>
        <w:t xml:space="preserve"> </w:t>
      </w:r>
      <w:r>
        <w:t xml:space="preserve">- 6-10-1 يتم فهرسة، حفظ، والتعامل مع جميع السجلات والنماذج المرتبطة بهذا الإجراء وفقاً لمتطلبات إجراء مراقبة السجلات (FSP-01) لضمان سهولة الوصول إليها وتتبعها.</w:t>
      </w:r>
    </w:p>
    <w:p>
      <w:pPr>
        <w:pStyle w:val="BodyText"/>
      </w:pPr>
      <w:r>
        <w:t xml:space="preserve">6-11</w:t>
      </w:r>
      <w:r>
        <w:t xml:space="preserve"> </w:t>
      </w:r>
      <w:r>
        <w:rPr>
          <w:b/>
          <w:bCs/>
        </w:rPr>
        <w:t xml:space="preserve">تحليل بيانات الصيانة ومراجعة الإدارة (ISO 22000:2018 §9.1, §9.3)</w:t>
      </w:r>
      <w:r>
        <w:t xml:space="preserve"> </w:t>
      </w:r>
      <w:r>
        <w:t xml:space="preserve">- 6-11-1 يقوم مدير الصيانة بتحليل دوري لبيانات الصيانة (شهري/ربع سنوي) وتشمل: عدد الأعطال، وقت التوقف، التكاليف، فعالية الصيانة الوقائية، عدد حالات عدم المطابقة المرتبطة بالصيانة، تأثير الصيانة على سلامة الغذاء (مثل حوادث التلوث).</w:t>
      </w:r>
      <w:r>
        <w:t xml:space="preserve"> </w:t>
      </w:r>
      <w:r>
        <w:t xml:space="preserve">- 6-11-2 يتم استخدام نتائج هذا التحليل لتحديد مجالات التحسين، وتحديث خطط الصيانة، واتخاذ الإجراءات التصحيحية والوقائية اللازمة.</w:t>
      </w:r>
      <w:r>
        <w:t xml:space="preserve"> </w:t>
      </w:r>
      <w:r>
        <w:t xml:space="preserve">- 6-11-3 يتم عرض هذه التحليلات والنتائج، بالإضافة إلى فعالية الإجراءات التصحيحية المتخذة، ضمن مدخلات مراجعة الإدارة.</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 عن الحفظ</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F-09-01</w:t>
            </w:r>
          </w:p>
        </w:tc>
        <w:tc>
          <w:tcPr/>
          <w:p>
            <w:pPr>
              <w:pStyle w:val="Compact"/>
            </w:pPr>
            <w:r>
              <w:t xml:space="preserve">سجل حصر المعدات والآلات والبنية التحتية</w:t>
            </w:r>
          </w:p>
        </w:tc>
        <w:tc>
          <w:tcPr/>
          <w:p>
            <w:pPr>
              <w:pStyle w:val="Compact"/>
            </w:pPr>
            <w:r>
              <w:t xml:space="preserve">إدارة الصيانة</w:t>
            </w:r>
          </w:p>
        </w:tc>
        <w:tc>
          <w:tcPr/>
          <w:p>
            <w:pPr>
              <w:pStyle w:val="Compact"/>
            </w:pPr>
            <w:r>
              <w:t xml:space="preserve">5 سنوات بعد التكهين/التحديث</w:t>
            </w:r>
          </w:p>
        </w:tc>
        <w:tc>
          <w:tcPr/>
          <w:p>
            <w:pPr>
              <w:pStyle w:val="Compact"/>
            </w:pPr>
            <w:r>
              <w:t xml:space="preserve">بيانات أساسية لكل معدة/مرفق، كود، حالتها، تحديد ما إذا كانت تتلامس مع المنتج أو تؤثر على سلامته.</w:t>
            </w:r>
          </w:p>
        </w:tc>
      </w:tr>
      <w:tr>
        <w:tc>
          <w:tcPr/>
          <w:p>
            <w:pPr>
              <w:pStyle w:val="Compact"/>
            </w:pPr>
            <w:r>
              <w:t xml:space="preserve">F-09-02</w:t>
            </w:r>
          </w:p>
        </w:tc>
        <w:tc>
          <w:tcPr/>
          <w:p>
            <w:pPr>
              <w:pStyle w:val="Compact"/>
            </w:pPr>
            <w:r>
              <w:t xml:space="preserve">كارت حياة ماكينة/معدة</w:t>
            </w:r>
          </w:p>
        </w:tc>
        <w:tc>
          <w:tcPr/>
          <w:p>
            <w:pPr>
              <w:pStyle w:val="Compact"/>
            </w:pPr>
            <w:r>
              <w:t xml:space="preserve">إدارة الصيانة</w:t>
            </w:r>
          </w:p>
        </w:tc>
        <w:tc>
          <w:tcPr/>
          <w:p>
            <w:pPr>
              <w:pStyle w:val="Compact"/>
            </w:pPr>
            <w:r>
              <w:t xml:space="preserve">5 سنوات بعد التكهين/التحديث</w:t>
            </w:r>
          </w:p>
        </w:tc>
        <w:tc>
          <w:tcPr/>
          <w:p>
            <w:pPr>
              <w:pStyle w:val="Compact"/>
            </w:pPr>
            <w:r>
              <w:t xml:space="preserve">تفاصيل أعمال الصيانة (وقائية/علاجية)، قطع الغيار، ملاحظات، هوية الفني، توصيات، تقييم التأثير على سلامة المنتج.</w:t>
            </w:r>
          </w:p>
        </w:tc>
      </w:tr>
      <w:tr>
        <w:tc>
          <w:tcPr/>
          <w:p>
            <w:pPr>
              <w:pStyle w:val="Compact"/>
            </w:pPr>
            <w:r>
              <w:t xml:space="preserve">F-09-03</w:t>
            </w:r>
          </w:p>
        </w:tc>
        <w:tc>
          <w:tcPr/>
          <w:p>
            <w:pPr>
              <w:pStyle w:val="Compact"/>
            </w:pPr>
            <w:r>
              <w:t xml:space="preserve">خطة الصيانة الوقائية/ والتنبؤية السنوية</w:t>
            </w:r>
          </w:p>
        </w:tc>
        <w:tc>
          <w:tcPr/>
          <w:p>
            <w:pPr>
              <w:pStyle w:val="Compact"/>
            </w:pPr>
            <w:r>
              <w:t xml:space="preserve">إدارة الصيانة</w:t>
            </w:r>
          </w:p>
        </w:tc>
        <w:tc>
          <w:tcPr/>
          <w:p>
            <w:pPr>
              <w:pStyle w:val="Compact"/>
            </w:pPr>
            <w:r>
              <w:t xml:space="preserve">3 سنوات بعد انتهاء صلاحيتها أو التحديث</w:t>
            </w:r>
          </w:p>
        </w:tc>
        <w:tc>
          <w:tcPr/>
          <w:p>
            <w:pPr>
              <w:pStyle w:val="Compact"/>
            </w:pPr>
            <w:r>
              <w:t xml:space="preserve">جدول زمني لأعمال الصيانة، أنواع الصيانة، الموارد، تواريخ المراجعة والاعتماد.</w:t>
            </w:r>
          </w:p>
        </w:tc>
      </w:tr>
      <w:tr>
        <w:tc>
          <w:tcPr/>
          <w:p>
            <w:pPr>
              <w:pStyle w:val="Compact"/>
            </w:pPr>
            <w:r>
              <w:t xml:space="preserve">F-09-04</w:t>
            </w:r>
          </w:p>
        </w:tc>
        <w:tc>
          <w:tcPr/>
          <w:p>
            <w:pPr>
              <w:pStyle w:val="Compact"/>
            </w:pPr>
            <w:r>
              <w:t xml:space="preserve">طلب إصلاح/صيانة</w:t>
            </w:r>
          </w:p>
        </w:tc>
        <w:tc>
          <w:tcPr/>
          <w:p>
            <w:pPr>
              <w:pStyle w:val="Compact"/>
            </w:pPr>
            <w:r>
              <w:t xml:space="preserve">إدارة الصيانة</w:t>
            </w:r>
          </w:p>
        </w:tc>
        <w:tc>
          <w:tcPr/>
          <w:p>
            <w:pPr>
              <w:pStyle w:val="Compact"/>
            </w:pPr>
            <w:r>
              <w:t xml:space="preserve">3 سنوات</w:t>
            </w:r>
          </w:p>
        </w:tc>
        <w:tc>
          <w:tcPr/>
          <w:p>
            <w:pPr>
              <w:pStyle w:val="Compact"/>
            </w:pPr>
            <w:r>
              <w:t xml:space="preserve">وصف العطل، تاريخ الإبلاغ، تقييم الأثر على سلامة الغذاء، الإجراء المتخذ، تاريخ الإصلاح.</w:t>
            </w:r>
          </w:p>
        </w:tc>
      </w:tr>
      <w:tr>
        <w:tc>
          <w:tcPr/>
          <w:p>
            <w:pPr>
              <w:pStyle w:val="Compact"/>
            </w:pPr>
            <w:r>
              <w:t xml:space="preserve">F-09-05</w:t>
            </w:r>
          </w:p>
        </w:tc>
        <w:tc>
          <w:tcPr/>
          <w:p>
            <w:pPr>
              <w:pStyle w:val="Compact"/>
            </w:pPr>
            <w:r>
              <w:t xml:space="preserve">أمر شغل (صيانة خارجية)</w:t>
            </w:r>
          </w:p>
        </w:tc>
        <w:tc>
          <w:tcPr/>
          <w:p>
            <w:pPr>
              <w:pStyle w:val="Compact"/>
            </w:pPr>
            <w:r>
              <w:t xml:space="preserve">إدارة الصيانة</w:t>
            </w:r>
          </w:p>
        </w:tc>
        <w:tc>
          <w:tcPr/>
          <w:p>
            <w:pPr>
              <w:pStyle w:val="Compact"/>
            </w:pPr>
            <w:r>
              <w:t xml:space="preserve">3 سنوات</w:t>
            </w:r>
          </w:p>
        </w:tc>
        <w:tc>
          <w:tcPr/>
          <w:p>
            <w:pPr>
              <w:pStyle w:val="Compact"/>
            </w:pPr>
            <w:r>
              <w:t xml:space="preserve">تفاصيل العمل المطلوب، تاريخ الصيانة، اسم الشركة الخارجية، تقرير الإصلاح، التحقق من فعالية الإصلاح.</w:t>
            </w:r>
          </w:p>
        </w:tc>
      </w:tr>
      <w:tr>
        <w:tc>
          <w:tcPr/>
          <w:p>
            <w:pPr>
              <w:pStyle w:val="Compact"/>
            </w:pPr>
            <w:r>
              <w:t xml:space="preserve">F-09-06</w:t>
            </w:r>
          </w:p>
        </w:tc>
        <w:tc>
          <w:tcPr/>
          <w:p>
            <w:pPr>
              <w:pStyle w:val="Compact"/>
            </w:pPr>
            <w:r>
              <w:t xml:space="preserve">خطة وموقف معايرة معدات الرصد والقياس</w:t>
            </w:r>
          </w:p>
        </w:tc>
        <w:tc>
          <w:tcPr/>
          <w:p>
            <w:pPr>
              <w:pStyle w:val="Compact"/>
            </w:pPr>
            <w:r>
              <w:t xml:space="preserve">إدارة الجودة</w:t>
            </w:r>
          </w:p>
        </w:tc>
        <w:tc>
          <w:tcPr/>
          <w:p>
            <w:pPr>
              <w:pStyle w:val="Compact"/>
            </w:pPr>
            <w:r>
              <w:t xml:space="preserve">5 سنوات</w:t>
            </w:r>
          </w:p>
        </w:tc>
        <w:tc>
          <w:tcPr/>
          <w:p>
            <w:pPr>
              <w:pStyle w:val="Compact"/>
            </w:pPr>
            <w:r>
              <w:t xml:space="preserve">جدول دوري للمعايرة، أجهزة القياس، تواريخ الاستحقاق، نتائج المعايرة، جهة المعايرة.</w:t>
            </w:r>
          </w:p>
        </w:tc>
      </w:tr>
      <w:tr>
        <w:tc>
          <w:tcPr/>
          <w:p>
            <w:pPr>
              <w:pStyle w:val="Compact"/>
            </w:pPr>
            <w:r>
              <w:t xml:space="preserve">F-09-07</w:t>
            </w:r>
          </w:p>
        </w:tc>
        <w:tc>
          <w:tcPr/>
          <w:p>
            <w:pPr>
              <w:pStyle w:val="Compact"/>
            </w:pPr>
            <w:r>
              <w:t xml:space="preserve">كارت معايرة معدات الرصد والقياس</w:t>
            </w:r>
          </w:p>
        </w:tc>
        <w:tc>
          <w:tcPr/>
          <w:p>
            <w:pPr>
              <w:pStyle w:val="Compact"/>
            </w:pPr>
            <w:r>
              <w:t xml:space="preserve">إدارة الجودة</w:t>
            </w:r>
          </w:p>
        </w:tc>
        <w:tc>
          <w:tcPr/>
          <w:p>
            <w:pPr>
              <w:pStyle w:val="Compact"/>
            </w:pPr>
            <w:r>
              <w:t xml:space="preserve">5 سنوات (يجدد مع الجهاز)</w:t>
            </w:r>
          </w:p>
        </w:tc>
        <w:tc>
          <w:tcPr/>
          <w:p>
            <w:pPr>
              <w:pStyle w:val="Compact"/>
            </w:pPr>
            <w:r>
              <w:t xml:space="preserve">ملصق يوضع على الجهاز يوضح تاريخ المعايرة، وتاريخ الاستحقاق التالي، واسم جهة المعايرة.</w:t>
            </w:r>
          </w:p>
        </w:tc>
      </w:tr>
      <w:tr>
        <w:tc>
          <w:tcPr/>
          <w:p>
            <w:pPr>
              <w:pStyle w:val="Compact"/>
            </w:pPr>
            <w:r>
              <w:t xml:space="preserve">F-09-08</w:t>
            </w:r>
          </w:p>
        </w:tc>
        <w:tc>
          <w:tcPr/>
          <w:p>
            <w:pPr>
              <w:pStyle w:val="Compact"/>
            </w:pPr>
            <w:r>
              <w:t xml:space="preserve">تقرير المرور الدوري على البنية التحتية</w:t>
            </w:r>
          </w:p>
        </w:tc>
        <w:tc>
          <w:tcPr/>
          <w:p>
            <w:pPr>
              <w:pStyle w:val="Compact"/>
            </w:pPr>
            <w:r>
              <w:t xml:space="preserve">إدارة الصيانة</w:t>
            </w:r>
          </w:p>
        </w:tc>
        <w:tc>
          <w:tcPr/>
          <w:p>
            <w:pPr>
              <w:pStyle w:val="Compact"/>
            </w:pPr>
            <w:r>
              <w:t xml:space="preserve">3 سنوات</w:t>
            </w:r>
          </w:p>
        </w:tc>
        <w:tc>
          <w:tcPr/>
          <w:p>
            <w:pPr>
              <w:pStyle w:val="Compact"/>
            </w:pPr>
            <w:r>
              <w:t xml:space="preserve">تاريخ المرور، المناطق التي تم فحصها، الملاحظات، أعمال الصيانة المطلوبة أو المنفذة، الإجراءات التصحيحية.</w:t>
            </w:r>
          </w:p>
        </w:tc>
      </w:tr>
      <w:tr>
        <w:tc>
          <w:tcPr/>
          <w:p>
            <w:pPr>
              <w:pStyle w:val="Compact"/>
            </w:pPr>
            <w:r>
              <w:t xml:space="preserve">F-09-09</w:t>
            </w:r>
          </w:p>
        </w:tc>
        <w:tc>
          <w:tcPr/>
          <w:p>
            <w:pPr>
              <w:pStyle w:val="Compact"/>
            </w:pPr>
            <w:r>
              <w:t xml:space="preserve">سجل تدريب وكفاءة أفراد الصيانة</w:t>
            </w:r>
          </w:p>
        </w:tc>
        <w:tc>
          <w:tcPr/>
          <w:p>
            <w:pPr>
              <w:pStyle w:val="Compact"/>
            </w:pPr>
            <w:r>
              <w:t xml:space="preserve">إدارة الموارد البشرية/الصيانة</w:t>
            </w:r>
          </w:p>
        </w:tc>
        <w:tc>
          <w:tcPr/>
          <w:p>
            <w:pPr>
              <w:pStyle w:val="Compact"/>
            </w:pPr>
            <w:r>
              <w:t xml:space="preserve">5 سنوات</w:t>
            </w:r>
          </w:p>
        </w:tc>
        <w:tc>
          <w:tcPr/>
          <w:p>
            <w:pPr>
              <w:pStyle w:val="Compact"/>
            </w:pPr>
            <w:r>
              <w:t xml:space="preserve">سجلات التدريب الداخلي والخارجي، تقييم الكفاءة، التحديثات الدورية.</w:t>
            </w:r>
          </w:p>
        </w:tc>
      </w:tr>
      <w:tr>
        <w:tc>
          <w:tcPr/>
          <w:p>
            <w:pPr>
              <w:pStyle w:val="Compact"/>
            </w:pPr>
            <w:r>
              <w:t xml:space="preserve">F-09-10</w:t>
            </w:r>
          </w:p>
        </w:tc>
        <w:tc>
          <w:tcPr/>
          <w:p>
            <w:pPr>
              <w:pStyle w:val="Compact"/>
            </w:pPr>
            <w:r>
              <w:t xml:space="preserve">سجل تقييم مخاطر الصيانة</w:t>
            </w:r>
          </w:p>
        </w:tc>
        <w:tc>
          <w:tcPr/>
          <w:p>
            <w:pPr>
              <w:pStyle w:val="Compact"/>
            </w:pPr>
            <w:r>
              <w:t xml:space="preserve">مدير الصيانة/الجودة</w:t>
            </w:r>
          </w:p>
        </w:tc>
        <w:tc>
          <w:tcPr/>
          <w:p>
            <w:pPr>
              <w:pStyle w:val="Compact"/>
            </w:pPr>
            <w:r>
              <w:t xml:space="preserve">5 سنوات</w:t>
            </w:r>
          </w:p>
        </w:tc>
        <w:tc>
          <w:tcPr/>
          <w:p>
            <w:pPr>
              <w:pStyle w:val="Compact"/>
            </w:pPr>
            <w:r>
              <w:t xml:space="preserve">تحليل المخاطر المحتملة (سلامة الغذاء، السلامة المهنية) لكل مهمة صيانة حرجة، الإجراءات الوقائية والرقابية.</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3"/>
        </w:numPr>
      </w:pPr>
      <w:r>
        <w:rPr>
          <w:b/>
          <w:bCs/>
        </w:rPr>
        <w:t xml:space="preserve">نسبة الامتثال لخطة الصيانة الوقائية والتنبؤية</w:t>
      </w:r>
      <w:r>
        <w:t xml:space="preserve">: (% من المهام المجدولة التي تم تنفيذها بنجاح وفي الوقت المحدد). (الهدف: لا يقل عن 95%).</w:t>
      </w:r>
    </w:p>
    <w:p>
      <w:pPr>
        <w:pStyle w:val="Compact"/>
        <w:numPr>
          <w:ilvl w:val="0"/>
          <w:numId w:val="1003"/>
        </w:numPr>
      </w:pPr>
      <w:r>
        <w:rPr>
          <w:b/>
          <w:bCs/>
        </w:rPr>
        <w:t xml:space="preserve">متوسط وقت التوقف بسبب الأعطال المفاجئة (MTBF – Mean Time Between Failures)</w:t>
      </w:r>
      <w:r>
        <w:t xml:space="preserve">: (عدد ساعات التشغيل / عدد الأعطال). يعكس كفاءة الصيانة الوقائية. (الهدف: زيادة مستمرة، يُحدد هدف سنوي).</w:t>
      </w:r>
    </w:p>
    <w:p>
      <w:pPr>
        <w:pStyle w:val="Compact"/>
        <w:numPr>
          <w:ilvl w:val="0"/>
          <w:numId w:val="1003"/>
        </w:numPr>
      </w:pPr>
      <w:r>
        <w:rPr>
          <w:b/>
          <w:bCs/>
        </w:rPr>
        <w:t xml:space="preserve">نسبة الأعطال التي أدت إلى سحب أو إتلاف منتج</w:t>
      </w:r>
      <w:r>
        <w:t xml:space="preserve">: (عدد حوادث الأعطال التي أثرت على سلامة المنتج / إجمالي عدد الأعطال). (الهدف: 0%).</w:t>
      </w:r>
    </w:p>
    <w:p>
      <w:pPr>
        <w:pStyle w:val="Compact"/>
        <w:numPr>
          <w:ilvl w:val="0"/>
          <w:numId w:val="1003"/>
        </w:numPr>
      </w:pPr>
      <w:r>
        <w:rPr>
          <w:b/>
          <w:bCs/>
        </w:rPr>
        <w:t xml:space="preserve">نسبة أجهزة القياس والمعايرة الممتثلة</w:t>
      </w:r>
      <w:r>
        <w:t xml:space="preserve">: (% من أجهزة القياس التي تم معايرتها في موعدها وضمن معايير القبول). (الهدف: 100%).</w:t>
      </w:r>
    </w:p>
    <w:p>
      <w:pPr>
        <w:pStyle w:val="Compact"/>
        <w:numPr>
          <w:ilvl w:val="0"/>
          <w:numId w:val="1003"/>
        </w:numPr>
      </w:pPr>
      <w:r>
        <w:rPr>
          <w:b/>
          <w:bCs/>
        </w:rPr>
        <w:t xml:space="preserve">عدد حالات عدم المطابقة الداخلية/الخارجية المتعلقة بالصيانة</w:t>
      </w:r>
      <w:r>
        <w:t xml:space="preserve">: (الهدف: انخفاض مستمر، لا يوجد عدم مطابقة حرجة).</w:t>
      </w:r>
    </w:p>
    <w:p>
      <w:pPr>
        <w:pStyle w:val="Compact"/>
        <w:numPr>
          <w:ilvl w:val="0"/>
          <w:numId w:val="1003"/>
        </w:numPr>
      </w:pPr>
      <w:r>
        <w:rPr>
          <w:b/>
          <w:bCs/>
        </w:rPr>
        <w:t xml:space="preserve">نسبة حوادث التلوث الفيزيائي/الكيميائي/الميكروبيولوجي المرتبطة بأعمال الصيانة</w:t>
      </w:r>
      <w:r>
        <w:t xml:space="preserve">: (الهدف: 0%).</w:t>
      </w:r>
    </w:p>
    <w:p>
      <w:pPr>
        <w:pStyle w:val="Compact"/>
        <w:numPr>
          <w:ilvl w:val="0"/>
          <w:numId w:val="1003"/>
        </w:numPr>
      </w:pPr>
      <w:r>
        <w:rPr>
          <w:b/>
          <w:bCs/>
        </w:rPr>
        <w:t xml:space="preserve">نسبة الالتزام ببرنامج تدريب أفراد الصيانة</w:t>
      </w:r>
      <w:r>
        <w:t xml:space="preserve">: (الهدف: 100%).</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9 - FSP-09</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2026-06-28T07:02:28Z</dcterms:created>
  <dcterms:modified xsi:type="dcterms:W3CDTF">2026-06-28T07:02:28Z</dcterms:modified>
</cp:coreProperties>
</file>

<file path=docProps/custom.xml><?xml version="1.0" encoding="utf-8"?>
<Properties xmlns="http://schemas.openxmlformats.org/officeDocument/2006/custom-properties" xmlns:vt="http://schemas.openxmlformats.org/officeDocument/2006/docPropsVTypes"/>
</file>