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حورس-لإنتاج-وتعبئة-المياه-الطبيعية"/>
    <w:p>
      <w:pPr>
        <w:pStyle w:val="Heading1"/>
      </w:pPr>
      <w:r>
        <w:t xml:space="preserve">شركة حورس لإنتاج وتعبئة المياه الطبيعية</w:t>
      </w:r>
    </w:p>
    <w:bookmarkStart w:id="9" w:name="horus-natural-water-co."/>
    <w:p>
      <w:pPr>
        <w:pStyle w:val="Heading2"/>
      </w:pPr>
      <w:r>
        <w:t xml:space="preserve">Horus Natural Water Co.</w:t>
      </w:r>
    </w:p>
    <w:p>
      <w:pPr>
        <w:pStyle w:val="FirstParagraph"/>
      </w:pPr>
    </w:p>
    <w:bookmarkEnd w:id="9"/>
    <w:bookmarkEnd w:id="10"/>
    <w:bookmarkStart w:id="11" w:name="X02c5f44b125edf6696f145280fa73455f209c85"/>
    <w:p>
      <w:pPr>
        <w:pStyle w:val="Heading1"/>
      </w:pPr>
      <w:r>
        <w:t xml:space="preserve">تحديث نظام إدارة سلامة الغذاء والتحسين المستمر</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تحديث نظام إدارة سلامة الغذاء والتحسين المستمر</w:t>
            </w:r>
          </w:p>
        </w:tc>
      </w:tr>
      <w:tr>
        <w:tc>
          <w:tcPr/>
          <w:p>
            <w:pPr>
              <w:pStyle w:val="Compact"/>
            </w:pPr>
            <w:r>
              <w:rPr>
                <w:b/>
                <w:bCs/>
              </w:rPr>
              <w:t xml:space="preserve">كود الوثيقة</w:t>
            </w:r>
          </w:p>
        </w:tc>
        <w:tc>
          <w:tcPr/>
          <w:p>
            <w:pPr>
              <w:pStyle w:val="Compact"/>
            </w:pPr>
            <w:r>
              <w:t xml:space="preserve">FSP-19</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Xc8637ddb8e74dfb7f809f83380628b5d10931e8"/>
    <w:p>
      <w:pPr>
        <w:pStyle w:val="Heading1"/>
      </w:pPr>
      <w:r>
        <w:t xml:space="preserve">الإجراء رقم 19: تحديث نظام إدارة سلامة الغذاء والتحسين المستمر</w:t>
      </w:r>
    </w:p>
    <w:bookmarkStart w:id="12" w:name="الغرض-purpose"/>
    <w:p>
      <w:pPr>
        <w:pStyle w:val="Heading3"/>
      </w:pPr>
      <w:r>
        <w:t xml:space="preserve">1. الغرض (Purpose)</w:t>
      </w:r>
    </w:p>
    <w:p>
      <w:pPr>
        <w:pStyle w:val="FirstParagraph"/>
      </w:pPr>
      <w:r>
        <w:t xml:space="preserve">يهدف هذا الإجراء إلى تحديد وتوثيق المتطلبات والمسؤوليات والعمليات اللازمة لمراجعة وتقييم نظام إدارة سلامة الغذاء (FSMS) المطبق في منشأة حورس لتعبئة المياه الطبيعية، وتحديثه بشكل مستمر لضمان استمرارية ملاءمته وكفايته وفعاليته. يهدف التحديث إلى الاستجابة للتغيرات الداخلية والخارجية، تحقيق الامتثال للمتطلبات التشريعية والتنظيمية ومعايير الاعتماد، وتعزيز التحسين المستمر لأداء سلامة الغذاء والمنتج (ISO 22000:2018 §10.3، FSSC 22000 v6 Part 2 §2.1.4.1، ISO 9001:2015 §10.3).</w:t>
      </w:r>
    </w:p>
    <w:bookmarkEnd w:id="12"/>
    <w:bookmarkStart w:id="13" w:name="النطاق-scope"/>
    <w:p>
      <w:pPr>
        <w:pStyle w:val="Heading3"/>
      </w:pPr>
      <w:r>
        <w:t xml:space="preserve">2. النطاق (Scope)</w:t>
      </w:r>
    </w:p>
    <w:p>
      <w:pPr>
        <w:pStyle w:val="FirstParagraph"/>
      </w:pPr>
      <w:r>
        <w:t xml:space="preserve">ينطبق هذا الإجراء على جميع العمليات والأنشطة والعناصر المدرجة ضمن نطاق نظام إدارة سلامة الغذاء والمسجلة في وثيقة نطاق النظام، بما في ذلك على سبيل المثال لا الحصر:</w:t>
      </w:r>
      <w:r>
        <w:t xml:space="preserve"> </w:t>
      </w:r>
      <w:r>
        <w:t xml:space="preserve">- عمليات تحديد السياق وتحديد الأطراف المهتمة والقضايا الداخلية والخارجية (ISO 22000:2018 §4.1, §4.2).</w:t>
      </w:r>
      <w:r>
        <w:t xml:space="preserve"> </w:t>
      </w:r>
      <w:r>
        <w:t xml:space="preserve">- سياسة وأهداف سلامة الغذاء والجودة (ISO 22000:2018 §5.2، ISO 9001:2015 §5.2).</w:t>
      </w:r>
      <w:r>
        <w:t xml:space="preserve"> </w:t>
      </w:r>
      <w:r>
        <w:t xml:space="preserve">- تحليل المخاطر وتخطيط إجراءات التغلب عليها (ISO 22000:2018 §6.1).</w:t>
      </w:r>
      <w:r>
        <w:t xml:space="preserve"> </w:t>
      </w:r>
      <w:r>
        <w:t xml:space="preserve">- برامج المتطلبات المسبقة (PRPs) والبرامج التشغيلية للمتطلبات المسبقة (OPRPs) ونقاط التحكم الحرجة (HACCP plan) (ISO 22000:2018 §8.2, §8.5).</w:t>
      </w:r>
      <w:r>
        <w:t xml:space="preserve"> </w:t>
      </w:r>
      <w:r>
        <w:t xml:space="preserve">- إدارة الموارد (البشرية، البنية التحتية، بيئة العمل) (ISO 22000:2018 §7.1).</w:t>
      </w:r>
      <w:r>
        <w:t xml:space="preserve"> </w:t>
      </w:r>
      <w:r>
        <w:t xml:space="preserve">- عمليات الاتصال والتوثيق (ISO 22000:2018 §7.4, §7.5).</w:t>
      </w:r>
      <w:r>
        <w:t xml:space="preserve"> </w:t>
      </w:r>
      <w:r>
        <w:t xml:space="preserve">- عمليات التحقق والمراقبة والقياس (ISO 22000:2018 §8.8).</w:t>
      </w:r>
      <w:r>
        <w:t xml:space="preserve"> </w:t>
      </w:r>
      <w:r>
        <w:t xml:space="preserve">- المراجعة الداخلية ومراجعة الإدارة (ISO 22000:2018 §9.2, §9.3).</w:t>
      </w:r>
      <w:r>
        <w:t xml:space="preserve"> </w:t>
      </w:r>
      <w:r>
        <w:t xml:space="preserve">- إدارة عدم المطابقة والإجراءات التصحيحية (ISO 22000:2018 §10.2).</w:t>
      </w:r>
      <w:r>
        <w:t xml:space="preserve"> </w:t>
      </w:r>
      <w:r>
        <w:t xml:space="preserve">- إدارة وثائق النظام بما في ذلك الكتيبات والإجراءات وسجلات سلامة الغذاء والجودة.</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FSMS</w:t>
      </w:r>
      <w:r>
        <w:t xml:space="preserve">: نظام إدارة سلامة الغذاء (Food Safety Management System).</w:t>
      </w:r>
    </w:p>
    <w:p>
      <w:pPr>
        <w:pStyle w:val="Compact"/>
        <w:numPr>
          <w:ilvl w:val="0"/>
          <w:numId w:val="1001"/>
        </w:numPr>
      </w:pPr>
      <w:r>
        <w:rPr>
          <w:b/>
          <w:bCs/>
        </w:rPr>
        <w:t xml:space="preserve">PRPs</w:t>
      </w:r>
      <w:r>
        <w:t xml:space="preserve">: برامج المتطلبات المسبقة (Prerequisite Programs) – تدابير وقائية أساسية للتحكم في الأخطار.</w:t>
      </w:r>
    </w:p>
    <w:p>
      <w:pPr>
        <w:pStyle w:val="Compact"/>
        <w:numPr>
          <w:ilvl w:val="0"/>
          <w:numId w:val="1001"/>
        </w:numPr>
      </w:pPr>
      <w:r>
        <w:rPr>
          <w:b/>
          <w:bCs/>
        </w:rPr>
        <w:t xml:space="preserve">OPRPs</w:t>
      </w:r>
      <w:r>
        <w:t xml:space="preserve">: برامج المتطلبات المسبقة التشغيلية (Operational Prerequisite Programs) – تدابير تحكم ضرورية للسيطرة على الأخطار المحتملة.</w:t>
      </w:r>
    </w:p>
    <w:p>
      <w:pPr>
        <w:pStyle w:val="Compact"/>
        <w:numPr>
          <w:ilvl w:val="0"/>
          <w:numId w:val="1001"/>
        </w:numPr>
      </w:pPr>
      <w:r>
        <w:rPr>
          <w:b/>
          <w:bCs/>
        </w:rPr>
        <w:t xml:space="preserve">HACCP</w:t>
      </w:r>
      <w:r>
        <w:t xml:space="preserve">: تحليل المخاطر ونقاط التحكم الحرجة (Hazard Analysis and Critical Control Points) – منهجية لتحديد وتقييم والتحكم في أخطار سلامة الغذاء.</w:t>
      </w:r>
    </w:p>
    <w:p>
      <w:pPr>
        <w:pStyle w:val="Compact"/>
        <w:numPr>
          <w:ilvl w:val="0"/>
          <w:numId w:val="1001"/>
        </w:numPr>
      </w:pPr>
      <w:r>
        <w:rPr>
          <w:b/>
          <w:bCs/>
        </w:rPr>
        <w:t xml:space="preserve">NFSA</w:t>
      </w:r>
      <w:r>
        <w:t xml:space="preserve">: الهيئة القومية لسلامة الغذاء المصرية (National Food Safety Authority).</w:t>
      </w:r>
    </w:p>
    <w:p>
      <w:pPr>
        <w:pStyle w:val="Compact"/>
        <w:numPr>
          <w:ilvl w:val="0"/>
          <w:numId w:val="1001"/>
        </w:numPr>
      </w:pPr>
      <w:r>
        <w:rPr>
          <w:b/>
          <w:bCs/>
        </w:rPr>
        <w:t xml:space="preserve">Stakeholders/الأطراف المعنية</w:t>
      </w:r>
      <w:r>
        <w:t xml:space="preserve">: الأفراد أو المنظمات التي يمكن أن تؤثر أو تتأثر أو ترى نفسها متأثرة بقرار أو نشاط سلامة الغذاء (ISO 22000:2018 §3.13).</w:t>
      </w:r>
    </w:p>
    <w:p>
      <w:pPr>
        <w:pStyle w:val="Compact"/>
        <w:numPr>
          <w:ilvl w:val="0"/>
          <w:numId w:val="1001"/>
        </w:numPr>
      </w:pPr>
      <w:r>
        <w:rPr>
          <w:b/>
          <w:bCs/>
        </w:rPr>
        <w:t xml:space="preserve">التحسين المستمر</w:t>
      </w:r>
      <w:r>
        <w:t xml:space="preserve">: النشاط المتكرر لتحسين الأداء (ISO 22000:2018 §10.3).</w:t>
      </w:r>
    </w:p>
    <w:p>
      <w:pPr>
        <w:pStyle w:val="Compact"/>
        <w:numPr>
          <w:ilvl w:val="0"/>
          <w:numId w:val="1001"/>
        </w:numPr>
      </w:pPr>
      <w:r>
        <w:rPr>
          <w:b/>
          <w:bCs/>
        </w:rPr>
        <w:t xml:space="preserve">التحديث</w:t>
      </w:r>
      <w:r>
        <w:t xml:space="preserve">: عملية مراجعة وتعديل عناصر النظام لضمان ملاءمتها وكفايتها وفعاليتها (ISO 22000:2018 §9.3, §10.3).</w:t>
      </w:r>
    </w:p>
    <w:p>
      <w:pPr>
        <w:pStyle w:val="Compact"/>
        <w:numPr>
          <w:ilvl w:val="0"/>
          <w:numId w:val="1001"/>
        </w:numPr>
      </w:pPr>
      <w:r>
        <w:rPr>
          <w:b/>
          <w:bCs/>
        </w:rPr>
        <w:t xml:space="preserve">NC</w:t>
      </w:r>
      <w:r>
        <w:t xml:space="preserve">: عدم مطابقة (Non-conformity).</w:t>
      </w:r>
    </w:p>
    <w:bookmarkEnd w:id="14"/>
    <w:bookmarkStart w:id="15" w:name="المراجع-references"/>
    <w:p>
      <w:pPr>
        <w:pStyle w:val="Heading3"/>
      </w:pPr>
      <w:r>
        <w:t xml:space="preserve">4. المراجع (References)</w:t>
      </w:r>
    </w:p>
    <w:p>
      <w:pPr>
        <w:pStyle w:val="Compact"/>
        <w:numPr>
          <w:ilvl w:val="0"/>
          <w:numId w:val="1002"/>
        </w:numPr>
      </w:pPr>
      <w:r>
        <w:rPr>
          <w:b/>
          <w:bCs/>
        </w:rPr>
        <w:t xml:space="preserve">ISO 22000:2018</w:t>
      </w:r>
      <w:r>
        <w:t xml:space="preserve">: نظام إدارة سلامة الغذاء – متطلبات أي منظمة في السلسلة الغذائية (جميع البنود ذات الصلة، خصوصاً §4, §6, §7.4, §8, §9, §10).</w:t>
      </w:r>
    </w:p>
    <w:p>
      <w:pPr>
        <w:pStyle w:val="Compact"/>
        <w:numPr>
          <w:ilvl w:val="0"/>
          <w:numId w:val="1002"/>
        </w:numPr>
      </w:pPr>
      <w:r>
        <w:rPr>
          <w:b/>
          <w:bCs/>
        </w:rPr>
        <w:t xml:space="preserve">ISO 9001:2015</w:t>
      </w:r>
      <w:r>
        <w:t xml:space="preserve">: نظام إدارة الجودة – متطلبات (جميع البنود ذات الصلة، خصوصاً §4, §5, §6, §7.4, §7.5, §9, §10).</w:t>
      </w:r>
    </w:p>
    <w:p>
      <w:pPr>
        <w:pStyle w:val="Compact"/>
        <w:numPr>
          <w:ilvl w:val="0"/>
          <w:numId w:val="1002"/>
        </w:numPr>
      </w:pPr>
      <w:r>
        <w:rPr>
          <w:b/>
          <w:bCs/>
        </w:rPr>
        <w:t xml:space="preserve">Codex Alimentarius CAC/RCP 1-1969</w:t>
      </w:r>
      <w:r>
        <w:t xml:space="preserve">: المبادئ العامة لنظافة الأغذية وتطبيق نظام تحليل المخاطر ونقاط التحكم الحرجة (HACCP) (مبادئ الـ HACCP).</w:t>
      </w:r>
    </w:p>
    <w:p>
      <w:pPr>
        <w:pStyle w:val="Compact"/>
        <w:numPr>
          <w:ilvl w:val="0"/>
          <w:numId w:val="1002"/>
        </w:numPr>
      </w:pPr>
      <w:r>
        <w:rPr>
          <w:b/>
          <w:bCs/>
        </w:rPr>
        <w:t xml:space="preserve">FSSC 22000 v6</w:t>
      </w:r>
      <w:r>
        <w:t xml:space="preserve">: مخطط شهادة نظام سلامة الغذاء (جميع البنود ذات الصلة).</w:t>
      </w:r>
    </w:p>
    <w:p>
      <w:pPr>
        <w:pStyle w:val="Compact"/>
        <w:numPr>
          <w:ilvl w:val="0"/>
          <w:numId w:val="1002"/>
        </w:numPr>
      </w:pPr>
      <w:r>
        <w:rPr>
          <w:b/>
          <w:bCs/>
        </w:rPr>
        <w:t xml:space="preserve">ISO/TS 22002-1:2009</w:t>
      </w:r>
      <w:r>
        <w:t xml:space="preserve">: برامج المتطلبات المسبقة لسلامة الغذاء في تصنيع الأغذية (كمرجع لـ PRPs).</w:t>
      </w:r>
    </w:p>
    <w:p>
      <w:pPr>
        <w:pStyle w:val="Compact"/>
        <w:numPr>
          <w:ilvl w:val="0"/>
          <w:numId w:val="1002"/>
        </w:numPr>
      </w:pPr>
      <w:r>
        <w:rPr>
          <w:b/>
          <w:bCs/>
        </w:rPr>
        <w:t xml:space="preserve">المواصفة القياسية المصرية ES 1589/2007 (وتعديلاتها)</w:t>
      </w:r>
      <w:r>
        <w:t xml:space="preserve">: مياه الشرب المعبأة.</w:t>
      </w:r>
    </w:p>
    <w:p>
      <w:pPr>
        <w:pStyle w:val="Compact"/>
        <w:numPr>
          <w:ilvl w:val="0"/>
          <w:numId w:val="1002"/>
        </w:numPr>
      </w:pPr>
      <w:r>
        <w:rPr>
          <w:b/>
          <w:bCs/>
        </w:rPr>
        <w:t xml:space="preserve">المواصفة القياسية المصرية ES 190 (وتعديلاتها)</w:t>
      </w:r>
      <w:r>
        <w:t xml:space="preserve">: مياه معدنية طبيعية.</w:t>
      </w:r>
    </w:p>
    <w:p>
      <w:pPr>
        <w:pStyle w:val="Compact"/>
        <w:numPr>
          <w:ilvl w:val="0"/>
          <w:numId w:val="1002"/>
        </w:numPr>
      </w:pPr>
      <w:r>
        <w:rPr>
          <w:b/>
          <w:bCs/>
        </w:rPr>
        <w:t xml:space="preserve">قرار الهيئة القومية لسلامة الغذاء (NFSA) رقم 6 لسنة 2023 (وتعديلاته)</w:t>
      </w:r>
      <w:r>
        <w:t xml:space="preserve">: متطلبات ترخيص المنشآت الغذائية واشتراطات سلامة الغذاء في مصر.</w:t>
      </w:r>
    </w:p>
    <w:p>
      <w:pPr>
        <w:pStyle w:val="Compact"/>
        <w:numPr>
          <w:ilvl w:val="0"/>
          <w:numId w:val="1002"/>
        </w:numPr>
      </w:pPr>
      <w:r>
        <w:rPr>
          <w:b/>
          <w:bCs/>
        </w:rPr>
        <w:t xml:space="preserve">قرار وزير الصحة 458/2007 ولوائحه التنفيذية</w:t>
      </w:r>
      <w:r>
        <w:t xml:space="preserve">: المواصفات الخاصة بالمياه المعبأة والصالحة للشرب والإجراءات الرقابية.</w:t>
      </w:r>
    </w:p>
    <w:bookmarkEnd w:id="15"/>
    <w:bookmarkStart w:id="16" w:name="المسؤوليات-responsibilities"/>
    <w:p>
      <w:pPr>
        <w:pStyle w:val="Heading3"/>
      </w:pPr>
      <w:r>
        <w:t xml:space="preserve">5. المسؤوليات (Responsibilities)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الدور/المنصب</w:t>
            </w:r>
          </w:p>
        </w:tc>
        <w:tc>
          <w:tcPr/>
          <w:p>
            <w:pPr>
              <w:pStyle w:val="Compact"/>
            </w:pPr>
            <w:r>
              <w:t xml:space="preserve">مراجعة (R)</w:t>
            </w:r>
          </w:p>
        </w:tc>
        <w:tc>
          <w:tcPr/>
          <w:p>
            <w:pPr>
              <w:pStyle w:val="Compact"/>
            </w:pPr>
            <w:r>
              <w:t xml:space="preserve">اعتماد (A)</w:t>
            </w:r>
          </w:p>
        </w:tc>
        <w:tc>
          <w:tcPr/>
          <w:p>
            <w:pPr>
              <w:pStyle w:val="Compact"/>
            </w:pPr>
            <w:r>
              <w:t xml:space="preserve">استشارة (C)</w:t>
            </w:r>
          </w:p>
        </w:tc>
        <w:tc>
          <w:tcPr/>
          <w:p>
            <w:pPr>
              <w:pStyle w:val="Compact"/>
            </w:pPr>
            <w:r>
              <w:t xml:space="preserve">إبلاغ (I)</w:t>
            </w:r>
          </w:p>
        </w:tc>
      </w:tr>
      <w:tr>
        <w:tc>
          <w:tcPr/>
          <w:p>
            <w:pPr>
              <w:pStyle w:val="Compact"/>
            </w:pPr>
            <w:r>
              <w:t xml:space="preserve">رئيس مجلس الإدارة/المدير العام</w:t>
            </w:r>
          </w:p>
        </w:tc>
        <w:tc>
          <w:tcPr/>
          <w:p>
            <w:pPr>
              <w:pStyle w:val="Compact"/>
            </w:pPr>
          </w:p>
        </w:tc>
        <w:tc>
          <w:tcPr/>
          <w:p>
            <w:pPr>
              <w:pStyle w:val="Compact"/>
            </w:pPr>
            <w:r>
              <w:t xml:space="preserve">A</w:t>
            </w:r>
          </w:p>
        </w:tc>
        <w:tc>
          <w:tcPr/>
          <w:p>
            <w:pPr>
              <w:pStyle w:val="Compact"/>
            </w:pPr>
          </w:p>
        </w:tc>
        <w:tc>
          <w:tcPr/>
          <w:p>
            <w:pPr>
              <w:pStyle w:val="Compact"/>
            </w:pPr>
            <w:r>
              <w:t xml:space="preserve">I</w:t>
            </w:r>
          </w:p>
        </w:tc>
      </w:tr>
      <w:tr>
        <w:tc>
          <w:tcPr/>
          <w:p>
            <w:pPr>
              <w:pStyle w:val="Compact"/>
            </w:pPr>
            <w:r>
              <w:t xml:space="preserve">مدير الجودة/ممثل الإدارة لسلامة الغذاء</w:t>
            </w:r>
          </w:p>
        </w:tc>
        <w:tc>
          <w:tcPr/>
          <w:p>
            <w:pPr>
              <w:pStyle w:val="Compact"/>
            </w:pPr>
            <w:r>
              <w:t xml:space="preserve">R, A</w:t>
            </w: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فريق سلامة الغذاء (Food Safety Team)</w:t>
            </w:r>
          </w:p>
        </w:tc>
        <w:tc>
          <w:tcPr/>
          <w:p>
            <w:pPr>
              <w:pStyle w:val="Compact"/>
            </w:pPr>
            <w:r>
              <w:t xml:space="preserve">R</w:t>
            </w: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رؤساء الأقسام المعنية</w:t>
            </w:r>
          </w:p>
        </w:tc>
        <w:tc>
          <w:tcPr/>
          <w:p>
            <w:pPr>
              <w:pStyle w:val="Compact"/>
            </w:pPr>
            <w:r>
              <w:t xml:space="preserve">C</w:t>
            </w:r>
          </w:p>
        </w:tc>
        <w:tc>
          <w:tcPr/>
          <w:p>
            <w:pPr>
              <w:pStyle w:val="Compact"/>
            </w:pPr>
          </w:p>
        </w:tc>
        <w:tc>
          <w:tcPr/>
          <w:p>
            <w:pPr>
              <w:pStyle w:val="Compact"/>
            </w:pPr>
          </w:p>
        </w:tc>
        <w:tc>
          <w:tcPr/>
          <w:p>
            <w:pPr>
              <w:pStyle w:val="Compact"/>
            </w:pPr>
            <w:r>
              <w:t xml:space="preserve">I</w:t>
            </w:r>
          </w:p>
        </w:tc>
      </w:tr>
      <w:tr>
        <w:tc>
          <w:tcPr/>
          <w:p>
            <w:pPr>
              <w:pStyle w:val="Compact"/>
            </w:pPr>
            <w:r>
              <w:t xml:space="preserve">إدارة المشتريات</w:t>
            </w:r>
          </w:p>
        </w:tc>
        <w:tc>
          <w:tcPr/>
          <w:p>
            <w:pPr>
              <w:pStyle w:val="Compact"/>
            </w:pP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إدارة الإنتاج</w:t>
            </w:r>
          </w:p>
        </w:tc>
        <w:tc>
          <w:tcPr/>
          <w:p>
            <w:pPr>
              <w:pStyle w:val="Compact"/>
            </w:pP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إدارة الصيانة</w:t>
            </w:r>
          </w:p>
        </w:tc>
        <w:tc>
          <w:tcPr/>
          <w:p>
            <w:pPr>
              <w:pStyle w:val="Compact"/>
            </w:pP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إدارة الموارد البشرية</w:t>
            </w:r>
          </w:p>
        </w:tc>
        <w:tc>
          <w:tcPr/>
          <w:p>
            <w:pPr>
              <w:pStyle w:val="Compact"/>
            </w:pPr>
          </w:p>
        </w:tc>
        <w:tc>
          <w:tcPr/>
          <w:p>
            <w:pPr>
              <w:pStyle w:val="Compact"/>
            </w:pPr>
          </w:p>
        </w:tc>
        <w:tc>
          <w:tcPr/>
          <w:p>
            <w:pPr>
              <w:pStyle w:val="Compact"/>
            </w:pPr>
            <w:r>
              <w:t xml:space="preserve">C</w:t>
            </w:r>
          </w:p>
        </w:tc>
        <w:tc>
          <w:tcPr/>
          <w:p>
            <w:pPr>
              <w:pStyle w:val="Compact"/>
            </w:pPr>
            <w:r>
              <w:t xml:space="preserve">I</w:t>
            </w:r>
          </w:p>
        </w:tc>
      </w:tr>
      <w:tr>
        <w:tc>
          <w:tcPr/>
          <w:p>
            <w:pPr>
              <w:pStyle w:val="Compact"/>
            </w:pPr>
            <w:r>
              <w:t xml:space="preserve">الموردون (عند الاقتضاء)</w:t>
            </w:r>
          </w:p>
        </w:tc>
        <w:tc>
          <w:tcPr/>
          <w:p>
            <w:pPr>
              <w:pStyle w:val="Compact"/>
            </w:pPr>
          </w:p>
        </w:tc>
        <w:tc>
          <w:tcPr/>
          <w:p>
            <w:pPr>
              <w:pStyle w:val="Compact"/>
            </w:pPr>
          </w:p>
        </w:tc>
        <w:tc>
          <w:tcPr/>
          <w:p>
            <w:pPr>
              <w:pStyle w:val="Compact"/>
            </w:pPr>
            <w:r>
              <w:t xml:space="preserve">I</w:t>
            </w:r>
          </w:p>
        </w:tc>
        <w:tc>
          <w:tcPr/>
          <w:p>
            <w:pPr>
              <w:pStyle w:val="Compact"/>
            </w:pPr>
          </w:p>
        </w:tc>
      </w:tr>
    </w:tbl>
    <w:p>
      <w:pPr>
        <w:pStyle w:val="BodyText"/>
      </w:pPr>
      <w:r>
        <w:rPr>
          <w:b/>
          <w:bCs/>
        </w:rPr>
        <w:t xml:space="preserve">ملاحظة</w:t>
      </w:r>
      <w:r>
        <w:t xml:space="preserve">:</w:t>
      </w:r>
      <w:r>
        <w:t xml:space="preserve"> </w:t>
      </w:r>
      <w:r>
        <w:t xml:space="preserve">-</w:t>
      </w:r>
      <w:r>
        <w:t xml:space="preserve"> </w:t>
      </w:r>
      <w:r>
        <w:rPr>
          <w:b/>
          <w:bCs/>
        </w:rPr>
        <w:t xml:space="preserve">R (Responsible)</w:t>
      </w:r>
      <w:r>
        <w:t xml:space="preserve">: المسؤول عن تنفيذ المهمة.</w:t>
      </w:r>
      <w:r>
        <w:t xml:space="preserve"> </w:t>
      </w:r>
      <w:r>
        <w:t xml:space="preserve">-</w:t>
      </w:r>
      <w:r>
        <w:t xml:space="preserve"> </w:t>
      </w:r>
      <w:r>
        <w:rPr>
          <w:b/>
          <w:bCs/>
        </w:rPr>
        <w:t xml:space="preserve">A (Accountable)</w:t>
      </w:r>
      <w:r>
        <w:t xml:space="preserve">: المسؤول النهائي عن تحقيق المهمة، ويجب أن يوافق عليها أو يوقع عليها في النهاية.</w:t>
      </w:r>
      <w:r>
        <w:t xml:space="preserve"> </w:t>
      </w:r>
      <w:r>
        <w:t xml:space="preserve">-</w:t>
      </w:r>
      <w:r>
        <w:t xml:space="preserve"> </w:t>
      </w:r>
      <w:r>
        <w:rPr>
          <w:b/>
          <w:bCs/>
        </w:rPr>
        <w:t xml:space="preserve">C (Consulted)</w:t>
      </w:r>
      <w:r>
        <w:t xml:space="preserve">: يجب استشارته قبل اتخاذ القرار/العمل، ويمكنه تقديم معلومات أو مدخلات.</w:t>
      </w:r>
      <w:r>
        <w:t xml:space="preserve"> </w:t>
      </w:r>
      <w:r>
        <w:t xml:space="preserve">-</w:t>
      </w:r>
      <w:r>
        <w:t xml:space="preserve"> </w:t>
      </w:r>
      <w:r>
        <w:rPr>
          <w:b/>
          <w:bCs/>
        </w:rPr>
        <w:t xml:space="preserve">I (Informed)</w:t>
      </w:r>
      <w:r>
        <w:t xml:space="preserve">: يجب إبلاغه بالقرار/العمل الذي تم اتخاذه.</w:t>
      </w:r>
    </w:p>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الحاجة إلى التحديث (Define Need for Update)</w:t>
      </w:r>
    </w:p>
    <w:p>
      <w:pPr>
        <w:pStyle w:val="BodyText"/>
      </w:pPr>
      <w:r>
        <w:t xml:space="preserve">6-1-1 يتم تحديد الحاجة إلى تحديث أو تعديل في نظام إدارة سلامة الغذاء والجودة بناءً على (من قبل: مدير الجودة/فريق سلامة الغذاء / متى: بشكل مستمر):</w:t>
      </w:r>
      <w:r>
        <w:t xml:space="preserve"> </w:t>
      </w:r>
      <w:r>
        <w:t xml:space="preserve">- نتائج المراجعة الإدارية (ISO 22000:2018 §9.3).</w:t>
      </w:r>
      <w:r>
        <w:t xml:space="preserve"> </w:t>
      </w:r>
      <w:r>
        <w:t xml:space="preserve">- نتائج المراجعات الداخلية والخارجية (ISO 22000:2018 §9.2، FSSC 22000 v6 Part 2 §2.4.1).</w:t>
      </w:r>
      <w:r>
        <w:t xml:space="preserve"> </w:t>
      </w:r>
      <w:r>
        <w:t xml:space="preserve">- ظهور حالات عدم مطابقة أو حوادث سلامة غذاء أو استدعاء منتجات (ISO 22000:2018 §10.2).</w:t>
      </w:r>
      <w:r>
        <w:t xml:space="preserve"> </w:t>
      </w:r>
      <w:r>
        <w:t xml:space="preserve">- شكاوى العملاء والأطراف المهتمة المتعلقة بسلامة وجودة المنتج (ISO 22000:2018 §7.4.2).</w:t>
      </w:r>
      <w:r>
        <w:t xml:space="preserve"> </w:t>
      </w:r>
      <w:r>
        <w:t xml:space="preserve">- التغيرات في المتطلبات التشريعية والتنظيمية الوطنية (NFSA قرار 6/2023) والدولية.</w:t>
      </w:r>
      <w:r>
        <w:t xml:space="preserve"> </w:t>
      </w:r>
      <w:r>
        <w:t xml:space="preserve">- التغيرات في المواصفات القياسية المصرية (ES 1589/2007، ES 190) أو المواصفات العالمية (ISO 22000:2018، FSSC 22000 v6).</w:t>
      </w:r>
      <w:r>
        <w:t xml:space="preserve"> </w:t>
      </w:r>
      <w:r>
        <w:t xml:space="preserve">- التغيرات في المنتجات، العمليات، المعدات، المواد الخام، أو البيئة المحيطة (ISO 22000:2018 §6.1).</w:t>
      </w:r>
      <w:r>
        <w:t xml:space="preserve"> </w:t>
      </w:r>
      <w:r>
        <w:t xml:space="preserve">- التغيرات في السياق الداخلي أو الخارجي للمنظمة (ISO 22000:2018 §4.1).</w:t>
      </w:r>
      <w:r>
        <w:t xml:space="preserve"> </w:t>
      </w:r>
      <w:r>
        <w:t xml:space="preserve">- التغيرات في الأطراف المهتمة ومتطلباتها (ISO 22000:2018 §4.2).</w:t>
      </w:r>
      <w:r>
        <w:t xml:space="preserve"> </w:t>
      </w:r>
      <w:r>
        <w:t xml:space="preserve">- التطورات التكنولوجية أو المعلومات العلمية الجديدة المتعلقة بسلامة الغذاء.</w:t>
      </w:r>
      <w:r>
        <w:t xml:space="preserve"> </w:t>
      </w:r>
      <w:r>
        <w:t xml:space="preserve">- تقييم المخاطر وتحديد الفرص (ISO 22000:2018 §6.1).</w:t>
      </w:r>
      <w:r>
        <w:t xml:space="preserve"> </w:t>
      </w:r>
      <w:r>
        <w:t xml:space="preserve">- فعالية إجراءات التحكم والتحقق (ISO 22000:2018 §8.8).</w:t>
      </w:r>
    </w:p>
    <w:p>
      <w:pPr>
        <w:pStyle w:val="BodyText"/>
      </w:pPr>
      <w:r>
        <w:rPr>
          <w:b/>
          <w:bCs/>
        </w:rPr>
        <w:t xml:space="preserve">6-2 اجتماع فريق سلامة الغذاء لمراجعة النظام (FSMS Review Meeting)</w:t>
      </w:r>
    </w:p>
    <w:p>
      <w:pPr>
        <w:pStyle w:val="BodyText"/>
      </w:pPr>
      <w:r>
        <w:t xml:space="preserve">6-2-1 يُعقد اجتماع لفريق سلامة الغذاء برئاسة مدير الجودة بحد أدنى مرة واحدة سنوياً، وكلما دعت الحاجة الفورية لتغيرات حرجة (من قبل: مدير الجودة / متى: سنوياً أو حسب الحاجة / أين: قاعة الاجتماعات بالمنشأة).</w:t>
      </w:r>
      <w:r>
        <w:t xml:space="preserve"> </w:t>
      </w:r>
      <w:r>
        <w:t xml:space="preserve">6-2-2 تتضمن مدخلات الاجتماع البيانات والمعلومات التالية (ISO 22000:2018 §9.3.2):</w:t>
      </w:r>
      <w:r>
        <w:t xml:space="preserve"> </w:t>
      </w:r>
      <w:r>
        <w:t xml:space="preserve">- نتائج المراجعات الداخلية والخارجية (بما في ذلك تقارير NFSA و FSSC).</w:t>
      </w:r>
      <w:r>
        <w:t xml:space="preserve"> </w:t>
      </w:r>
      <w:r>
        <w:t xml:space="preserve">- نتائج المراجعة الإدارية السابقة وإجراءاتها التصحيحية.</w:t>
      </w:r>
      <w:r>
        <w:t xml:space="preserve"> </w:t>
      </w:r>
      <w:r>
        <w:t xml:space="preserve">- نتائج تحليل المخاطر وتحديثها.</w:t>
      </w:r>
      <w:r>
        <w:t xml:space="preserve"> </w:t>
      </w:r>
      <w:r>
        <w:t xml:space="preserve">- أداء تحليل المخاطر ونقاط التحكم الحرجة (HACCP) و OPRPs و PRPs.</w:t>
      </w:r>
      <w:r>
        <w:t xml:space="preserve"> </w:t>
      </w:r>
      <w:r>
        <w:t xml:space="preserve">- التغيرات في المتطلبات القانونية والتنظيمية الجديدة (مثل أية تحديثات لقرار 6/2023 من NFSA).</w:t>
      </w:r>
      <w:r>
        <w:t xml:space="preserve"> </w:t>
      </w:r>
      <w:r>
        <w:t xml:space="preserve">- التغيرات في مواصفات المنتج أو العملية أو المعدات.</w:t>
      </w:r>
      <w:r>
        <w:t xml:space="preserve"> </w:t>
      </w:r>
      <w:r>
        <w:t xml:space="preserve">- تحليل شكاوى العملاء والمعلومات من الأطراف المعنية (ISO 22000:2018 §4.2).</w:t>
      </w:r>
      <w:r>
        <w:t xml:space="preserve"> </w:t>
      </w:r>
      <w:r>
        <w:t xml:space="preserve">- نتائج أنشطة التحقق والمراقبة والقياس.</w:t>
      </w:r>
      <w:r>
        <w:t xml:space="preserve"> </w:t>
      </w:r>
      <w:r>
        <w:t xml:space="preserve">- تقييم فعالية إجراءات التحكم في أخطار سلامة الغذاء.</w:t>
      </w:r>
      <w:r>
        <w:t xml:space="preserve"> </w:t>
      </w:r>
      <w:r>
        <w:t xml:space="preserve">- نتائج تقييم الموردين الخارجيين.</w:t>
      </w:r>
      <w:r>
        <w:t xml:space="preserve"> </w:t>
      </w:r>
      <w:r>
        <w:t xml:space="preserve">- أداء الموردين.</w:t>
      </w:r>
      <w:r>
        <w:t xml:space="preserve"> </w:t>
      </w:r>
      <w:r>
        <w:t xml:space="preserve">- الكفاءة التدريبية للموظفين.</w:t>
      </w:r>
      <w:r>
        <w:t xml:space="preserve"> </w:t>
      </w:r>
      <w:r>
        <w:t xml:space="preserve">- تقييم حالات الطوارئ والاستجابة لها.</w:t>
      </w:r>
      <w:r>
        <w:t xml:space="preserve"> </w:t>
      </w:r>
      <w:r>
        <w:t xml:space="preserve">- الموارد اللازمة للحفاظ على النظام وتحسينه.</w:t>
      </w:r>
      <w:r>
        <w:t xml:space="preserve"> </w:t>
      </w:r>
      <w:r>
        <w:t xml:space="preserve">- أية معلومات علمية أو تقنية جديدة ذات صلة بسلامة الغذاء والإنتاج.</w:t>
      </w:r>
      <w:r>
        <w:t xml:space="preserve"> </w:t>
      </w:r>
      <w:r>
        <w:t xml:space="preserve">- نتائج عمليات سحب واسترجاع المنتجات.</w:t>
      </w:r>
      <w:r>
        <w:t xml:space="preserve"> </w:t>
      </w:r>
      <w:r>
        <w:t xml:space="preserve">- معلومات عن عدم المطابقة والإجراءات التصحيحية المتخذة.</w:t>
      </w:r>
      <w:r>
        <w:t xml:space="preserve"> </w:t>
      </w:r>
      <w:r>
        <w:t xml:space="preserve">- التوصيات للتحسين المستمر.</w:t>
      </w:r>
      <w:r>
        <w:t xml:space="preserve"> </w:t>
      </w:r>
      <w:r>
        <w:t xml:space="preserve">6-2-3 يتم توثيق محضر الاجتماع (F-19-01) مع تسجيل جميع المدخلات، المناقشات، والقرارات المتخذة.</w:t>
      </w:r>
    </w:p>
    <w:p>
      <w:pPr>
        <w:pStyle w:val="BodyText"/>
      </w:pPr>
      <w:r>
        <w:rPr>
          <w:b/>
          <w:bCs/>
        </w:rPr>
        <w:t xml:space="preserve">6-3 تحليل وتقييم المدخلات ووضع خطة التحديث (Inputs Analysis and Update Planning)</w:t>
      </w:r>
    </w:p>
    <w:p>
      <w:pPr>
        <w:pStyle w:val="BodyText"/>
      </w:pPr>
      <w:r>
        <w:t xml:space="preserve">6-3-1 يقوم فريق سلامة الغذاء بتقييم منهجي لجميع المدخلات المذكورة في البند 6-2-2 لتحديد الحاجة إلى التغييرات في النظام.</w:t>
      </w:r>
      <w:r>
        <w:t xml:space="preserve"> </w:t>
      </w:r>
      <w:r>
        <w:t xml:space="preserve">6-3-2 تتضمن المخرجات المتوقعة من هذا التقييم (ISO 22000:2018 §9.3.3):</w:t>
      </w:r>
      <w:r>
        <w:t xml:space="preserve"> </w:t>
      </w:r>
      <w:r>
        <w:t xml:space="preserve">- تحديد الحاجة إلى تغييرات وتحديثات في السياسة والأهداف.</w:t>
      </w:r>
      <w:r>
        <w:t xml:space="preserve"> </w:t>
      </w:r>
      <w:r>
        <w:t xml:space="preserve">- تحديد الحاجة إلى تغييرات ومراجعات في تحليل المخاطر، خطة الهاسب (HACCP)، OPRPs و PRPs.</w:t>
      </w:r>
      <w:r>
        <w:t xml:space="preserve"> </w:t>
      </w:r>
      <w:r>
        <w:t xml:space="preserve">- تحديد الحاجة إلى تعديل الوثائق والإجراءات التشغيلية الموحدة (SOPs).</w:t>
      </w:r>
      <w:r>
        <w:t xml:space="preserve"> </w:t>
      </w:r>
      <w:r>
        <w:t xml:space="preserve">- الحاجة إلى توفير موارد جديدة (بشرية، مالية، بنية تحتية، معدات).</w:t>
      </w:r>
      <w:r>
        <w:t xml:space="preserve"> </w:t>
      </w:r>
      <w:r>
        <w:t xml:space="preserve">- فرص للتحسين المستمر.</w:t>
      </w:r>
      <w:r>
        <w:t xml:space="preserve"> </w:t>
      </w:r>
      <w:r>
        <w:t xml:space="preserve">- متطلبات تدريب إضافية للموظفين.</w:t>
      </w:r>
      <w:r>
        <w:t xml:space="preserve"> </w:t>
      </w:r>
      <w:r>
        <w:t xml:space="preserve">- مراجعة وتقييم فعالية الإجراءات التصحيحية المتخذة.</w:t>
      </w:r>
      <w:r>
        <w:t xml:space="preserve"> </w:t>
      </w:r>
      <w:r>
        <w:t xml:space="preserve">- الحاجة إلى تعديل خطط التحقق والرصد والقياس.</w:t>
      </w:r>
      <w:r>
        <w:t xml:space="preserve"> </w:t>
      </w:r>
      <w:r>
        <w:t xml:space="preserve">- تحديد متطلبات الاتصالات الداخلية والخارجية الجديدة.</w:t>
      </w:r>
      <w:r>
        <w:t xml:space="preserve"> </w:t>
      </w:r>
      <w:r>
        <w:t xml:space="preserve">6-3-3 بناءً على التقييم، يتم وضع خطة عمل مفصلة للتحديثات المطلوبة، تتضمن المسؤوليات، الجداول الزمنية، والموارد اللازمة. يتم توثيق هذه الخطة في سجل تحديث نظام إدارة سلامة الغذاء (F-19-02).</w:t>
      </w:r>
    </w:p>
    <w:p>
      <w:pPr>
        <w:pStyle w:val="BodyText"/>
      </w:pPr>
      <w:r>
        <w:rPr>
          <w:b/>
          <w:bCs/>
        </w:rPr>
        <w:t xml:space="preserve">6-4 تنفيذ التحديثات (Implementation of Updates)</w:t>
      </w:r>
    </w:p>
    <w:p>
      <w:pPr>
        <w:pStyle w:val="BodyText"/>
      </w:pPr>
      <w:r>
        <w:t xml:space="preserve">6-4-1 يقوم مالك العملية أو القسم المسؤول بتنفيذ التحديثات المحددة في خطة العمل.</w:t>
      </w:r>
      <w:r>
        <w:t xml:space="preserve"> </w:t>
      </w:r>
      <w:r>
        <w:t xml:space="preserve">6-4-2 تشمل التحديثات المحتملة (من قبل: رؤساء الأقسام المعنية / متى: حسب الخطة):</w:t>
      </w:r>
      <w:r>
        <w:t xml:space="preserve"> </w:t>
      </w:r>
      <w:r>
        <w:t xml:space="preserve">- تعديل الوثائق المعتمدة ذات الصلة (إجراءات، تعليمات عمل، سجلات) (ISO 22000:2018 §7.5).</w:t>
      </w:r>
      <w:r>
        <w:t xml:space="preserve"> </w:t>
      </w:r>
      <w:r>
        <w:t xml:space="preserve">- تحديث خطة الـ HACCP، OPRPs، PRPs.</w:t>
      </w:r>
      <w:r>
        <w:t xml:space="preserve"> </w:t>
      </w:r>
      <w:r>
        <w:t xml:space="preserve">- شراء معدات جديدة أو تحديث البنية التحتية.</w:t>
      </w:r>
      <w:r>
        <w:t xml:space="preserve"> </w:t>
      </w:r>
      <w:r>
        <w:t xml:space="preserve">- توفير تدريب للموظفين على التغييرات الجديدة.</w:t>
      </w:r>
      <w:r>
        <w:t xml:space="preserve"> </w:t>
      </w:r>
      <w:r>
        <w:t xml:space="preserve">- إجراء تغييرات في وصف المهام والمسؤوليات.</w:t>
      </w:r>
      <w:r>
        <w:t xml:space="preserve"> </w:t>
      </w:r>
      <w:r>
        <w:t xml:space="preserve">- تعديل مواصفات المواد الخام أو المنتجات النهائية.</w:t>
      </w:r>
      <w:r>
        <w:t xml:space="preserve"> </w:t>
      </w:r>
      <w:r>
        <w:t xml:space="preserve">6-4-3 يتم التأكد من أن جميع التعديلات تتم وفقاً لإجراء</w:t>
      </w:r>
      <w:r>
        <w:t xml:space="preserve"> </w:t>
      </w:r>
      <w:r>
        <w:t xml:space="preserve">“مراقبة الوثائق والسجلات”</w:t>
      </w:r>
      <w:r>
        <w:t xml:space="preserve"> </w:t>
      </w:r>
      <w:r>
        <w:t xml:space="preserve">(FSP-02).</w:t>
      </w:r>
    </w:p>
    <w:p>
      <w:pPr>
        <w:pStyle w:val="BodyText"/>
      </w:pPr>
      <w:r>
        <w:rPr>
          <w:b/>
          <w:bCs/>
        </w:rPr>
        <w:t xml:space="preserve">6-5 التحقق من فعالية التحديثات (Verification of Update Effectiveness)</w:t>
      </w:r>
    </w:p>
    <w:p>
      <w:pPr>
        <w:pStyle w:val="BodyText"/>
      </w:pPr>
      <w:r>
        <w:t xml:space="preserve">6-5-1 بعد تنفيذ التحديثات، يتم التحقق من فعاليتها لضمان أنها حققت الأهداف المرجوة ولم تسبب أخطاراً جديدة لسلامة الغذاء.</w:t>
      </w:r>
      <w:r>
        <w:t xml:space="preserve"> </w:t>
      </w:r>
      <w:r>
        <w:t xml:space="preserve">6-5-2 يتم التحقق من خلال (من قبل: فريق سلامة الغذاء / متى: بعد التنفيذ / أين: في مواقع العمل):</w:t>
      </w:r>
      <w:r>
        <w:t xml:space="preserve"> </w:t>
      </w:r>
      <w:r>
        <w:t xml:space="preserve">- المراجعات الداخلية.</w:t>
      </w:r>
      <w:r>
        <w:t xml:space="preserve"> </w:t>
      </w:r>
      <w:r>
        <w:t xml:space="preserve">- المراقبة المباشرة للعمليات.</w:t>
      </w:r>
      <w:r>
        <w:t xml:space="preserve"> </w:t>
      </w:r>
      <w:r>
        <w:t xml:space="preserve">- تحليل نتائج الاختبارات (كيميائية، فيزيائية، ميكروبيولوجية).</w:t>
      </w:r>
      <w:r>
        <w:t xml:space="preserve"> </w:t>
      </w:r>
      <w:r>
        <w:t xml:space="preserve">- مراجعة سجلات التشغيل.</w:t>
      </w:r>
      <w:r>
        <w:t xml:space="preserve"> </w:t>
      </w:r>
      <w:r>
        <w:t xml:space="preserve">- استطلاعات رأي العملاء والأطراف المعنية.</w:t>
      </w:r>
      <w:r>
        <w:t xml:space="preserve"> </w:t>
      </w:r>
      <w:r>
        <w:t xml:space="preserve">- تحليل حالات عدم المطابقة والشكاوى بعد التحديث.</w:t>
      </w:r>
      <w:r>
        <w:t xml:space="preserve"> </w:t>
      </w:r>
      <w:r>
        <w:t xml:space="preserve">6-5-3 يتم توثيق نتائج التحقق في سجل التحقق من فعالية التحديث (F-19-03).</w:t>
      </w:r>
      <w:r>
        <w:t xml:space="preserve"> </w:t>
      </w:r>
      <w:r>
        <w:t xml:space="preserve">6-5-4 في حال عدم فعالية التحديث، يتم اتخاذ إجراءات تصحيحية وفقاً لإجراء</w:t>
      </w:r>
      <w:r>
        <w:t xml:space="preserve"> </w:t>
      </w:r>
      <w:r>
        <w:t xml:space="preserve">“التحكم في حالات عدم المطابقة والإجراءات التصحيحية”</w:t>
      </w:r>
      <w:r>
        <w:t xml:space="preserve"> </w:t>
      </w:r>
      <w:r>
        <w:t xml:space="preserve">(FSP-XX).</w:t>
      </w:r>
    </w:p>
    <w:p>
      <w:pPr>
        <w:pStyle w:val="BodyText"/>
      </w:pPr>
      <w:r>
        <w:rPr>
          <w:b/>
          <w:bCs/>
        </w:rPr>
        <w:t xml:space="preserve">6-6 التواصل والإبلاغ (Communication and Reporting)</w:t>
      </w:r>
    </w:p>
    <w:p>
      <w:pPr>
        <w:pStyle w:val="BodyText"/>
      </w:pPr>
      <w:r>
        <w:t xml:space="preserve">6-6-1 يتم إبلاغ جميع الأطراف المعنية داخل وخارج المنشأة بالتحديثات الهامة التي تؤثر عليهم، وذلك وفقاً لإجراء</w:t>
      </w:r>
      <w:r>
        <w:t xml:space="preserve"> </w:t>
      </w:r>
      <w:r>
        <w:t xml:space="preserve">“الاتصال”</w:t>
      </w:r>
      <w:r>
        <w:t xml:space="preserve"> </w:t>
      </w:r>
      <w:r>
        <w:t xml:space="preserve">(FSP-08) (من قبل: مدير الجودة / متى: فور الانتهاء من التحديث).</w:t>
      </w:r>
      <w:r>
        <w:t xml:space="preserve"> </w:t>
      </w:r>
      <w:r>
        <w:t xml:space="preserve">6-6-2 تُعرض تقارير عن أنشطة التحديث ومخرجاتها على الإدارة العليا كمدخلات للمراجعة الإدارية السنوية (ISO 22000:2018 §9.3.2).</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 عن التسجيل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F-19-01</w:t>
            </w:r>
          </w:p>
        </w:tc>
        <w:tc>
          <w:tcPr/>
          <w:p>
            <w:pPr>
              <w:pStyle w:val="Compact"/>
            </w:pPr>
            <w:r>
              <w:t xml:space="preserve">محضر اجتماع فريق سلامة الغذاء لمراجعة النظام</w:t>
            </w:r>
          </w:p>
        </w:tc>
        <w:tc>
          <w:tcPr/>
          <w:p>
            <w:pPr>
              <w:pStyle w:val="Compact"/>
            </w:pPr>
            <w:r>
              <w:t xml:space="preserve">مدير الجودة</w:t>
            </w:r>
          </w:p>
        </w:tc>
        <w:tc>
          <w:tcPr/>
          <w:p>
            <w:pPr>
              <w:pStyle w:val="Compact"/>
            </w:pPr>
            <w:r>
              <w:t xml:space="preserve">5 سنوات</w:t>
            </w:r>
          </w:p>
        </w:tc>
        <w:tc>
          <w:tcPr/>
          <w:p>
            <w:pPr>
              <w:pStyle w:val="Compact"/>
            </w:pPr>
            <w:r>
              <w:t xml:space="preserve">تاريخ الاجتماع، الحضور، جدول الأعمال، المدخلات التي تمت مراجعتها، القرارات والإجراءات المتخذة، المسؤوليات، الجداول الزمنية.</w:t>
            </w:r>
          </w:p>
        </w:tc>
      </w:tr>
      <w:tr>
        <w:tc>
          <w:tcPr/>
          <w:p>
            <w:pPr>
              <w:pStyle w:val="Compact"/>
            </w:pPr>
            <w:r>
              <w:t xml:space="preserve">F-19-02</w:t>
            </w:r>
          </w:p>
        </w:tc>
        <w:tc>
          <w:tcPr/>
          <w:p>
            <w:pPr>
              <w:pStyle w:val="Compact"/>
            </w:pPr>
            <w:r>
              <w:t xml:space="preserve">خطة تحديث نظام إدارة سلامة الغذاء</w:t>
            </w:r>
          </w:p>
        </w:tc>
        <w:tc>
          <w:tcPr/>
          <w:p>
            <w:pPr>
              <w:pStyle w:val="Compact"/>
            </w:pPr>
            <w:r>
              <w:t xml:space="preserve">مدير الجودة</w:t>
            </w:r>
          </w:p>
        </w:tc>
        <w:tc>
          <w:tcPr/>
          <w:p>
            <w:pPr>
              <w:pStyle w:val="Compact"/>
            </w:pPr>
            <w:r>
              <w:t xml:space="preserve">5 سنوات</w:t>
            </w:r>
          </w:p>
        </w:tc>
        <w:tc>
          <w:tcPr/>
          <w:p>
            <w:pPr>
              <w:pStyle w:val="Compact"/>
            </w:pPr>
            <w:r>
              <w:t xml:space="preserve">التحديث المطلوب، مرجعيته (مواصفة/تشريع)، المسؤول، تاريخ البدء والانتهاء، الموارد المطلوبة، مؤشر التقدم.</w:t>
            </w:r>
          </w:p>
        </w:tc>
      </w:tr>
      <w:tr>
        <w:tc>
          <w:tcPr/>
          <w:p>
            <w:pPr>
              <w:pStyle w:val="Compact"/>
            </w:pPr>
            <w:r>
              <w:t xml:space="preserve">F-19-03</w:t>
            </w:r>
          </w:p>
        </w:tc>
        <w:tc>
          <w:tcPr/>
          <w:p>
            <w:pPr>
              <w:pStyle w:val="Compact"/>
            </w:pPr>
            <w:r>
              <w:t xml:space="preserve">سجل التحقق من فعالية التحديث</w:t>
            </w:r>
          </w:p>
        </w:tc>
        <w:tc>
          <w:tcPr/>
          <w:p>
            <w:pPr>
              <w:pStyle w:val="Compact"/>
            </w:pPr>
            <w:r>
              <w:t xml:space="preserve">مدير الجودة/رؤساء الأقسام</w:t>
            </w:r>
          </w:p>
        </w:tc>
        <w:tc>
          <w:tcPr/>
          <w:p>
            <w:pPr>
              <w:pStyle w:val="Compact"/>
            </w:pPr>
            <w:r>
              <w:t xml:space="preserve">5 سنوات</w:t>
            </w:r>
          </w:p>
        </w:tc>
        <w:tc>
          <w:tcPr/>
          <w:p>
            <w:pPr>
              <w:pStyle w:val="Compact"/>
            </w:pPr>
            <w:r>
              <w:t xml:space="preserve">وصف التحديث، منهجية التحقق، النتائج، الاستنتاج (فعال/غير فعال)، الإجراءات التصحيحية المتخذة إن وجدت.</w:t>
            </w:r>
          </w:p>
        </w:tc>
      </w:tr>
      <w:tr>
        <w:tc>
          <w:tcPr/>
          <w:p>
            <w:pPr>
              <w:pStyle w:val="Compact"/>
            </w:pPr>
            <w:r>
              <w:t xml:space="preserve">FSP-02</w:t>
            </w:r>
          </w:p>
        </w:tc>
        <w:tc>
          <w:tcPr/>
          <w:p>
            <w:pPr>
              <w:pStyle w:val="Compact"/>
            </w:pPr>
            <w:r>
              <w:t xml:space="preserve">إجراء مراقبة الوثائق والسجلات</w:t>
            </w:r>
          </w:p>
        </w:tc>
        <w:tc>
          <w:tcPr/>
          <w:p>
            <w:pPr>
              <w:pStyle w:val="Compact"/>
            </w:pPr>
            <w:r>
              <w:t xml:space="preserve">مدير الجودة</w:t>
            </w:r>
          </w:p>
        </w:tc>
        <w:tc>
          <w:tcPr/>
          <w:p>
            <w:pPr>
              <w:pStyle w:val="Compact"/>
            </w:pPr>
            <w:r>
              <w:t xml:space="preserve">-</w:t>
            </w:r>
          </w:p>
        </w:tc>
        <w:tc>
          <w:tcPr/>
          <w:p>
            <w:pPr>
              <w:pStyle w:val="Compact"/>
            </w:pPr>
            <w:r>
              <w:t xml:space="preserve">-</w:t>
            </w:r>
          </w:p>
        </w:tc>
      </w:tr>
      <w:tr>
        <w:tc>
          <w:tcPr/>
          <w:p>
            <w:pPr>
              <w:pStyle w:val="Compact"/>
            </w:pPr>
            <w:r>
              <w:t xml:space="preserve">FSP-08</w:t>
            </w:r>
          </w:p>
        </w:tc>
        <w:tc>
          <w:tcPr/>
          <w:p>
            <w:pPr>
              <w:pStyle w:val="Compact"/>
            </w:pPr>
            <w:r>
              <w:t xml:space="preserve">إجراء الاتصال الداخلي والخارجي</w:t>
            </w:r>
          </w:p>
        </w:tc>
        <w:tc>
          <w:tcPr/>
          <w:p>
            <w:pPr>
              <w:pStyle w:val="Compact"/>
            </w:pPr>
            <w:r>
              <w:t xml:space="preserve">مدير الجودة</w:t>
            </w:r>
          </w:p>
        </w:tc>
        <w:tc>
          <w:tcPr/>
          <w:p>
            <w:pPr>
              <w:pStyle w:val="Compact"/>
            </w:pPr>
            <w:r>
              <w:t xml:space="preserve">-</w:t>
            </w:r>
          </w:p>
        </w:tc>
        <w:tc>
          <w:tcPr/>
          <w:p>
            <w:pPr>
              <w:pStyle w:val="Compact"/>
            </w:pPr>
            <w:r>
              <w:t xml:space="preserve">-</w:t>
            </w:r>
          </w:p>
        </w:tc>
      </w:tr>
      <w:tr>
        <w:tc>
          <w:tcPr/>
          <w:p>
            <w:pPr>
              <w:pStyle w:val="Compact"/>
            </w:pPr>
            <w:r>
              <w:t xml:space="preserve">FSP-XX</w:t>
            </w:r>
          </w:p>
        </w:tc>
        <w:tc>
          <w:tcPr/>
          <w:p>
            <w:pPr>
              <w:pStyle w:val="Compact"/>
            </w:pPr>
            <w:r>
              <w:t xml:space="preserve">إجراء التحكم في حالات عدم المطابقة والإجراءات التصحيحية</w:t>
            </w:r>
          </w:p>
        </w:tc>
        <w:tc>
          <w:tcPr/>
          <w:p>
            <w:pPr>
              <w:pStyle w:val="Compact"/>
            </w:pPr>
            <w:r>
              <w:t xml:space="preserve">مدير الجودة</w:t>
            </w:r>
          </w:p>
        </w:tc>
        <w:tc>
          <w:tcPr/>
          <w:p>
            <w:pPr>
              <w:pStyle w:val="Compact"/>
            </w:pPr>
            <w:r>
              <w:t xml:space="preserve">-</w:t>
            </w:r>
          </w:p>
        </w:tc>
        <w:tc>
          <w:tcPr/>
          <w:p>
            <w:pPr>
              <w:pStyle w:val="Compact"/>
            </w:pPr>
            <w:r>
              <w:t xml:space="preserve">-</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معدل اكتمال خطط التحديث</w:t>
      </w:r>
      <w:r>
        <w:t xml:space="preserve">: نسبة الإجراءات التحديثية المنفذة في الوقت المحدد وفقاً لخطة العمل. (الهدف: 100%)</w:t>
      </w:r>
    </w:p>
    <w:p>
      <w:pPr>
        <w:pStyle w:val="Compact"/>
        <w:numPr>
          <w:ilvl w:val="0"/>
          <w:numId w:val="1003"/>
        </w:numPr>
      </w:pPr>
      <w:r>
        <w:rPr>
          <w:b/>
          <w:bCs/>
        </w:rPr>
        <w:t xml:space="preserve">عدد حالات عدم المطابقة المرتبطة بعدم تحديث النظام</w:t>
      </w:r>
      <w:r>
        <w:t xml:space="preserve">: عدد الـ NCs (داخلياً وخارجياً) التي تُعزى إلى عدم كفاية أو عدم تحديث وثائق/إجراءات النظام. (الهدف: 0)</w:t>
      </w:r>
    </w:p>
    <w:p>
      <w:pPr>
        <w:pStyle w:val="Compact"/>
        <w:numPr>
          <w:ilvl w:val="0"/>
          <w:numId w:val="1003"/>
        </w:numPr>
      </w:pPr>
      <w:r>
        <w:rPr>
          <w:b/>
          <w:bCs/>
        </w:rPr>
        <w:t xml:space="preserve">نسبة التحديثات التي تم التحقق من فعاليتها</w:t>
      </w:r>
      <w:r>
        <w:t xml:space="preserve">: نسبة التحديثات التي تم تقييمها وثبتت فعاليتها. (الهدف: لا يقل عن 95%)</w:t>
      </w:r>
    </w:p>
    <w:p>
      <w:pPr>
        <w:pStyle w:val="Compact"/>
        <w:numPr>
          <w:ilvl w:val="0"/>
          <w:numId w:val="1003"/>
        </w:numPr>
      </w:pPr>
      <w:r>
        <w:rPr>
          <w:b/>
          <w:bCs/>
        </w:rPr>
        <w:t xml:space="preserve">معدل التغييرات المطلوبة بعد التدقيق الخارجي (NFSA/FSSC)</w:t>
      </w:r>
      <w:r>
        <w:t xml:space="preserve">: عدد التوصيات أو الـ NCs الصادرة عن الجهات الخارجية التي تستدعي تحديثاً للنظام. (الهدف: أقل ما يمكن)</w:t>
      </w:r>
    </w:p>
    <w:p>
      <w:pPr>
        <w:pStyle w:val="Compact"/>
        <w:numPr>
          <w:ilvl w:val="0"/>
          <w:numId w:val="1003"/>
        </w:numPr>
      </w:pPr>
      <w:r>
        <w:rPr>
          <w:b/>
          <w:bCs/>
        </w:rPr>
        <w:t xml:space="preserve">فعالية مراجعة الإدارة في تحديد فرص التحسين</w:t>
      </w:r>
      <w:r>
        <w:t xml:space="preserve">: نسبة فرص التحسين التي تم تحديدها وتنفيذها بنجاح من مراجعات الإدارة. (الهدف: زيادة مستمرة).</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19 - FSP-19</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2026-06-28T07:02:30Z</dcterms:created>
  <dcterms:modified xsi:type="dcterms:W3CDTF">2026-06-28T07:02:30Z</dcterms:modified>
</cp:coreProperties>
</file>

<file path=docProps/custom.xml><?xml version="1.0" encoding="utf-8"?>
<Properties xmlns="http://schemas.openxmlformats.org/officeDocument/2006/custom-properties" xmlns:vt="http://schemas.openxmlformats.org/officeDocument/2006/docPropsVTypes"/>
</file>