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حورس-لإنتاج-وتعبئة-المياه-الطبيعية"/>
    <w:p>
      <w:pPr>
        <w:pStyle w:val="Heading1"/>
      </w:pPr>
      <w:r>
        <w:t xml:space="preserve">شركة حورس لإنتاج وتعبئة المياه الطبيعية</w:t>
      </w:r>
    </w:p>
    <w:bookmarkStart w:id="9" w:name="horus-natural-water-co."/>
    <w:p>
      <w:pPr>
        <w:pStyle w:val="Heading2"/>
      </w:pPr>
      <w:r>
        <w:t xml:space="preserve">Horus Natural Water Co.</w:t>
      </w:r>
    </w:p>
    <w:p>
      <w:pPr>
        <w:pStyle w:val="FirstParagraph"/>
      </w:pPr>
    </w:p>
    <w:bookmarkEnd w:id="9"/>
    <w:bookmarkEnd w:id="10"/>
    <w:bookmarkStart w:id="11" w:name="X649b045541984854062acc49656c13c68e88be4"/>
    <w:p>
      <w:pPr>
        <w:pStyle w:val="Heading1"/>
      </w:pPr>
      <w:r>
        <w:t xml:space="preserve">إدارة التحسين المستمر للنظام وتقييم الأداء</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إدارة التحسين المستمر للنظام وتقييم الأداء</w:t>
            </w:r>
          </w:p>
        </w:tc>
      </w:tr>
      <w:tr>
        <w:tc>
          <w:tcPr/>
          <w:p>
            <w:pPr>
              <w:pStyle w:val="Compact"/>
            </w:pPr>
            <w:r>
              <w:rPr>
                <w:b/>
                <w:bCs/>
              </w:rPr>
              <w:t xml:space="preserve">كود الوثيقة</w:t>
            </w:r>
          </w:p>
        </w:tc>
        <w:tc>
          <w:tcPr/>
          <w:p>
            <w:pPr>
              <w:pStyle w:val="Compact"/>
            </w:pPr>
            <w:r>
              <w:t xml:space="preserve">FSP-20</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X4fbcafaf1a6aa12918fc226b89695ccaff5e578"/>
    <w:p>
      <w:pPr>
        <w:pStyle w:val="Heading1"/>
      </w:pPr>
      <w:r>
        <w:t xml:space="preserve">الإجراء رقم 20: إدارة التحسين المستمر للنظام وتقييم الأداء</w:t>
      </w:r>
    </w:p>
    <w:bookmarkStart w:id="12" w:name="الغرض-purpose"/>
    <w:p>
      <w:pPr>
        <w:pStyle w:val="Heading3"/>
      </w:pPr>
      <w:r>
        <w:t xml:space="preserve">1. الغرض (Purpose)</w:t>
      </w:r>
    </w:p>
    <w:p>
      <w:pPr>
        <w:pStyle w:val="FirstParagraph"/>
      </w:pPr>
      <w:r>
        <w:t xml:space="preserve">يحدد هذا الإجراء المنهجية المتبعة في شركة حورس لتعبئة المياه الطبيعية لضمان التحسين المستمر لفعالية نظام إدارة سلامة الغذاء والجودة (FSMS &amp; QMS)، وذلك من خلال تحديد وتصديق إجراءات التحكم، التحقق من فعاليتها، إدارة حالات عدم المطابقة، تنفيذ الإجراءات التصحيحية، تحليل الاتجاهات والبيانات، قياس رضا العملاء ومعالجة الشكاوى، وجمع فرص التحسين. يهدف الإجراء إلى تعزيز قدرة الشركة على تقديم منتجات آمنة وذات جودة عالية بشكل مستدام، وتحقيق متطلبات المواصفات العالمية واللوائح المحلية (NFSA).</w:t>
      </w:r>
    </w:p>
    <w:bookmarkEnd w:id="12"/>
    <w:bookmarkStart w:id="13" w:name="النطاق-scope"/>
    <w:p>
      <w:pPr>
        <w:pStyle w:val="Heading3"/>
      </w:pPr>
      <w:r>
        <w:t xml:space="preserve">2. النطاق (Scope)</w:t>
      </w:r>
    </w:p>
    <w:p>
      <w:pPr>
        <w:pStyle w:val="FirstParagraph"/>
      </w:pPr>
      <w:r>
        <w:t xml:space="preserve">ينطبق هذا الإجراء على جميع العمليات والأنشطة داخل شركة حورس التي تساهم في التحسين المستمر لنظام إدارة سلامة الغذاء والجودة، بدءًا من عمليات التصديق (Validation) الأولية والتحقق (Verification) الدوري لتدابير التحكم، ومرورًا بإدارة المراجعات الداخلية والخارجية، ومعالجة حالات عدم المطابقة والإجراءات التصحيحية، وتقييم رضا العملاء، وتحليل بيانات المراقبة والقياس، وحتى مراجعات الإدارة العليا لتقييم الأداء الشامل وتحديد فرص التحسين.</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FSMS</w:t>
      </w:r>
      <w:r>
        <w:t xml:space="preserve">: نظام إدارة سلامة الغذاء (Food Safety Management System).</w:t>
      </w:r>
    </w:p>
    <w:p>
      <w:pPr>
        <w:pStyle w:val="Compact"/>
        <w:numPr>
          <w:ilvl w:val="0"/>
          <w:numId w:val="1001"/>
        </w:numPr>
      </w:pPr>
      <w:r>
        <w:rPr>
          <w:b/>
          <w:bCs/>
        </w:rPr>
        <w:t xml:space="preserve">QMS</w:t>
      </w:r>
      <w:r>
        <w:t xml:space="preserve">: نظام إدارة الجودة (Quality Management System).</w:t>
      </w:r>
    </w:p>
    <w:p>
      <w:pPr>
        <w:pStyle w:val="Compact"/>
        <w:numPr>
          <w:ilvl w:val="0"/>
          <w:numId w:val="1001"/>
        </w:numPr>
      </w:pPr>
      <w:r>
        <w:rPr>
          <w:b/>
          <w:bCs/>
        </w:rPr>
        <w:t xml:space="preserve">PRPs</w:t>
      </w:r>
      <w:r>
        <w:t xml:space="preserve">: برامج المتطلبات المسبقة (Prerequisite Programs) – وفقاً لـ ISO/TS 22002-1.</w:t>
      </w:r>
    </w:p>
    <w:p>
      <w:pPr>
        <w:pStyle w:val="Compact"/>
        <w:numPr>
          <w:ilvl w:val="0"/>
          <w:numId w:val="1001"/>
        </w:numPr>
      </w:pPr>
      <w:r>
        <w:rPr>
          <w:b/>
          <w:bCs/>
        </w:rPr>
        <w:t xml:space="preserve">HACCP</w:t>
      </w:r>
      <w:r>
        <w:t xml:space="preserve">: تحليل المخاطر ونقاط التحكم الحرجة (Hazard Analysis and Critical Control Points) – وفقاً لـ Codex Alimentarius CAC/RCP 1-1969.</w:t>
      </w:r>
    </w:p>
    <w:p>
      <w:pPr>
        <w:pStyle w:val="Compact"/>
        <w:numPr>
          <w:ilvl w:val="0"/>
          <w:numId w:val="1001"/>
        </w:numPr>
      </w:pPr>
      <w:r>
        <w:rPr>
          <w:b/>
          <w:bCs/>
        </w:rPr>
        <w:t xml:space="preserve">NFSA</w:t>
      </w:r>
      <w:r>
        <w:t xml:space="preserve">: الهيئة القومية لسلامة الغذاء المصرية (National Food Safety Authority).</w:t>
      </w:r>
    </w:p>
    <w:p>
      <w:pPr>
        <w:pStyle w:val="Compact"/>
        <w:numPr>
          <w:ilvl w:val="0"/>
          <w:numId w:val="1001"/>
        </w:numPr>
      </w:pPr>
      <w:r>
        <w:rPr>
          <w:b/>
          <w:bCs/>
        </w:rPr>
        <w:t xml:space="preserve">تصديق (Validation)</w:t>
      </w:r>
      <w:r>
        <w:t xml:space="preserve">: الحصول على دليل موضوعي يثبت أن تدابير التحكم (أو توليفة منها) المدرجة في خطة الهاسب أو برامج المتطلبات المسبقة التشغيلية (OPRPs) قادرة على تحقيق النتائج المرجوة بفعالية. (ISO 22000:2018 §3.12)</w:t>
      </w:r>
    </w:p>
    <w:p>
      <w:pPr>
        <w:pStyle w:val="Compact"/>
        <w:numPr>
          <w:ilvl w:val="0"/>
          <w:numId w:val="1001"/>
        </w:numPr>
      </w:pPr>
      <w:r>
        <w:rPr>
          <w:b/>
          <w:bCs/>
        </w:rPr>
        <w:t xml:space="preserve">تحقق (Verification)</w:t>
      </w:r>
      <w:r>
        <w:t xml:space="preserve">: التأكد، من خلال توفير دليل موضوعي، من أن المتطلبات المحددة قد تم الوفاء بها. (ISO 22000:2018 §3.13)</w:t>
      </w:r>
    </w:p>
    <w:p>
      <w:pPr>
        <w:pStyle w:val="Compact"/>
        <w:numPr>
          <w:ilvl w:val="0"/>
          <w:numId w:val="1001"/>
        </w:numPr>
      </w:pPr>
      <w:r>
        <w:rPr>
          <w:b/>
          <w:bCs/>
        </w:rPr>
        <w:t xml:space="preserve">تحديث (Updating)</w:t>
      </w:r>
      <w:r>
        <w:t xml:space="preserve">: نشاط فوري و/أو مخطط لضمان تطبيق أحدث المعلومات. (ISO 22000:2018 §3.14)</w:t>
      </w:r>
    </w:p>
    <w:p>
      <w:pPr>
        <w:pStyle w:val="Compact"/>
        <w:numPr>
          <w:ilvl w:val="0"/>
          <w:numId w:val="1001"/>
        </w:numPr>
      </w:pPr>
      <w:r>
        <w:rPr>
          <w:b/>
          <w:bCs/>
        </w:rPr>
        <w:t xml:space="preserve">عدم المطابقة (Nonconformity)</w:t>
      </w:r>
      <w:r>
        <w:t xml:space="preserve">: عدم الوفاء بمتطلب. (ISO 22000:2018 §3.15)</w:t>
      </w:r>
    </w:p>
    <w:p>
      <w:pPr>
        <w:pStyle w:val="Compact"/>
        <w:numPr>
          <w:ilvl w:val="0"/>
          <w:numId w:val="1001"/>
        </w:numPr>
      </w:pPr>
      <w:r>
        <w:rPr>
          <w:b/>
          <w:bCs/>
        </w:rPr>
        <w:t xml:space="preserve">تعديل (Correction)</w:t>
      </w:r>
      <w:r>
        <w:t xml:space="preserve">: إجراء للقضاء على عدم مطابقة مكتشفة. (ISO 22000:2018 §3.16)</w:t>
      </w:r>
    </w:p>
    <w:p>
      <w:pPr>
        <w:pStyle w:val="Compact"/>
        <w:numPr>
          <w:ilvl w:val="0"/>
          <w:numId w:val="1001"/>
        </w:numPr>
      </w:pPr>
      <w:r>
        <w:rPr>
          <w:b/>
          <w:bCs/>
        </w:rPr>
        <w:t xml:space="preserve">إجراء تصحيحي (Corrective Action)</w:t>
      </w:r>
      <w:r>
        <w:t xml:space="preserve">: إجراء للقضاء على سبب عدم المطابقة ومنع تكرارها. (ISO 22000:2018 §3.17)</w:t>
      </w:r>
    </w:p>
    <w:p>
      <w:pPr>
        <w:pStyle w:val="Compact"/>
        <w:numPr>
          <w:ilvl w:val="0"/>
          <w:numId w:val="1001"/>
        </w:numPr>
      </w:pPr>
      <w:r>
        <w:rPr>
          <w:b/>
          <w:bCs/>
        </w:rPr>
        <w:t xml:space="preserve">تحسين مستمر (Continual Improvement)</w:t>
      </w:r>
      <w:r>
        <w:t xml:space="preserve">: نشاط متكرر لزيادة القدرة على الوفاء بالمتطلبات. (ISO 9001:2015 §3.4.14)</w:t>
      </w:r>
    </w:p>
    <w:p>
      <w:pPr>
        <w:pStyle w:val="Compact"/>
        <w:numPr>
          <w:ilvl w:val="0"/>
          <w:numId w:val="1001"/>
        </w:numPr>
      </w:pPr>
      <w:r>
        <w:rPr>
          <w:b/>
          <w:bCs/>
        </w:rPr>
        <w:t xml:space="preserve">مخاطر سلامة الغذاء (Food Safety Hazard)</w:t>
      </w:r>
      <w:r>
        <w:t xml:space="preserve">: عامل بيولوجي أو كيميائي أو فيزيائي في الطعام، أو حالة الطعام، له القدرة الكامنة على التسبب في تأثير ضار على الصحة. (ISO 22000:2018 §3.8)</w:t>
      </w:r>
    </w:p>
    <w:p>
      <w:pPr>
        <w:pStyle w:val="Compact"/>
        <w:numPr>
          <w:ilvl w:val="0"/>
          <w:numId w:val="1001"/>
        </w:numPr>
      </w:pPr>
      <w:r>
        <w:rPr>
          <w:b/>
          <w:bCs/>
        </w:rPr>
        <w:t xml:space="preserve">تحليل الاتجاهات (Trend Analysis)</w:t>
      </w:r>
      <w:r>
        <w:t xml:space="preserve">: عملية استخدام البيانات التاريخية لتحديد الأنماط أو الاتجاهات المحتملة للقيم المستقبلية، بهدف التنبؤ بالأداء المستقبلي وتحديد الحاجة لإجراءات وقائية أو تحسينية.</w:t>
      </w:r>
    </w:p>
    <w:bookmarkEnd w:id="14"/>
    <w:bookmarkStart w:id="15" w:name="المراجع-references"/>
    <w:p>
      <w:pPr>
        <w:pStyle w:val="Heading3"/>
      </w:pPr>
      <w:r>
        <w:t xml:space="preserve">4. المراجع (References)</w:t>
      </w:r>
    </w:p>
    <w:p>
      <w:pPr>
        <w:pStyle w:val="Compact"/>
        <w:numPr>
          <w:ilvl w:val="0"/>
          <w:numId w:val="1002"/>
        </w:numPr>
      </w:pPr>
      <w:r>
        <w:rPr>
          <w:b/>
          <w:bCs/>
        </w:rPr>
        <w:t xml:space="preserve">ISO 22000:2018</w:t>
      </w:r>
    </w:p>
    <w:p>
      <w:pPr>
        <w:pStyle w:val="Compact"/>
        <w:numPr>
          <w:ilvl w:val="1"/>
          <w:numId w:val="1003"/>
        </w:numPr>
      </w:pPr>
      <w:r>
        <w:t xml:space="preserve">§4.1: فهم المؤسسة وسياقها</w:t>
      </w:r>
    </w:p>
    <w:p>
      <w:pPr>
        <w:pStyle w:val="Compact"/>
        <w:numPr>
          <w:ilvl w:val="1"/>
          <w:numId w:val="1003"/>
        </w:numPr>
      </w:pPr>
      <w:r>
        <w:t xml:space="preserve">§4.4: نظام إدارة سلامة الغذاء</w:t>
      </w:r>
    </w:p>
    <w:p>
      <w:pPr>
        <w:pStyle w:val="Compact"/>
        <w:numPr>
          <w:ilvl w:val="1"/>
          <w:numId w:val="1003"/>
        </w:numPr>
      </w:pPr>
      <w:r>
        <w:t xml:space="preserve">§5.1: القيادة والالتزام</w:t>
      </w:r>
    </w:p>
    <w:p>
      <w:pPr>
        <w:pStyle w:val="Compact"/>
        <w:numPr>
          <w:ilvl w:val="1"/>
          <w:numId w:val="1003"/>
        </w:numPr>
      </w:pPr>
      <w:r>
        <w:t xml:space="preserve">§5.3: الأدوار والمسؤوليات والصلاحيات التنظيمية</w:t>
      </w:r>
    </w:p>
    <w:p>
      <w:pPr>
        <w:pStyle w:val="Compact"/>
        <w:numPr>
          <w:ilvl w:val="1"/>
          <w:numId w:val="1003"/>
        </w:numPr>
      </w:pPr>
      <w:r>
        <w:t xml:space="preserve">§7.1.6: السيطرة على العمليات والمعدات المراقبة</w:t>
      </w:r>
    </w:p>
    <w:p>
      <w:pPr>
        <w:pStyle w:val="Compact"/>
        <w:numPr>
          <w:ilvl w:val="1"/>
          <w:numId w:val="1003"/>
        </w:numPr>
      </w:pPr>
      <w:r>
        <w:t xml:space="preserve">§7.5: المعلومات الموثقة</w:t>
      </w:r>
    </w:p>
    <w:p>
      <w:pPr>
        <w:pStyle w:val="Compact"/>
        <w:numPr>
          <w:ilvl w:val="1"/>
          <w:numId w:val="1003"/>
        </w:numPr>
      </w:pPr>
      <w:r>
        <w:t xml:space="preserve">§8.5: تصديق إجراءات التحكم ومجموعات إجراءات التحكم</w:t>
      </w:r>
    </w:p>
    <w:p>
      <w:pPr>
        <w:pStyle w:val="Compact"/>
        <w:numPr>
          <w:ilvl w:val="1"/>
          <w:numId w:val="1003"/>
        </w:numPr>
      </w:pPr>
      <w:r>
        <w:t xml:space="preserve">§8.8: التحقق من نظام إدارة سلامة الغذاء والتخطيط له</w:t>
      </w:r>
    </w:p>
    <w:p>
      <w:pPr>
        <w:pStyle w:val="Compact"/>
        <w:numPr>
          <w:ilvl w:val="1"/>
          <w:numId w:val="1003"/>
        </w:numPr>
      </w:pPr>
      <w:r>
        <w:t xml:space="preserve">§9.1: المراقبة والقياس والتحليل والتقييم</w:t>
      </w:r>
    </w:p>
    <w:p>
      <w:pPr>
        <w:pStyle w:val="Compact"/>
        <w:numPr>
          <w:ilvl w:val="1"/>
          <w:numId w:val="1003"/>
        </w:numPr>
      </w:pPr>
      <w:r>
        <w:t xml:space="preserve">§9.2: المراجعة الداخلية</w:t>
      </w:r>
    </w:p>
    <w:p>
      <w:pPr>
        <w:pStyle w:val="Compact"/>
        <w:numPr>
          <w:ilvl w:val="1"/>
          <w:numId w:val="1003"/>
        </w:numPr>
      </w:pPr>
      <w:r>
        <w:t xml:space="preserve">§9.3: مراجعة الإدارة</w:t>
      </w:r>
    </w:p>
    <w:p>
      <w:pPr>
        <w:pStyle w:val="Compact"/>
        <w:numPr>
          <w:ilvl w:val="1"/>
          <w:numId w:val="1003"/>
        </w:numPr>
      </w:pPr>
      <w:r>
        <w:t xml:space="preserve">§10.1: التحسين</w:t>
      </w:r>
    </w:p>
    <w:p>
      <w:pPr>
        <w:pStyle w:val="Compact"/>
        <w:numPr>
          <w:ilvl w:val="1"/>
          <w:numId w:val="1003"/>
        </w:numPr>
      </w:pPr>
      <w:r>
        <w:t xml:space="preserve">§10.2: عدم المطابقة والإجراء التصحيحي</w:t>
      </w:r>
    </w:p>
    <w:p>
      <w:pPr>
        <w:pStyle w:val="Compact"/>
        <w:numPr>
          <w:ilvl w:val="1"/>
          <w:numId w:val="1003"/>
        </w:numPr>
      </w:pPr>
      <w:r>
        <w:t xml:space="preserve">§10.3: التحسين المستمر</w:t>
      </w:r>
    </w:p>
    <w:p>
      <w:pPr>
        <w:pStyle w:val="Compact"/>
        <w:numPr>
          <w:ilvl w:val="0"/>
          <w:numId w:val="1002"/>
        </w:numPr>
      </w:pPr>
      <w:r>
        <w:rPr>
          <w:b/>
          <w:bCs/>
        </w:rPr>
        <w:t xml:space="preserve">ISO 9001:2015</w:t>
      </w:r>
    </w:p>
    <w:p>
      <w:pPr>
        <w:pStyle w:val="Compact"/>
        <w:numPr>
          <w:ilvl w:val="1"/>
          <w:numId w:val="1004"/>
        </w:numPr>
      </w:pPr>
      <w:r>
        <w:t xml:space="preserve">§9.1.2: رضا العملاء</w:t>
      </w:r>
    </w:p>
    <w:p>
      <w:pPr>
        <w:pStyle w:val="Compact"/>
        <w:numPr>
          <w:ilvl w:val="1"/>
          <w:numId w:val="1004"/>
        </w:numPr>
      </w:pPr>
      <w:r>
        <w:t xml:space="preserve">§9.1.3: تحليل وتقييم</w:t>
      </w:r>
    </w:p>
    <w:p>
      <w:pPr>
        <w:pStyle w:val="Compact"/>
        <w:numPr>
          <w:ilvl w:val="1"/>
          <w:numId w:val="1004"/>
        </w:numPr>
      </w:pPr>
      <w:r>
        <w:t xml:space="preserve">§10.2: عدم المطابقة والإجراء التصحيحي</w:t>
      </w:r>
    </w:p>
    <w:p>
      <w:pPr>
        <w:pStyle w:val="Compact"/>
        <w:numPr>
          <w:ilvl w:val="1"/>
          <w:numId w:val="1004"/>
        </w:numPr>
      </w:pPr>
      <w:r>
        <w:t xml:space="preserve">§10.3: التحسين المستمر</w:t>
      </w:r>
    </w:p>
    <w:p>
      <w:pPr>
        <w:pStyle w:val="Compact"/>
        <w:numPr>
          <w:ilvl w:val="0"/>
          <w:numId w:val="1002"/>
        </w:numPr>
      </w:pPr>
      <w:r>
        <w:rPr>
          <w:b/>
          <w:bCs/>
        </w:rPr>
        <w:t xml:space="preserve">Codex Alimentarius CAC/RCP 1-1969</w:t>
      </w:r>
      <w:r>
        <w:t xml:space="preserve">: المبادئ العامة لنظافة الغذاء (HACCP)</w:t>
      </w:r>
    </w:p>
    <w:p>
      <w:pPr>
        <w:pStyle w:val="Compact"/>
        <w:numPr>
          <w:ilvl w:val="0"/>
          <w:numId w:val="1002"/>
        </w:numPr>
      </w:pPr>
      <w:r>
        <w:rPr>
          <w:b/>
          <w:bCs/>
        </w:rPr>
        <w:t xml:space="preserve">FSSC 22000 v6</w:t>
      </w:r>
      <w:r>
        <w:t xml:space="preserve">: متطلبات إضافية</w:t>
      </w:r>
    </w:p>
    <w:p>
      <w:pPr>
        <w:pStyle w:val="Compact"/>
        <w:numPr>
          <w:ilvl w:val="1"/>
          <w:numId w:val="1005"/>
        </w:numPr>
      </w:pPr>
      <w:r>
        <w:t xml:space="preserve">2.5.1: إدارة الخدمات</w:t>
      </w:r>
    </w:p>
    <w:p>
      <w:pPr>
        <w:pStyle w:val="Compact"/>
        <w:numPr>
          <w:ilvl w:val="1"/>
          <w:numId w:val="1005"/>
        </w:numPr>
      </w:pPr>
      <w:r>
        <w:t xml:space="preserve">2.5.2: إدارة المعدات</w:t>
      </w:r>
    </w:p>
    <w:p>
      <w:pPr>
        <w:pStyle w:val="Compact"/>
        <w:numPr>
          <w:ilvl w:val="1"/>
          <w:numId w:val="1005"/>
        </w:numPr>
      </w:pPr>
      <w:r>
        <w:t xml:space="preserve">2.5.3: إدارة المواد المشتراة</w:t>
      </w:r>
    </w:p>
    <w:p>
      <w:pPr>
        <w:pStyle w:val="Compact"/>
        <w:numPr>
          <w:ilvl w:val="1"/>
          <w:numId w:val="1005"/>
        </w:numPr>
      </w:pPr>
      <w:r>
        <w:t xml:space="preserve">2.5.4: إدارة المياه</w:t>
      </w:r>
    </w:p>
    <w:p>
      <w:pPr>
        <w:pStyle w:val="Compact"/>
        <w:numPr>
          <w:ilvl w:val="1"/>
          <w:numId w:val="1005"/>
        </w:numPr>
      </w:pPr>
      <w:r>
        <w:t xml:space="preserve">2.5.5: التحقق من PRP’s</w:t>
      </w:r>
    </w:p>
    <w:p>
      <w:pPr>
        <w:pStyle w:val="Compact"/>
        <w:numPr>
          <w:ilvl w:val="1"/>
          <w:numId w:val="1005"/>
        </w:numPr>
      </w:pPr>
      <w:r>
        <w:t xml:space="preserve">2.5.10: إدارة مسببات الحساسية</w:t>
      </w:r>
    </w:p>
    <w:p>
      <w:pPr>
        <w:pStyle w:val="Compact"/>
        <w:numPr>
          <w:ilvl w:val="1"/>
          <w:numId w:val="1005"/>
        </w:numPr>
      </w:pPr>
      <w:r>
        <w:t xml:space="preserve">2.5.11: المراقبة البيئية</w:t>
      </w:r>
    </w:p>
    <w:p>
      <w:pPr>
        <w:pStyle w:val="Compact"/>
        <w:numPr>
          <w:ilvl w:val="1"/>
          <w:numId w:val="1005"/>
        </w:numPr>
      </w:pPr>
      <w:r>
        <w:t xml:space="preserve">2.5.12: اليقظة الغذائية والدفاع عن الغذاء (Food Defense &amp; Food Fraud)</w:t>
      </w:r>
    </w:p>
    <w:p>
      <w:pPr>
        <w:pStyle w:val="Compact"/>
        <w:numPr>
          <w:ilvl w:val="1"/>
          <w:numId w:val="1005"/>
        </w:numPr>
      </w:pPr>
      <w:r>
        <w:t xml:space="preserve">2.5.13: تصميم المنتج وتطويره</w:t>
      </w:r>
    </w:p>
    <w:p>
      <w:pPr>
        <w:pStyle w:val="Compact"/>
        <w:numPr>
          <w:ilvl w:val="1"/>
          <w:numId w:val="1005"/>
        </w:numPr>
      </w:pPr>
      <w:r>
        <w:t xml:space="preserve">2.5.14: إدارة المشاريع</w:t>
      </w:r>
    </w:p>
    <w:p>
      <w:pPr>
        <w:pStyle w:val="Compact"/>
        <w:numPr>
          <w:ilvl w:val="0"/>
          <w:numId w:val="1002"/>
        </w:numPr>
      </w:pPr>
      <w:r>
        <w:rPr>
          <w:b/>
          <w:bCs/>
        </w:rPr>
        <w:t xml:space="preserve">المواصفات القياسية المصرية (ES)</w:t>
      </w:r>
    </w:p>
    <w:p>
      <w:pPr>
        <w:pStyle w:val="Compact"/>
        <w:numPr>
          <w:ilvl w:val="1"/>
          <w:numId w:val="1006"/>
        </w:numPr>
      </w:pPr>
      <w:r>
        <w:t xml:space="preserve">ES 1589/2007: مياه الشرب المعبأة</w:t>
      </w:r>
    </w:p>
    <w:p>
      <w:pPr>
        <w:pStyle w:val="Compact"/>
        <w:numPr>
          <w:ilvl w:val="1"/>
          <w:numId w:val="1006"/>
        </w:numPr>
      </w:pPr>
      <w:r>
        <w:t xml:space="preserve">ES 190: المياه المعدنية الطبيعية</w:t>
      </w:r>
    </w:p>
    <w:p>
      <w:pPr>
        <w:pStyle w:val="Compact"/>
        <w:numPr>
          <w:ilvl w:val="0"/>
          <w:numId w:val="1002"/>
        </w:numPr>
      </w:pPr>
      <w:r>
        <w:rPr>
          <w:b/>
          <w:bCs/>
        </w:rPr>
        <w:t xml:space="preserve">الهيئة القومية لسلامة الغذاء (NFSA)</w:t>
      </w:r>
    </w:p>
    <w:p>
      <w:pPr>
        <w:pStyle w:val="Compact"/>
        <w:numPr>
          <w:ilvl w:val="1"/>
          <w:numId w:val="1007"/>
        </w:numPr>
      </w:pPr>
      <w:r>
        <w:t xml:space="preserve">قرار 6/2023 وتعديلاته: لائحة الاشتراطات الفنية لتشغيل المنشآت الغذائية</w:t>
      </w:r>
    </w:p>
    <w:p>
      <w:pPr>
        <w:pStyle w:val="Compact"/>
        <w:numPr>
          <w:ilvl w:val="1"/>
          <w:numId w:val="1007"/>
        </w:numPr>
      </w:pPr>
      <w:r>
        <w:t xml:space="preserve">المواد المتعلقة بالمعالجة والتعبئة والرقابة والجودة.</w:t>
      </w:r>
    </w:p>
    <w:p>
      <w:pPr>
        <w:pStyle w:val="Compact"/>
        <w:numPr>
          <w:ilvl w:val="0"/>
          <w:numId w:val="1002"/>
        </w:numPr>
      </w:pPr>
      <w:r>
        <w:rPr>
          <w:b/>
          <w:bCs/>
        </w:rPr>
        <w:t xml:space="preserve">قرار وزير الصحة 458/2007</w:t>
      </w:r>
      <w:r>
        <w:t xml:space="preserve">: بشأن الحدود الميكروبيولوجية والكيماوية لمياه الشرب المعبأة ونظام الرقابة عليها ولوائحه التنفيذية.</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المسؤولية</w:t>
            </w:r>
          </w:p>
        </w:tc>
        <w:tc>
          <w:tcPr/>
          <w:p>
            <w:pPr>
              <w:pStyle w:val="Compact"/>
            </w:pPr>
            <w:r>
              <w:t xml:space="preserve">المساءلة (Accountable)</w:t>
            </w:r>
          </w:p>
        </w:tc>
        <w:tc>
          <w:tcPr/>
          <w:p>
            <w:pPr>
              <w:pStyle w:val="Compact"/>
            </w:pPr>
            <w:r>
              <w:t xml:space="preserve">التنفيذ (Responsible)</w:t>
            </w:r>
          </w:p>
        </w:tc>
        <w:tc>
          <w:tcPr/>
          <w:p>
            <w:pPr>
              <w:pStyle w:val="Compact"/>
            </w:pPr>
            <w:r>
              <w:t xml:space="preserve">الاستشارة (Consulted)</w:t>
            </w:r>
          </w:p>
        </w:tc>
        <w:tc>
          <w:tcPr/>
          <w:p>
            <w:pPr>
              <w:pStyle w:val="Compact"/>
            </w:pPr>
            <w:r>
              <w:t xml:space="preserve">الإبلاغ (Informed)</w:t>
            </w:r>
          </w:p>
        </w:tc>
      </w:tr>
      <w:tr>
        <w:tc>
          <w:tcPr/>
          <w:p>
            <w:pPr>
              <w:pStyle w:val="Compact"/>
            </w:pPr>
            <w:r>
              <w:rPr>
                <w:b/>
                <w:bCs/>
              </w:rPr>
              <w:t xml:space="preserve">قيادة FSMS &amp; QMS</w:t>
            </w:r>
          </w:p>
        </w:tc>
        <w:tc>
          <w:tcPr/>
          <w:p>
            <w:pPr>
              <w:pStyle w:val="Compact"/>
            </w:pPr>
            <w:r>
              <w:t xml:space="preserve">رئيس مجلس الإدارة</w:t>
            </w:r>
          </w:p>
        </w:tc>
        <w:tc>
          <w:tcPr/>
          <w:p>
            <w:pPr>
              <w:pStyle w:val="Compact"/>
            </w:pPr>
            <w:r>
              <w:t xml:space="preserve">مدير الجودة، قائد فريق سلامة الغذاء</w:t>
            </w:r>
          </w:p>
        </w:tc>
        <w:tc>
          <w:tcPr/>
          <w:p>
            <w:pPr>
              <w:pStyle w:val="Compact"/>
            </w:pPr>
            <w:r>
              <w:t xml:space="preserve">كافة رؤساء الأقسام</w:t>
            </w:r>
          </w:p>
        </w:tc>
        <w:tc>
          <w:tcPr/>
          <w:p>
            <w:pPr>
              <w:pStyle w:val="Compact"/>
            </w:pPr>
            <w:r>
              <w:t xml:space="preserve">كافة العاملين</w:t>
            </w:r>
          </w:p>
        </w:tc>
      </w:tr>
      <w:tr>
        <w:tc>
          <w:tcPr/>
          <w:p>
            <w:pPr>
              <w:pStyle w:val="Compact"/>
            </w:pPr>
            <w:r>
              <w:rPr>
                <w:b/>
                <w:bCs/>
              </w:rPr>
              <w:t xml:space="preserve">تحديد فرص التحسين</w:t>
            </w:r>
          </w:p>
        </w:tc>
        <w:tc>
          <w:tcPr/>
          <w:p>
            <w:pPr>
              <w:pStyle w:val="Compact"/>
            </w:pPr>
            <w:r>
              <w:t xml:space="preserve">قائد فريق سلامة الغذاء</w:t>
            </w:r>
          </w:p>
        </w:tc>
        <w:tc>
          <w:tcPr/>
          <w:p>
            <w:pPr>
              <w:pStyle w:val="Compact"/>
            </w:pPr>
            <w:r>
              <w:t xml:space="preserve">رؤساء الأقسام، العاملون</w:t>
            </w:r>
          </w:p>
        </w:tc>
        <w:tc>
          <w:tcPr/>
          <w:p>
            <w:pPr>
              <w:pStyle w:val="Compact"/>
            </w:pPr>
            <w:r>
              <w:t xml:space="preserve">مدير الجودة</w:t>
            </w:r>
          </w:p>
        </w:tc>
        <w:tc>
          <w:tcPr/>
          <w:p>
            <w:pPr>
              <w:pStyle w:val="Compact"/>
            </w:pPr>
            <w:r>
              <w:t xml:space="preserve">الإدارة العليا</w:t>
            </w:r>
          </w:p>
        </w:tc>
      </w:tr>
      <w:tr>
        <w:tc>
          <w:tcPr/>
          <w:p>
            <w:pPr>
              <w:pStyle w:val="Compact"/>
            </w:pPr>
            <w:r>
              <w:rPr>
                <w:b/>
                <w:bCs/>
              </w:rPr>
              <w:t xml:space="preserve">تصديق إجراءات التحكم (Validation)</w:t>
            </w:r>
          </w:p>
        </w:tc>
        <w:tc>
          <w:tcPr/>
          <w:p>
            <w:pPr>
              <w:pStyle w:val="Compact"/>
            </w:pPr>
            <w:r>
              <w:t xml:space="preserve">قائد فريق سلامة الغذاء</w:t>
            </w:r>
          </w:p>
        </w:tc>
        <w:tc>
          <w:tcPr/>
          <w:p>
            <w:pPr>
              <w:pStyle w:val="Compact"/>
            </w:pPr>
            <w:r>
              <w:t xml:space="preserve">أعضاء فريق سلامة الغذاء</w:t>
            </w:r>
          </w:p>
        </w:tc>
        <w:tc>
          <w:tcPr/>
          <w:p>
            <w:pPr>
              <w:pStyle w:val="Compact"/>
            </w:pPr>
            <w:r>
              <w:t xml:space="preserve">مدير الجودة، مدير العمليات</w:t>
            </w:r>
          </w:p>
        </w:tc>
        <w:tc>
          <w:tcPr/>
          <w:p>
            <w:pPr>
              <w:pStyle w:val="Compact"/>
            </w:pPr>
            <w:r>
              <w:t xml:space="preserve">الإدارة العليا</w:t>
            </w:r>
          </w:p>
        </w:tc>
      </w:tr>
      <w:tr>
        <w:tc>
          <w:tcPr/>
          <w:p>
            <w:pPr>
              <w:pStyle w:val="Compact"/>
            </w:pPr>
            <w:r>
              <w:rPr>
                <w:b/>
                <w:bCs/>
              </w:rPr>
              <w:t xml:space="preserve">التحقق من FSMS (Verification)</w:t>
            </w:r>
          </w:p>
        </w:tc>
        <w:tc>
          <w:tcPr/>
          <w:p>
            <w:pPr>
              <w:pStyle w:val="Compact"/>
            </w:pPr>
            <w:r>
              <w:t xml:space="preserve">قائد فريق سلامة الغذاء</w:t>
            </w:r>
          </w:p>
        </w:tc>
        <w:tc>
          <w:tcPr/>
          <w:p>
            <w:pPr>
              <w:pStyle w:val="Compact"/>
            </w:pPr>
            <w:r>
              <w:t xml:space="preserve">مسؤول الجودة، المدققون الداخليون</w:t>
            </w:r>
          </w:p>
        </w:tc>
        <w:tc>
          <w:tcPr/>
          <w:p>
            <w:pPr>
              <w:pStyle w:val="Compact"/>
            </w:pPr>
            <w:r>
              <w:t xml:space="preserve">رؤساء الأقسام</w:t>
            </w:r>
          </w:p>
        </w:tc>
        <w:tc>
          <w:tcPr/>
          <w:p>
            <w:pPr>
              <w:pStyle w:val="Compact"/>
            </w:pPr>
            <w:r>
              <w:t xml:space="preserve">الإدارة العليا</w:t>
            </w:r>
          </w:p>
        </w:tc>
      </w:tr>
      <w:tr>
        <w:tc>
          <w:tcPr/>
          <w:p>
            <w:pPr>
              <w:pStyle w:val="Compact"/>
            </w:pPr>
            <w:r>
              <w:rPr>
                <w:b/>
                <w:bCs/>
              </w:rPr>
              <w:t xml:space="preserve">المراجعات الداخلية</w:t>
            </w:r>
          </w:p>
        </w:tc>
        <w:tc>
          <w:tcPr/>
          <w:p>
            <w:pPr>
              <w:pStyle w:val="Compact"/>
            </w:pPr>
            <w:r>
              <w:t xml:space="preserve">قائد فريق سلامة الغذاء</w:t>
            </w:r>
          </w:p>
        </w:tc>
        <w:tc>
          <w:tcPr/>
          <w:p>
            <w:pPr>
              <w:pStyle w:val="Compact"/>
            </w:pPr>
            <w:r>
              <w:t xml:space="preserve">المدققون الداخليون</w:t>
            </w:r>
          </w:p>
        </w:tc>
        <w:tc>
          <w:tcPr/>
          <w:p>
            <w:pPr>
              <w:pStyle w:val="Compact"/>
            </w:pPr>
            <w:r>
              <w:t xml:space="preserve">مدير الجودة</w:t>
            </w:r>
          </w:p>
        </w:tc>
        <w:tc>
          <w:tcPr/>
          <w:p>
            <w:pPr>
              <w:pStyle w:val="Compact"/>
            </w:pPr>
            <w:r>
              <w:t xml:space="preserve">الإدارة العليا</w:t>
            </w:r>
          </w:p>
        </w:tc>
      </w:tr>
      <w:tr>
        <w:tc>
          <w:tcPr/>
          <w:p>
            <w:pPr>
              <w:pStyle w:val="Compact"/>
            </w:pPr>
            <w:r>
              <w:rPr>
                <w:b/>
                <w:bCs/>
              </w:rPr>
              <w:t xml:space="preserve">إدارة حالات عدم المطابقة والإجراءات التصحيحية</w:t>
            </w:r>
          </w:p>
        </w:tc>
        <w:tc>
          <w:tcPr/>
          <w:p>
            <w:pPr>
              <w:pStyle w:val="Compact"/>
            </w:pPr>
            <w:r>
              <w:t xml:space="preserve">مدير الجودة</w:t>
            </w:r>
          </w:p>
        </w:tc>
        <w:tc>
          <w:tcPr/>
          <w:p>
            <w:pPr>
              <w:pStyle w:val="Compact"/>
            </w:pPr>
            <w:r>
              <w:t xml:space="preserve">فريق سلامة الغذاء، رؤساء الأقسام المعنية</w:t>
            </w:r>
          </w:p>
        </w:tc>
        <w:tc>
          <w:tcPr/>
          <w:p>
            <w:pPr>
              <w:pStyle w:val="Compact"/>
            </w:pPr>
            <w:r>
              <w:t xml:space="preserve">مدير العمليات</w:t>
            </w:r>
          </w:p>
        </w:tc>
        <w:tc>
          <w:tcPr/>
          <w:p>
            <w:pPr>
              <w:pStyle w:val="Compact"/>
            </w:pPr>
            <w:r>
              <w:t xml:space="preserve">الإدارة العليا</w:t>
            </w:r>
          </w:p>
        </w:tc>
      </w:tr>
      <w:tr>
        <w:tc>
          <w:tcPr/>
          <w:p>
            <w:pPr>
              <w:pStyle w:val="Compact"/>
            </w:pPr>
            <w:r>
              <w:rPr>
                <w:b/>
                <w:bCs/>
              </w:rPr>
              <w:t xml:space="preserve">مراقبة وقياس وتقييم الأداء</w:t>
            </w:r>
          </w:p>
        </w:tc>
        <w:tc>
          <w:tcPr/>
          <w:p>
            <w:pPr>
              <w:pStyle w:val="Compact"/>
            </w:pPr>
            <w:r>
              <w:t xml:space="preserve">مدير الجودة، قائد فريق سلامة الغذاء</w:t>
            </w:r>
          </w:p>
        </w:tc>
        <w:tc>
          <w:tcPr/>
          <w:p>
            <w:pPr>
              <w:pStyle w:val="Compact"/>
            </w:pPr>
            <w:r>
              <w:t xml:space="preserve">مراقبو الجودة، رؤساء الأقسام</w:t>
            </w:r>
          </w:p>
        </w:tc>
        <w:tc>
          <w:tcPr/>
          <w:p>
            <w:pPr>
              <w:pStyle w:val="Compact"/>
            </w:pPr>
            <w:r>
              <w:t xml:space="preserve">مدير العمليات</w:t>
            </w:r>
          </w:p>
        </w:tc>
        <w:tc>
          <w:tcPr/>
          <w:p>
            <w:pPr>
              <w:pStyle w:val="Compact"/>
            </w:pPr>
            <w:r>
              <w:t xml:space="preserve">الإدارة العليا</w:t>
            </w:r>
          </w:p>
        </w:tc>
      </w:tr>
      <w:tr>
        <w:tc>
          <w:tcPr/>
          <w:p>
            <w:pPr>
              <w:pStyle w:val="Compact"/>
            </w:pPr>
            <w:r>
              <w:rPr>
                <w:b/>
                <w:bCs/>
              </w:rPr>
              <w:t xml:space="preserve">تحليل الاتجاهات والبيانات</w:t>
            </w:r>
          </w:p>
        </w:tc>
        <w:tc>
          <w:tcPr/>
          <w:p>
            <w:pPr>
              <w:pStyle w:val="Compact"/>
            </w:pPr>
            <w:r>
              <w:t xml:space="preserve">مدير الجودة</w:t>
            </w:r>
          </w:p>
        </w:tc>
        <w:tc>
          <w:tcPr/>
          <w:p>
            <w:pPr>
              <w:pStyle w:val="Compact"/>
            </w:pPr>
            <w:r>
              <w:t xml:space="preserve">مراقبو الجودة</w:t>
            </w:r>
          </w:p>
        </w:tc>
        <w:tc>
          <w:tcPr/>
          <w:p>
            <w:pPr>
              <w:pStyle w:val="Compact"/>
            </w:pPr>
            <w:r>
              <w:t xml:space="preserve">قائد فريق سلامة الغذاء</w:t>
            </w:r>
          </w:p>
        </w:tc>
        <w:tc>
          <w:tcPr/>
          <w:p>
            <w:pPr>
              <w:pStyle w:val="Compact"/>
            </w:pPr>
            <w:r>
              <w:t xml:space="preserve">الإدارة العليا</w:t>
            </w:r>
          </w:p>
        </w:tc>
      </w:tr>
      <w:tr>
        <w:tc>
          <w:tcPr/>
          <w:p>
            <w:pPr>
              <w:pStyle w:val="Compact"/>
            </w:pPr>
            <w:r>
              <w:rPr>
                <w:b/>
                <w:bCs/>
              </w:rPr>
              <w:t xml:space="preserve">قياس رضا العملاء ومعالجة الشكاوى</w:t>
            </w:r>
          </w:p>
        </w:tc>
        <w:tc>
          <w:tcPr/>
          <w:p>
            <w:pPr>
              <w:pStyle w:val="Compact"/>
            </w:pPr>
            <w:r>
              <w:t xml:space="preserve">مدير المبيعات والتسويق</w:t>
            </w:r>
          </w:p>
        </w:tc>
        <w:tc>
          <w:tcPr/>
          <w:p>
            <w:pPr>
              <w:pStyle w:val="Compact"/>
            </w:pPr>
            <w:r>
              <w:t xml:space="preserve">مندوبو المبيعات، مسؤول خدمة العملاء</w:t>
            </w:r>
          </w:p>
        </w:tc>
        <w:tc>
          <w:tcPr/>
          <w:p>
            <w:pPr>
              <w:pStyle w:val="Compact"/>
            </w:pPr>
            <w:r>
              <w:t xml:space="preserve">مدير الجودة، قائد فريق سلامة الغذاء</w:t>
            </w:r>
          </w:p>
        </w:tc>
        <w:tc>
          <w:tcPr/>
          <w:p>
            <w:pPr>
              <w:pStyle w:val="Compact"/>
            </w:pPr>
            <w:r>
              <w:t xml:space="preserve">الإدارة العليا</w:t>
            </w:r>
          </w:p>
        </w:tc>
      </w:tr>
      <w:tr>
        <w:tc>
          <w:tcPr/>
          <w:p>
            <w:pPr>
              <w:pStyle w:val="Compact"/>
            </w:pPr>
            <w:r>
              <w:rPr>
                <w:b/>
                <w:bCs/>
              </w:rPr>
              <w:t xml:space="preserve">مراجعة الإدارة (Management Review)</w:t>
            </w:r>
          </w:p>
        </w:tc>
        <w:tc>
          <w:tcPr/>
          <w:p>
            <w:pPr>
              <w:pStyle w:val="Compact"/>
            </w:pPr>
            <w:r>
              <w:t xml:space="preserve">رئيس مجلس الإدارة</w:t>
            </w:r>
          </w:p>
        </w:tc>
        <w:tc>
          <w:tcPr/>
          <w:p>
            <w:pPr>
              <w:pStyle w:val="Compact"/>
            </w:pPr>
            <w:r>
              <w:t xml:space="preserve">الإدارة العليا، قائد فريق سلامة الغذاء</w:t>
            </w:r>
          </w:p>
        </w:tc>
        <w:tc>
          <w:tcPr/>
          <w:p>
            <w:pPr>
              <w:pStyle w:val="Compact"/>
            </w:pPr>
            <w:r>
              <w:t xml:space="preserve">مديري الإدارات</w:t>
            </w:r>
          </w:p>
        </w:tc>
        <w:tc>
          <w:tcPr/>
          <w:p>
            <w:pPr>
              <w:pStyle w:val="Compact"/>
            </w:pPr>
            <w:r>
              <w:t xml:space="preserve">كافة العاملين</w:t>
            </w:r>
          </w:p>
        </w:tc>
      </w:tr>
      <w:tr>
        <w:tc>
          <w:tcPr/>
          <w:p>
            <w:pPr>
              <w:pStyle w:val="Compact"/>
            </w:pPr>
            <w:r>
              <w:rPr>
                <w:b/>
                <w:bCs/>
              </w:rPr>
              <w:t xml:space="preserve">تحديث المعلومات الموثقة</w:t>
            </w:r>
          </w:p>
        </w:tc>
        <w:tc>
          <w:tcPr/>
          <w:p>
            <w:pPr>
              <w:pStyle w:val="Compact"/>
            </w:pPr>
            <w:r>
              <w:t xml:space="preserve">مسؤول الوثائق</w:t>
            </w:r>
          </w:p>
        </w:tc>
        <w:tc>
          <w:tcPr/>
          <w:p>
            <w:pPr>
              <w:pStyle w:val="Compact"/>
            </w:pPr>
            <w:r>
              <w:t xml:space="preserve">رؤساء الأقسام</w:t>
            </w:r>
          </w:p>
        </w:tc>
        <w:tc>
          <w:tcPr/>
          <w:p>
            <w:pPr>
              <w:pStyle w:val="Compact"/>
            </w:pPr>
            <w:r>
              <w:t xml:space="preserve">مدير الجودة</w:t>
            </w:r>
          </w:p>
        </w:tc>
        <w:tc>
          <w:tcPr/>
          <w:p>
            <w:pPr>
              <w:pStyle w:val="Compact"/>
            </w:pPr>
            <w:r>
              <w:t xml:space="preserve">كافة العاملين</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تصديق إجراءات التحكم (Validation of Control Measures) (ISO 22000:2018 §8.5)</w:t>
      </w:r>
      <w:r>
        <w:t xml:space="preserve"> </w:t>
      </w:r>
      <w:r>
        <w:t xml:space="preserve">6-1-1. يقوم قائد فريق سلامة الغذاء (FSTL) بالتعاون مع أعضاء الفريق بتحديد إجراءات التحكم وتوليفاتها (مثل نقاط التحكم الحرجة CCPs، وبرامج المتطلبات المسبقة التشغيلية OPRPs) المطلوب تصديقها قبل تنفيذها أو عند حدوث أي تغييرات جوهرية.</w:t>
      </w:r>
      <w:r>
        <w:t xml:space="preserve"> </w:t>
      </w:r>
      <w:r>
        <w:t xml:space="preserve">6-1-2. يجب أن يُقدم التصديق دليلًا موضوعيًا على أن تدابير التحكم المختارة قادرة على إنجاز ما هو متوقع منها بشكل فعال وتلبية متطلبات سلامة الغذاء المحددة.</w:t>
      </w:r>
      <w:r>
        <w:t xml:space="preserve"> </w:t>
      </w:r>
      <w:r>
        <w:t xml:space="preserve">6-1-3. يتم استخدام أساليب تصديق مناسبة بناءً على نوع تدابير التحكم، والتي قد تشمل: الدراسات العلمية، التجارب المعملية، البيانات التاريخية، أو محاكاة الظروف التشغيلية الفعلية.</w:t>
      </w:r>
      <w:r>
        <w:t xml:space="preserve"> </w:t>
      </w:r>
      <w:r>
        <w:t xml:space="preserve">6-1-4. يتم توثيق نتائج التصديق في</w:t>
      </w:r>
      <w:r>
        <w:t xml:space="preserve"> </w:t>
      </w:r>
      <w:r>
        <w:rPr>
          <w:b/>
          <w:bCs/>
        </w:rPr>
        <w:t xml:space="preserve">نموذج F-20-02: سجل تصديق إجراءات التحكم</w:t>
      </w:r>
      <w:r>
        <w:t xml:space="preserve">، والذي يتضمن الغرض من التصديق، النطاق، المنهجية، النتائج، الاستنتاجات، وتأكيد فعالية تدابير التحكم.</w:t>
      </w:r>
      <w:r>
        <w:t xml:space="preserve"> </w:t>
      </w:r>
      <w:r>
        <w:t xml:space="preserve">6-1-5. تُراجع نتائج التصديق من قبل FSTL وتُعرض على الإدارة العليا للموافقة عليها كجزء من تطوير خطة HACCP.</w:t>
      </w:r>
    </w:p>
    <w:p>
      <w:pPr>
        <w:pStyle w:val="BodyText"/>
      </w:pPr>
      <w:r>
        <w:rPr>
          <w:b/>
          <w:bCs/>
        </w:rPr>
        <w:t xml:space="preserve">6-2. التحقق من فعالية نظام إدارة سلامة الغذاء والجودة (Verification of FSMS &amp; QMS Effectiveness) (ISO 22000:2018 §8.8, §9.1)</w:t>
      </w:r>
      <w:r>
        <w:t xml:space="preserve"> </w:t>
      </w:r>
      <w:r>
        <w:t xml:space="preserve">6-2-1. يضع FSTL خطة للتحقق تشمل تحديد أساليب، ترددات، ومسؤوليات التحقق من أنشطة المراقبة وأنظمة التحكم.</w:t>
      </w:r>
      <w:r>
        <w:t xml:space="preserve"> </w:t>
      </w:r>
      <w:r>
        <w:t xml:space="preserve">6-2-2. تشمل أنشطة التحقق ما يلي:</w:t>
      </w:r>
      <w:r>
        <w:t xml:space="preserve"> </w:t>
      </w:r>
      <w:r>
        <w:t xml:space="preserve">-</w:t>
      </w:r>
      <w:r>
        <w:t xml:space="preserve"> </w:t>
      </w:r>
      <w:r>
        <w:rPr>
          <w:b/>
          <w:bCs/>
        </w:rPr>
        <w:t xml:space="preserve">6-2-2-1. المراجعة الداخلية (Internal Audit) (ISO 22000:2018 §9.2)</w:t>
      </w:r>
      <w:r>
        <w:t xml:space="preserve">:</w:t>
      </w:r>
      <w:r>
        <w:t xml:space="preserve"> </w:t>
      </w:r>
      <w:r>
        <w:t xml:space="preserve">- يتم إجراء مراجعات داخلية دورية وفقاً لـ</w:t>
      </w:r>
      <w:r>
        <w:t xml:space="preserve"> </w:t>
      </w:r>
      <w:r>
        <w:rPr>
          <w:b/>
          <w:bCs/>
        </w:rPr>
        <w:t xml:space="preserve">الإجراء رقم 21: المراجعة الداخلية</w:t>
      </w:r>
      <w:r>
        <w:t xml:space="preserve">، وعلى أساس خطة مراجعة داخلية سنوية تُعدها إدارة الجودة ويوافق عليها FSTL.</w:t>
      </w:r>
      <w:r>
        <w:t xml:space="preserve"> </w:t>
      </w:r>
      <w:r>
        <w:t xml:space="preserve">- تُنفذ المراجعات بواسطة مدققين داخليين مؤهلين ومستقلين عن النشاط المًراجع.</w:t>
      </w:r>
      <w:r>
        <w:t xml:space="preserve"> </w:t>
      </w:r>
      <w:r>
        <w:t xml:space="preserve">- تُسجل نتائج المراجعات في</w:t>
      </w:r>
      <w:r>
        <w:t xml:space="preserve"> </w:t>
      </w:r>
      <w:r>
        <w:rPr>
          <w:b/>
          <w:bCs/>
        </w:rPr>
        <w:t xml:space="preserve">نموذج F-21-01: تقرير المراجعة الداخلية</w:t>
      </w:r>
      <w:r>
        <w:t xml:space="preserve"> </w:t>
      </w:r>
      <w:r>
        <w:t xml:space="preserve">وتُستخدم لتحديد حالات عدم المطابقة وفرص التحسين.</w:t>
      </w:r>
      <w:r>
        <w:t xml:space="preserve"> </w:t>
      </w:r>
      <w:r>
        <w:t xml:space="preserve">-</w:t>
      </w:r>
      <w:r>
        <w:t xml:space="preserve"> </w:t>
      </w:r>
      <w:r>
        <w:rPr>
          <w:b/>
          <w:bCs/>
        </w:rPr>
        <w:t xml:space="preserve">6-2-2-2. مراقبة وقياس أداء العمليات والمنتجات (Monitoring and Measurement of Performance) (ISO 22000:2018 §9.1)</w:t>
      </w:r>
      <w:r>
        <w:t xml:space="preserve">:</w:t>
      </w:r>
      <w:r>
        <w:t xml:space="preserve"> </w:t>
      </w:r>
      <w:r>
        <w:t xml:space="preserve">- يتم مراقبة وقياس فعالية أداء العمليات (مثل الإنتاج، النظافة، الصيانة) وخصائص المنتجات النهائية (سلامة وجودة المياه) وفقاً للخطط والمعايير المحددة في الإجراءات التشغيلية.</w:t>
      </w:r>
      <w:r>
        <w:t xml:space="preserve"> </w:t>
      </w:r>
      <w:r>
        <w:t xml:space="preserve">- تُسجل البيانات في السجلات والنماذج ذات الصلة بكافة العمليات.</w:t>
      </w:r>
      <w:r>
        <w:t xml:space="preserve"> </w:t>
      </w:r>
      <w:r>
        <w:t xml:space="preserve">- تُحلل هذه البيانات بواسطة مسؤول الجودة لتحديد أي انحرافات أو اتجاهات سلبية.</w:t>
      </w:r>
      <w:r>
        <w:t xml:space="preserve"> </w:t>
      </w:r>
      <w:r>
        <w:t xml:space="preserve">-</w:t>
      </w:r>
      <w:r>
        <w:t xml:space="preserve"> </w:t>
      </w:r>
      <w:r>
        <w:rPr>
          <w:b/>
          <w:bCs/>
        </w:rPr>
        <w:t xml:space="preserve">6-2-2-3. التحقق من برامج المتطلبات المسبقة (PRPs) والهاسب (HACCP) (FSSC 22000 v6 §2.5.5)</w:t>
      </w:r>
      <w:r>
        <w:t xml:space="preserve">:</w:t>
      </w:r>
      <w:r>
        <w:t xml:space="preserve"> </w:t>
      </w:r>
      <w:r>
        <w:t xml:space="preserve">- يتم التحقق الدوري من فعالية تنفيذ PRPs وخطط HACCP لضمان استمراريتها في التحكم بالمخاطر.</w:t>
      </w:r>
      <w:r>
        <w:t xml:space="preserve"> </w:t>
      </w:r>
      <w:r>
        <w:t xml:space="preserve">- يشمل ذلك عمليات التفتيش الميدانية، ومراجعة السجلات، واختبارات الصلاحية.</w:t>
      </w:r>
      <w:r>
        <w:t xml:space="preserve"> </w:t>
      </w:r>
      <w:r>
        <w:t xml:space="preserve">- تُسجل نتائج التحقق في</w:t>
      </w:r>
      <w:r>
        <w:t xml:space="preserve"> </w:t>
      </w:r>
      <w:r>
        <w:rPr>
          <w:b/>
          <w:bCs/>
        </w:rPr>
        <w:t xml:space="preserve">نموذج F-20-03: سجل التحقق من PRPs و HACCP</w:t>
      </w:r>
      <w:r>
        <w:t xml:space="preserve">.</w:t>
      </w:r>
    </w:p>
    <w:p>
      <w:pPr>
        <w:pStyle w:val="BodyText"/>
      </w:pPr>
      <w:r>
        <w:rPr>
          <w:b/>
          <w:bCs/>
        </w:rPr>
        <w:t xml:space="preserve">6-3. إدارة حالات عدم المطابقة والإجراءات التصحيحية (Control of Nonconformities and Corrective Actions) (ISO 22000:2018 §10.2)</w:t>
      </w:r>
      <w:r>
        <w:t xml:space="preserve"> </w:t>
      </w:r>
      <w:r>
        <w:t xml:space="preserve">6-3-1. عند اكتشاف حالة عدم مطابقة (من شكاوى العملاء، المراجعات، المراقبة، التحقق، نتائج المختبر)، يتم الإبلاغ عنها إلى مسؤول الجودة و FSTL.</w:t>
      </w:r>
      <w:r>
        <w:t xml:space="preserve"> </w:t>
      </w:r>
      <w:r>
        <w:t xml:space="preserve">6-3-2. يتم اتخاذ إجراءات فورية (تعديل - Correction) للسيطرة على حالة عدم المطابقة ومنع استخدام المنتج المتأثر أو إطلاقه. يتم توثيق هذه الإجراءات.</w:t>
      </w:r>
      <w:r>
        <w:t xml:space="preserve"> </w:t>
      </w:r>
      <w:r>
        <w:t xml:space="preserve">6-3-3. يتم تنفيذ تحليل السبب الجذري (Root Cause Analysis – RCA) لتحديد أسباب عدم المطابقة. يستخدم FSTL بالتعاون مع فرق العمل المعنية أدوات مثل مخطط إيشيكاوا (Fishbone Diagram) أو 5 Why’s.</w:t>
      </w:r>
      <w:r>
        <w:t xml:space="preserve"> </w:t>
      </w:r>
      <w:r>
        <w:t xml:space="preserve">6-3-4. بناءً على نتائج RCA، يتم تحديد وتطبيق الإجراءات التصحيحية المناسبة للقضاء على السبب الجذري ومنع تكرار عدم المطابقة المماثلة.</w:t>
      </w:r>
      <w:r>
        <w:t xml:space="preserve"> </w:t>
      </w:r>
      <w:r>
        <w:t xml:space="preserve">6-3-5. يتم توثيق حالات عدم المطابقة والإجراءات التصحيحية المتخذة، بما في ذلك فعاليتها، في</w:t>
      </w:r>
      <w:r>
        <w:t xml:space="preserve"> </w:t>
      </w:r>
      <w:r>
        <w:rPr>
          <w:b/>
          <w:bCs/>
        </w:rPr>
        <w:t xml:space="preserve">نموذج F-20-04: سجل عدم المطابقة والإجراءات التصحيحية</w:t>
      </w:r>
      <w:r>
        <w:t xml:space="preserve">.</w:t>
      </w:r>
      <w:r>
        <w:t xml:space="preserve"> </w:t>
      </w:r>
      <w:r>
        <w:t xml:space="preserve">6-3-6. يقوم FSTL بمراجعة فعالية الإجراءات التصحيحية المتخذة للتأكد من أنها قد حققت النتائج المرجوة.</w:t>
      </w:r>
    </w:p>
    <w:p>
      <w:pPr>
        <w:pStyle w:val="BodyText"/>
      </w:pPr>
      <w:r>
        <w:rPr>
          <w:b/>
          <w:bCs/>
        </w:rPr>
        <w:t xml:space="preserve">6-4. قياس رضا العملاء ومعالجة الشكاوى (Customer Satisfaction and Complaint Handling) (ISO 9001:2015 §9.1.2, ISO 22000:2018 §4.1)</w:t>
      </w:r>
      <w:r>
        <w:t xml:space="preserve"> </w:t>
      </w:r>
      <w:r>
        <w:t xml:space="preserve">6-4-1. تُعد إدارة المبيعات والتسويق استبيانًا لرضا العملاء وتُجريه مرة واحدة على الأقل سنويًا.</w:t>
      </w:r>
      <w:r>
        <w:t xml:space="preserve"> </w:t>
      </w:r>
      <w:r>
        <w:t xml:space="preserve">6-4-2. تُجمع البيانات وتُحلّل بواسطة مسؤول خدمة العملاء وقسم الجودة لتحديد مستويات الرضا ومجالات التحسين.</w:t>
      </w:r>
      <w:r>
        <w:t xml:space="preserve"> </w:t>
      </w:r>
      <w:r>
        <w:t xml:space="preserve">6-4-3. عند تلقي شكوى من عميل (شفهيًا أو كتابيًا)، تُسجل فورًا في</w:t>
      </w:r>
      <w:r>
        <w:t xml:space="preserve"> </w:t>
      </w:r>
      <w:r>
        <w:rPr>
          <w:b/>
          <w:bCs/>
        </w:rPr>
        <w:t xml:space="preserve">نموذج F-20-05: سجل شكاوى العملاء</w:t>
      </w:r>
      <w:r>
        <w:t xml:space="preserve">.</w:t>
      </w:r>
      <w:r>
        <w:t xml:space="preserve"> </w:t>
      </w:r>
      <w:r>
        <w:t xml:space="preserve">6-4-4. يجب على مسؤول خدمة العملاء إبلاغ FSTL ومدير الجودة فورًا بالشكوى.</w:t>
      </w:r>
      <w:r>
        <w:t xml:space="preserve"> </w:t>
      </w:r>
      <w:r>
        <w:t xml:space="preserve">6-4-5. يتم التحقيق في الشكوى لتحديد سببها وقد يشمل ذلك مراجعة سجلات الإنتاج، نتائج الفحوصات، أو عينات من المنتج المشكو منه.</w:t>
      </w:r>
      <w:r>
        <w:t xml:space="preserve"> </w:t>
      </w:r>
      <w:r>
        <w:t xml:space="preserve">6-4-6. يتم اتخاذ الإجراءات التصحيحية المناسبة لمعالجة الشكوى ومنع تكرارها، مع إبلاغ العميل بالإجراءات المتخذة إن أمكن.</w:t>
      </w:r>
      <w:r>
        <w:t xml:space="preserve"> </w:t>
      </w:r>
      <w:r>
        <w:t xml:space="preserve">6-4-7. تُدمج بيانات شكاوى العملاء في تحليل الاتجاهات (بند 6-5) كمدخلات رئيسية لتحديد فرص التحسين وكمدخل لمراجعات الإدارة. يجب أن تُربط الشكاوى المتعلقة بسلامة الغذاء بتقييم مخاطر سلامة الغذاء وتُعالج كحالات عدم مطابقة.</w:t>
      </w:r>
    </w:p>
    <w:p>
      <w:pPr>
        <w:pStyle w:val="BodyText"/>
      </w:pPr>
      <w:r>
        <w:rPr>
          <w:b/>
          <w:bCs/>
        </w:rPr>
        <w:t xml:space="preserve">6-5. تحليل البيانات والاتجاهات والتحسين المستمر (Data and Trend Analysis for Continual Improvement) (ISO 22000:2018 §9.1.2, §10.3, FSSC 22000 v6 §2.5.12)</w:t>
      </w:r>
      <w:r>
        <w:t xml:space="preserve"> </w:t>
      </w:r>
      <w:r>
        <w:t xml:space="preserve">6-5-1. يقوم مدير الجودة بالتعاون مع FSTL بجمع وتحليل البيانات من المصادر التالية بشكل دوري (شهري/ربع سنوي):</w:t>
      </w:r>
      <w:r>
        <w:t xml:space="preserve"> </w:t>
      </w:r>
      <w:r>
        <w:t xml:space="preserve">- نتائج المراجعات الداخلية والخارجية.</w:t>
      </w:r>
      <w:r>
        <w:t xml:space="preserve"> </w:t>
      </w:r>
      <w:r>
        <w:t xml:space="preserve">- نتائج التحقق من PRPs و HACCP.</w:t>
      </w:r>
      <w:r>
        <w:t xml:space="preserve"> </w:t>
      </w:r>
      <w:r>
        <w:t xml:space="preserve">- سجلات عدم المطابقة والإجراءات التصحيحية.</w:t>
      </w:r>
      <w:r>
        <w:t xml:space="preserve"> </w:t>
      </w:r>
      <w:r>
        <w:t xml:space="preserve">- نتائج مراقبة النقاط الحرجة (CCPs) ونقاط المتطلبات التشغيلية المسبقة (OPRPs).</w:t>
      </w:r>
      <w:r>
        <w:t xml:space="preserve"> </w:t>
      </w:r>
      <w:r>
        <w:t xml:space="preserve">- نتائج الفحوصات المعملية للمياه والمواد الخام.</w:t>
      </w:r>
      <w:r>
        <w:t xml:space="preserve"> </w:t>
      </w:r>
      <w:r>
        <w:t xml:space="preserve">- شكاوى العملاء وملاحظات رضا العملاء.</w:t>
      </w:r>
      <w:r>
        <w:t xml:space="preserve"> </w:t>
      </w:r>
      <w:r>
        <w:t xml:space="preserve">- نتائج تقييم الموردين.</w:t>
      </w:r>
      <w:r>
        <w:t xml:space="preserve"> </w:t>
      </w:r>
      <w:r>
        <w:t xml:space="preserve">- بيانات المراقبة البيئية.</w:t>
      </w:r>
      <w:r>
        <w:t xml:space="preserve"> </w:t>
      </w:r>
      <w:r>
        <w:t xml:space="preserve">- بيانات اليقظة الغذائية والدفاع عن الغذاء.</w:t>
      </w:r>
      <w:r>
        <w:t xml:space="preserve"> </w:t>
      </w:r>
      <w:r>
        <w:t xml:space="preserve">6-5-2. يتم استخدام أساليب إحصائية لإنشاء رسوم بيانية واتجاهات (Trend Analysis) لتحديد الأنماط، المشاكل المتكررة، ومجالات الضعف، وكذلك لتحديد فرص التحسين.</w:t>
      </w:r>
      <w:r>
        <w:t xml:space="preserve"> </w:t>
      </w:r>
      <w:r>
        <w:t xml:space="preserve">6-5-3. تُعرض نتائج التحليل على FSTL والإدارة العليا لتحديد أولويات التحسين وتخطيط الإجراءات اللازمة.</w:t>
      </w:r>
      <w:r>
        <w:t xml:space="preserve"> </w:t>
      </w:r>
      <w:r>
        <w:t xml:space="preserve">6-5-4. يتم تشجيع جميع العاملين على تقديم اقتراحات التحسين من خلال</w:t>
      </w:r>
      <w:r>
        <w:t xml:space="preserve"> </w:t>
      </w:r>
      <w:r>
        <w:rPr>
          <w:b/>
          <w:bCs/>
        </w:rPr>
        <w:t xml:space="preserve">نموذج F-20-01: طلب تحسين / فرصة تحسين</w:t>
      </w:r>
      <w:r>
        <w:t xml:space="preserve">. يقوم FSTL بتقييم هذه الاقتراحات وتحديد مدى قابليتها للتطبيق ومدى تأثيرها على سلامة الغذاء والجودة.</w:t>
      </w:r>
    </w:p>
    <w:p>
      <w:pPr>
        <w:pStyle w:val="BodyText"/>
      </w:pPr>
      <w:r>
        <w:rPr>
          <w:b/>
          <w:bCs/>
        </w:rPr>
        <w:t xml:space="preserve">6-6. تحديث نظام إدارة سلامة الغذاء (Updating of the FSMS) (ISO 22000:2018 §10.1)</w:t>
      </w:r>
      <w:r>
        <w:t xml:space="preserve"> </w:t>
      </w:r>
      <w:r>
        <w:t xml:space="preserve">6-6-1. يتم تحديث المعلومات الموثقة ذات الصلة بنظام إدارة سلامة الغذاء (مثل تحليل المخاطر، خطة HACCP، PRPs) بشكل دوري و/أو عند حدوث تغييرات جوهرية مثل:</w:t>
      </w:r>
      <w:r>
        <w:t xml:space="preserve"> </w:t>
      </w:r>
      <w:r>
        <w:t xml:space="preserve">- حدوث حالات عدم مطابقة جسيمة تتعلق بسلامة الغذاء.</w:t>
      </w:r>
      <w:r>
        <w:t xml:space="preserve"> </w:t>
      </w:r>
      <w:r>
        <w:t xml:space="preserve">- الحصول على معلومات جديدة حول مخاطر سلامة الغذاء.</w:t>
      </w:r>
      <w:r>
        <w:t xml:space="preserve"> </w:t>
      </w:r>
      <w:r>
        <w:t xml:space="preserve">- تغييرات في المنتجات أو العمليات أو المعدات.</w:t>
      </w:r>
      <w:r>
        <w:t xml:space="preserve"> </w:t>
      </w:r>
      <w:r>
        <w:t xml:space="preserve">- تغييرات في متطلبات العملاء أو اللوائح القانونية (مثل تحديثات من NFSA).</w:t>
      </w:r>
      <w:r>
        <w:t xml:space="preserve"> </w:t>
      </w:r>
      <w:r>
        <w:t xml:space="preserve">6-6-2. مسؤولية تحديد الحاجة للتحديث تقع على عاتق FSTL، وبالتعاون مع أصحاب العمليات المعنيين.</w:t>
      </w:r>
      <w:r>
        <w:t xml:space="preserve"> </w:t>
      </w:r>
      <w:r>
        <w:t xml:space="preserve">6-6-3. تُوثق جميع التحديثات ونسخها المُعدّلة تُراجع، تُعتمد، وتُوزع وفقاً لـ</w:t>
      </w:r>
      <w:r>
        <w:t xml:space="preserve"> </w:t>
      </w:r>
      <w:r>
        <w:rPr>
          <w:b/>
          <w:bCs/>
        </w:rPr>
        <w:t xml:space="preserve">الإجراء رقم 01: التحكم في المعلومات الموثقة</w:t>
      </w:r>
      <w:r>
        <w:t xml:space="preserve">.</w:t>
      </w:r>
    </w:p>
    <w:p>
      <w:pPr>
        <w:pStyle w:val="BodyText"/>
      </w:pPr>
      <w:r>
        <w:rPr>
          <w:b/>
          <w:bCs/>
        </w:rPr>
        <w:t xml:space="preserve">6-7. مراجعة الإدارة (Management Review) (ISO 22000:2018 §9.3)</w:t>
      </w:r>
      <w:r>
        <w:t xml:space="preserve"> </w:t>
      </w:r>
      <w:r>
        <w:t xml:space="preserve">6-7-1. تُعقد اجتماعات مراجعة الإدارة العليا مرة واحدة على الأقل سنويًا، ووفقاً لـ</w:t>
      </w:r>
      <w:r>
        <w:t xml:space="preserve"> </w:t>
      </w:r>
      <w:r>
        <w:rPr>
          <w:b/>
          <w:bCs/>
        </w:rPr>
        <w:t xml:space="preserve">الإجراء رقم 22: مراجعة الإدارة</w:t>
      </w:r>
      <w:r>
        <w:t xml:space="preserve">.</w:t>
      </w:r>
      <w:r>
        <w:t xml:space="preserve"> </w:t>
      </w:r>
      <w:r>
        <w:t xml:space="preserve">6-7-2. تُستخدم جميع مخرجات عمليات التحسين المذكورة أعلاه كمدخلات لمراجعة الإدارة لتقييم أداء FSMS &amp; QMS الشامل وتحديد الاحتياجات للموارد وفرص التحسين.</w:t>
      </w:r>
      <w:r>
        <w:t xml:space="preserve"> </w:t>
      </w:r>
      <w:r>
        <w:t xml:space="preserve">6-7-3. تُسجل مخرجات مراجعة الإدارة، بما في ذلك القرارات والإجراءات المتعلقة بالتحسين، في محاضر الاجتماع.</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F-20-01</w:t>
            </w:r>
          </w:p>
        </w:tc>
        <w:tc>
          <w:tcPr/>
          <w:p>
            <w:pPr>
              <w:pStyle w:val="Compact"/>
            </w:pPr>
            <w:r>
              <w:t xml:space="preserve">طلب تحسين / فرصة تحسين</w:t>
            </w:r>
          </w:p>
        </w:tc>
        <w:tc>
          <w:tcPr/>
          <w:p>
            <w:pPr>
              <w:pStyle w:val="Compact"/>
            </w:pPr>
            <w:r>
              <w:t xml:space="preserve">قائد فريق سلامة الغذاء</w:t>
            </w:r>
          </w:p>
        </w:tc>
        <w:tc>
          <w:tcPr/>
          <w:p>
            <w:pPr>
              <w:pStyle w:val="Compact"/>
            </w:pPr>
            <w:r>
              <w:t xml:space="preserve">3 سنوات</w:t>
            </w:r>
          </w:p>
        </w:tc>
        <w:tc>
          <w:tcPr/>
          <w:p>
            <w:pPr>
              <w:pStyle w:val="Compact"/>
            </w:pPr>
            <w:r>
              <w:t xml:space="preserve">تاريخ الطلب، الاسم، القسم، وصف الفرصة، التقييم الأولي، الإجراءات المقترحة، حالة التنفيذ، النتائج.</w:t>
            </w:r>
          </w:p>
        </w:tc>
      </w:tr>
      <w:tr>
        <w:tc>
          <w:tcPr/>
          <w:p>
            <w:pPr>
              <w:pStyle w:val="Compact"/>
            </w:pPr>
            <w:r>
              <w:t xml:space="preserve">F-20-02</w:t>
            </w:r>
          </w:p>
        </w:tc>
        <w:tc>
          <w:tcPr/>
          <w:p>
            <w:pPr>
              <w:pStyle w:val="Compact"/>
            </w:pPr>
            <w:r>
              <w:t xml:space="preserve">سجل تصديق إجراءات التحكم</w:t>
            </w:r>
          </w:p>
        </w:tc>
        <w:tc>
          <w:tcPr/>
          <w:p>
            <w:pPr>
              <w:pStyle w:val="Compact"/>
            </w:pPr>
            <w:r>
              <w:t xml:space="preserve">قائد فريق سلامة الغذاء</w:t>
            </w:r>
          </w:p>
        </w:tc>
        <w:tc>
          <w:tcPr/>
          <w:p>
            <w:pPr>
              <w:pStyle w:val="Compact"/>
            </w:pPr>
            <w:r>
              <w:t xml:space="preserve">5 سنوات</w:t>
            </w:r>
          </w:p>
        </w:tc>
        <w:tc>
          <w:tcPr/>
          <w:p>
            <w:pPr>
              <w:pStyle w:val="Compact"/>
            </w:pPr>
            <w:r>
              <w:t xml:space="preserve">اسم إجراء التحكم، الغرض، المنهجية، النتائج، الاستنتاجات، تواريخ التصديق، توقيعات الاعتماد.</w:t>
            </w:r>
          </w:p>
        </w:tc>
      </w:tr>
      <w:tr>
        <w:tc>
          <w:tcPr/>
          <w:p>
            <w:pPr>
              <w:pStyle w:val="Compact"/>
            </w:pPr>
            <w:r>
              <w:t xml:space="preserve">F-20-03</w:t>
            </w:r>
          </w:p>
        </w:tc>
        <w:tc>
          <w:tcPr/>
          <w:p>
            <w:pPr>
              <w:pStyle w:val="Compact"/>
            </w:pPr>
            <w:r>
              <w:t xml:space="preserve">سجل التحقق من PRPs و HACCP</w:t>
            </w:r>
          </w:p>
        </w:tc>
        <w:tc>
          <w:tcPr/>
          <w:p>
            <w:pPr>
              <w:pStyle w:val="Compact"/>
            </w:pPr>
            <w:r>
              <w:t xml:space="preserve">قائد فريق سلامة الغذاء</w:t>
            </w:r>
          </w:p>
        </w:tc>
        <w:tc>
          <w:tcPr/>
          <w:p>
            <w:pPr>
              <w:pStyle w:val="Compact"/>
            </w:pPr>
            <w:r>
              <w:t xml:space="preserve">5 سنوات</w:t>
            </w:r>
          </w:p>
        </w:tc>
        <w:tc>
          <w:tcPr/>
          <w:p>
            <w:pPr>
              <w:pStyle w:val="Compact"/>
            </w:pPr>
            <w:r>
              <w:t xml:space="preserve">تاريخ التحقق، المنطقة/العملية، اسم إجراء التحكم، نتائج التحقق (مطابق/غير مطابق)، الإجراءات المتخذة، اسم المحقق.</w:t>
            </w:r>
          </w:p>
        </w:tc>
      </w:tr>
      <w:tr>
        <w:tc>
          <w:tcPr/>
          <w:p>
            <w:pPr>
              <w:pStyle w:val="Compact"/>
            </w:pPr>
            <w:r>
              <w:t xml:space="preserve">F-20-04</w:t>
            </w:r>
          </w:p>
        </w:tc>
        <w:tc>
          <w:tcPr/>
          <w:p>
            <w:pPr>
              <w:pStyle w:val="Compact"/>
            </w:pPr>
            <w:r>
              <w:t xml:space="preserve">سجل عدم المطابقة والإجراءات التصحيحية</w:t>
            </w:r>
          </w:p>
        </w:tc>
        <w:tc>
          <w:tcPr/>
          <w:p>
            <w:pPr>
              <w:pStyle w:val="Compact"/>
            </w:pPr>
            <w:r>
              <w:t xml:space="preserve">مدير الجودة</w:t>
            </w:r>
          </w:p>
        </w:tc>
        <w:tc>
          <w:tcPr/>
          <w:p>
            <w:pPr>
              <w:pStyle w:val="Compact"/>
            </w:pPr>
            <w:r>
              <w:t xml:space="preserve">5 سنوات</w:t>
            </w:r>
          </w:p>
        </w:tc>
        <w:tc>
          <w:tcPr/>
          <w:p>
            <w:pPr>
              <w:pStyle w:val="Compact"/>
            </w:pPr>
            <w:r>
              <w:t xml:space="preserve">تاريخ الاكتشاف، وصف عدم المطابقة، مصدر الاكتشاف، الإجراء الفوري، تحليل السبب الجذري، الإجراء التصحيحي، تاريخ التنفيذ، تاريخ المراجعة، فعالية الإجراء، توقيعات.</w:t>
            </w:r>
          </w:p>
        </w:tc>
      </w:tr>
      <w:tr>
        <w:tc>
          <w:tcPr/>
          <w:p>
            <w:pPr>
              <w:pStyle w:val="Compact"/>
            </w:pPr>
            <w:r>
              <w:t xml:space="preserve">F-20-05</w:t>
            </w:r>
          </w:p>
        </w:tc>
        <w:tc>
          <w:tcPr/>
          <w:p>
            <w:pPr>
              <w:pStyle w:val="Compact"/>
            </w:pPr>
            <w:r>
              <w:t xml:space="preserve">سجل شكاوى العملاء</w:t>
            </w:r>
          </w:p>
        </w:tc>
        <w:tc>
          <w:tcPr/>
          <w:p>
            <w:pPr>
              <w:pStyle w:val="Compact"/>
            </w:pPr>
            <w:r>
              <w:t xml:space="preserve">مدير المبيعات والتسويق</w:t>
            </w:r>
          </w:p>
        </w:tc>
        <w:tc>
          <w:tcPr/>
          <w:p>
            <w:pPr>
              <w:pStyle w:val="Compact"/>
            </w:pPr>
            <w:r>
              <w:t xml:space="preserve">3 سنوات</w:t>
            </w:r>
          </w:p>
        </w:tc>
        <w:tc>
          <w:tcPr/>
          <w:p>
            <w:pPr>
              <w:pStyle w:val="Compact"/>
            </w:pPr>
            <w:r>
              <w:t xml:space="preserve">تاريخ الشكوى، اسم العميل، طريقة الاتصال، وصف الشكوى، نتائج التحقيق، الإجراء المتخذ، تاريخ الإغلاق، ملاحظات.</w:t>
            </w:r>
          </w:p>
        </w:tc>
      </w:tr>
      <w:tr>
        <w:tc>
          <w:tcPr/>
          <w:p>
            <w:pPr>
              <w:pStyle w:val="Compact"/>
            </w:pPr>
            <w:r>
              <w:t xml:space="preserve">F-20-06</w:t>
            </w:r>
          </w:p>
        </w:tc>
        <w:tc>
          <w:tcPr/>
          <w:p>
            <w:pPr>
              <w:pStyle w:val="Compact"/>
            </w:pPr>
            <w:r>
              <w:t xml:space="preserve">تقرير تحليل البيانات والاتجاهات</w:t>
            </w:r>
          </w:p>
        </w:tc>
        <w:tc>
          <w:tcPr/>
          <w:p>
            <w:pPr>
              <w:pStyle w:val="Compact"/>
            </w:pPr>
            <w:r>
              <w:t xml:space="preserve">مدير الجودة</w:t>
            </w:r>
          </w:p>
        </w:tc>
        <w:tc>
          <w:tcPr/>
          <w:p>
            <w:pPr>
              <w:pStyle w:val="Compact"/>
            </w:pPr>
            <w:r>
              <w:t xml:space="preserve">5 سنوات</w:t>
            </w:r>
          </w:p>
        </w:tc>
        <w:tc>
          <w:tcPr/>
          <w:p>
            <w:pPr>
              <w:pStyle w:val="Compact"/>
            </w:pPr>
            <w:r>
              <w:t xml:space="preserve">فترة التقرير، البيانات المحللة (من مصادر مختلفة)، الرسوم البيانية، الاتجاهات المكتشفة، الاستنتاجات، التوصيات للتحسين.</w:t>
            </w:r>
          </w:p>
        </w:tc>
      </w:tr>
      <w:tr>
        <w:tc>
          <w:tcPr/>
          <w:p>
            <w:pPr>
              <w:pStyle w:val="Compact"/>
            </w:pPr>
            <w:r>
              <w:t xml:space="preserve">(حسب الإجراء)</w:t>
            </w:r>
          </w:p>
        </w:tc>
        <w:tc>
          <w:tcPr/>
          <w:p>
            <w:pPr>
              <w:pStyle w:val="Compact"/>
            </w:pPr>
            <w:r>
              <w:t xml:space="preserve">تقارير المراجعة الداخلية (F-21-01)</w:t>
            </w:r>
          </w:p>
        </w:tc>
        <w:tc>
          <w:tcPr/>
          <w:p>
            <w:pPr>
              <w:pStyle w:val="Compact"/>
            </w:pPr>
            <w:r>
              <w:t xml:space="preserve">المدقق الداخلي الرئيسي</w:t>
            </w:r>
          </w:p>
        </w:tc>
        <w:tc>
          <w:tcPr/>
          <w:p>
            <w:pPr>
              <w:pStyle w:val="Compact"/>
            </w:pPr>
            <w:r>
              <w:t xml:space="preserve">5 سنوات</w:t>
            </w:r>
          </w:p>
        </w:tc>
        <w:tc>
          <w:tcPr/>
          <w:p>
            <w:pPr>
              <w:pStyle w:val="Compact"/>
            </w:pPr>
            <w:r>
              <w:t xml:space="preserve">(انظر الإجراء 21)</w:t>
            </w:r>
          </w:p>
        </w:tc>
      </w:tr>
      <w:tr>
        <w:tc>
          <w:tcPr/>
          <w:p>
            <w:pPr>
              <w:pStyle w:val="Compact"/>
            </w:pPr>
            <w:r>
              <w:t xml:space="preserve">(حسب الإجراء)</w:t>
            </w:r>
          </w:p>
        </w:tc>
        <w:tc>
          <w:tcPr/>
          <w:p>
            <w:pPr>
              <w:pStyle w:val="Compact"/>
            </w:pPr>
            <w:r>
              <w:t xml:space="preserve">محاضر اجتماعات مراجعة الإدارة</w:t>
            </w:r>
          </w:p>
        </w:tc>
        <w:tc>
          <w:tcPr/>
          <w:p>
            <w:pPr>
              <w:pStyle w:val="Compact"/>
            </w:pPr>
            <w:r>
              <w:t xml:space="preserve">رئيس مجلس الإدارة</w:t>
            </w:r>
          </w:p>
        </w:tc>
        <w:tc>
          <w:tcPr/>
          <w:p>
            <w:pPr>
              <w:pStyle w:val="Compact"/>
            </w:pPr>
            <w:r>
              <w:t xml:space="preserve">7 سنوات</w:t>
            </w:r>
          </w:p>
        </w:tc>
        <w:tc>
          <w:tcPr/>
          <w:p>
            <w:pPr>
              <w:pStyle w:val="Compact"/>
            </w:pPr>
            <w:r>
              <w:t xml:space="preserve">(انظر الإجراء 22)</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08"/>
        </w:numPr>
      </w:pPr>
      <w:r>
        <w:rPr>
          <w:b/>
          <w:bCs/>
        </w:rPr>
        <w:t xml:space="preserve">KPI 1: نسبة الانغلاق الفعال للإجراءات التصحيحية</w:t>
      </w:r>
    </w:p>
    <w:p>
      <w:pPr>
        <w:pStyle w:val="Compact"/>
        <w:numPr>
          <w:ilvl w:val="1"/>
          <w:numId w:val="1009"/>
        </w:numPr>
      </w:pPr>
      <w:r>
        <w:rPr>
          <w:b/>
          <w:bCs/>
        </w:rPr>
        <w:t xml:space="preserve">المعيار</w:t>
      </w:r>
      <w:r>
        <w:t xml:space="preserve">: لا تقل عن 95% من الإجراءات التصحيحية التي يتم إغلاقها بفعالية ومراجعة فعاليتها خلال الفترة المحددة.</w:t>
      </w:r>
    </w:p>
    <w:p>
      <w:pPr>
        <w:pStyle w:val="Compact"/>
        <w:numPr>
          <w:ilvl w:val="1"/>
          <w:numId w:val="1009"/>
        </w:numPr>
      </w:pPr>
      <w:r>
        <w:rPr>
          <w:b/>
          <w:bCs/>
        </w:rPr>
        <w:t xml:space="preserve">القياس</w:t>
      </w:r>
      <w:r>
        <w:t xml:space="preserve">: (عدد الإجراءات التصحيحية المغلقة والفعالة / إجمالي الإجراءات التصحيحية المفتوحة) × 100</w:t>
      </w:r>
    </w:p>
    <w:p>
      <w:pPr>
        <w:pStyle w:val="Compact"/>
        <w:numPr>
          <w:ilvl w:val="0"/>
          <w:numId w:val="1008"/>
        </w:numPr>
      </w:pPr>
      <w:r>
        <w:rPr>
          <w:b/>
          <w:bCs/>
        </w:rPr>
        <w:t xml:space="preserve">KPI 2: عدد شكاوى العملاء الحرجة/الرئيسية المتعلقة بسلامة الغذاء</w:t>
      </w:r>
    </w:p>
    <w:p>
      <w:pPr>
        <w:pStyle w:val="Compact"/>
        <w:numPr>
          <w:ilvl w:val="1"/>
          <w:numId w:val="1010"/>
        </w:numPr>
      </w:pPr>
      <w:r>
        <w:rPr>
          <w:b/>
          <w:bCs/>
        </w:rPr>
        <w:t xml:space="preserve">المعيار</w:t>
      </w:r>
      <w:r>
        <w:t xml:space="preserve">: لا يزيد عن 2 شكوى حرجة/رئيسية سنوياً.</w:t>
      </w:r>
    </w:p>
    <w:p>
      <w:pPr>
        <w:pStyle w:val="Compact"/>
        <w:numPr>
          <w:ilvl w:val="1"/>
          <w:numId w:val="1010"/>
        </w:numPr>
      </w:pPr>
      <w:r>
        <w:rPr>
          <w:b/>
          <w:bCs/>
        </w:rPr>
        <w:t xml:space="preserve">القياس</w:t>
      </w:r>
      <w:r>
        <w:t xml:space="preserve">: العدد الكلي للشكاوى الحرجة/الرئيسية التي تم تسجيلها في سجل شكاوى العملاء.</w:t>
      </w:r>
    </w:p>
    <w:p>
      <w:pPr>
        <w:pStyle w:val="Compact"/>
        <w:numPr>
          <w:ilvl w:val="0"/>
          <w:numId w:val="1008"/>
        </w:numPr>
      </w:pPr>
      <w:r>
        <w:rPr>
          <w:b/>
          <w:bCs/>
        </w:rPr>
        <w:t xml:space="preserve">KPI 3: نتائج التحقق من فعالية PRPs و HACCP</w:t>
      </w:r>
    </w:p>
    <w:p>
      <w:pPr>
        <w:pStyle w:val="Compact"/>
        <w:numPr>
          <w:ilvl w:val="1"/>
          <w:numId w:val="1011"/>
        </w:numPr>
      </w:pPr>
      <w:r>
        <w:rPr>
          <w:b/>
          <w:bCs/>
        </w:rPr>
        <w:t xml:space="preserve">المعيار</w:t>
      </w:r>
      <w:r>
        <w:t xml:space="preserve">: نسبة مطابقة لا تقل عن 98% في نتائج التحقق من فعالية PRPs و HACCP.</w:t>
      </w:r>
    </w:p>
    <w:p>
      <w:pPr>
        <w:pStyle w:val="Compact"/>
        <w:numPr>
          <w:ilvl w:val="1"/>
          <w:numId w:val="1011"/>
        </w:numPr>
      </w:pPr>
      <w:r>
        <w:rPr>
          <w:b/>
          <w:bCs/>
        </w:rPr>
        <w:t xml:space="preserve">القياس</w:t>
      </w:r>
      <w:r>
        <w:t xml:space="preserve">: (عدد حالات المطابقة في التحقق / إجمالي نقاط التحقق) × 100.</w:t>
      </w:r>
    </w:p>
    <w:p>
      <w:pPr>
        <w:pStyle w:val="Compact"/>
        <w:numPr>
          <w:ilvl w:val="0"/>
          <w:numId w:val="1008"/>
        </w:numPr>
      </w:pPr>
      <w:r>
        <w:rPr>
          <w:b/>
          <w:bCs/>
        </w:rPr>
        <w:t xml:space="preserve">KPI 4: عدد فرص التحسين المُنفذة</w:t>
      </w:r>
    </w:p>
    <w:p>
      <w:pPr>
        <w:pStyle w:val="Compact"/>
        <w:numPr>
          <w:ilvl w:val="1"/>
          <w:numId w:val="1012"/>
        </w:numPr>
      </w:pPr>
      <w:r>
        <w:rPr>
          <w:b/>
          <w:bCs/>
        </w:rPr>
        <w:t xml:space="preserve">المعيار</w:t>
      </w:r>
      <w:r>
        <w:t xml:space="preserve">: تنفيذ ما لا يقل عن 25% من فرص التحسين المُقترحة وذات الأولوية سنوياً.</w:t>
      </w:r>
    </w:p>
    <w:p>
      <w:pPr>
        <w:pStyle w:val="Compact"/>
        <w:numPr>
          <w:ilvl w:val="1"/>
          <w:numId w:val="1012"/>
        </w:numPr>
      </w:pPr>
      <w:r>
        <w:rPr>
          <w:b/>
          <w:bCs/>
        </w:rPr>
        <w:t xml:space="preserve">القياس</w:t>
      </w:r>
      <w:r>
        <w:t xml:space="preserve">: (عدد فرص التحسين التي تم تنفيذها / إجمالي فرص التحسين ذات الأولوية) × 100.</w:t>
      </w:r>
    </w:p>
    <w:p>
      <w:pPr>
        <w:pStyle w:val="Compact"/>
        <w:numPr>
          <w:ilvl w:val="0"/>
          <w:numId w:val="1008"/>
        </w:numPr>
      </w:pPr>
      <w:r>
        <w:rPr>
          <w:b/>
          <w:bCs/>
        </w:rPr>
        <w:t xml:space="preserve">KPI 5: امتثال مخرجات مراجعة الإدارة</w:t>
      </w:r>
    </w:p>
    <w:p>
      <w:pPr>
        <w:pStyle w:val="Compact"/>
        <w:numPr>
          <w:ilvl w:val="1"/>
          <w:numId w:val="1013"/>
        </w:numPr>
      </w:pPr>
      <w:r>
        <w:rPr>
          <w:b/>
          <w:bCs/>
        </w:rPr>
        <w:t xml:space="preserve">المعيار</w:t>
      </w:r>
      <w:r>
        <w:t xml:space="preserve">: تفعيل ما لا يقل عن 90% من القرارات والإجراءات المتفق عليها في مراجعات الإدارة.</w:t>
      </w:r>
    </w:p>
    <w:p>
      <w:pPr>
        <w:pStyle w:val="Compact"/>
        <w:numPr>
          <w:ilvl w:val="1"/>
          <w:numId w:val="1013"/>
        </w:numPr>
      </w:pPr>
      <w:r>
        <w:rPr>
          <w:b/>
          <w:bCs/>
        </w:rPr>
        <w:t xml:space="preserve">القياس</w:t>
      </w:r>
      <w:r>
        <w:t xml:space="preserve">: (عدد القرارات والإجراءات التي تم تفعيلها / إجمالي القرارات والإجراءات من مراجعة الإدارة) × 100.</w:t>
      </w:r>
    </w:p>
    <w:p>
      <w:pPr>
        <w:pStyle w:val="Compact"/>
        <w:numPr>
          <w:ilvl w:val="0"/>
          <w:numId w:val="1008"/>
        </w:numPr>
      </w:pPr>
      <w:r>
        <w:rPr>
          <w:b/>
          <w:bCs/>
        </w:rPr>
        <w:t xml:space="preserve">KPI 6: عدد حالات عدم المطابقة الرئيسية في المراجعات الخارجية (NFSA/FSSC)</w:t>
      </w:r>
    </w:p>
    <w:p>
      <w:pPr>
        <w:pStyle w:val="Compact"/>
        <w:numPr>
          <w:ilvl w:val="1"/>
          <w:numId w:val="1014"/>
        </w:numPr>
      </w:pPr>
      <w:r>
        <w:rPr>
          <w:b/>
          <w:bCs/>
        </w:rPr>
        <w:t xml:space="preserve">المعيار</w:t>
      </w:r>
      <w:r>
        <w:t xml:space="preserve">: صفر حالة عدم مطابقة رئيسية سنوياً.</w:t>
      </w:r>
    </w:p>
    <w:p>
      <w:pPr>
        <w:pStyle w:val="Compact"/>
        <w:numPr>
          <w:ilvl w:val="1"/>
          <w:numId w:val="1014"/>
        </w:numPr>
      </w:pPr>
      <w:r>
        <w:rPr>
          <w:b/>
          <w:bCs/>
        </w:rPr>
        <w:t xml:space="preserve">القياس</w:t>
      </w:r>
      <w:r>
        <w:t xml:space="preserve">: العدد الكلي لحالات عدم المطابقة الرئيسية المبلغ عنها من قبل جهات التدقيق الخارجية.</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20 - FSP-20</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2026-06-28T07:02:30Z</dcterms:created>
  <dcterms:modified xsi:type="dcterms:W3CDTF">2026-06-28T07:02:30Z</dcterms:modified>
</cp:coreProperties>
</file>

<file path=docProps/custom.xml><?xml version="1.0" encoding="utf-8"?>
<Properties xmlns="http://schemas.openxmlformats.org/officeDocument/2006/custom-properties" xmlns:vt="http://schemas.openxmlformats.org/officeDocument/2006/docPropsVTypes"/>
</file>