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X2b338c79f88d351a46e6a8978cb51a29db99a6a"/>
    <w:p>
      <w:pPr>
        <w:pStyle w:val="Heading1"/>
      </w:pPr>
      <w:r>
        <w:t xml:space="preserve">التحكم التشغيلي والإنتاج الآمن لمياه الشرب المعبأة والمياه المعدنية الطبيعية</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التحكم التشغيلي والإنتاج الآمن لمياه الشرب المعبأة والمياه المعدنية الطبيعية</w:t>
            </w:r>
          </w:p>
        </w:tc>
      </w:tr>
      <w:tr>
        <w:tc>
          <w:tcPr/>
          <w:p>
            <w:pPr>
              <w:pStyle w:val="Compact"/>
            </w:pPr>
            <w:r>
              <w:rPr>
                <w:b/>
                <w:bCs/>
              </w:rPr>
              <w:t xml:space="preserve">كود الوثيقة</w:t>
            </w:r>
          </w:p>
        </w:tc>
        <w:tc>
          <w:tcPr/>
          <w:p>
            <w:pPr>
              <w:pStyle w:val="Compact"/>
            </w:pPr>
            <w:r>
              <w:t xml:space="preserve">FSP-23</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8" w:name="Xc416f5b60bd175f40f30de637dbd61e1a3cf0c8"/>
    <w:p>
      <w:pPr>
        <w:pStyle w:val="Heading1"/>
      </w:pPr>
      <w:r>
        <w:t xml:space="preserve">الإجراء رقم 23: التحكم التشغيلي والإنتاج الآمن لمياه الشرب المعبأة والمياه المعدنية الطبيعية</w:t>
      </w:r>
    </w:p>
    <w:bookmarkStart w:id="12" w:name="الغرض-purpose"/>
    <w:p>
      <w:pPr>
        <w:pStyle w:val="Heading2"/>
      </w:pPr>
      <w:r>
        <w:t xml:space="preserve">1. الغرض (Purpose)</w:t>
      </w:r>
    </w:p>
    <w:p>
      <w:pPr>
        <w:pStyle w:val="FirstParagraph"/>
      </w:pPr>
      <w:r>
        <w:t xml:space="preserve">يهدف هذا الإجراء إلى تحديد وتوثيق الخطوات والإجراءات اللازمة للتحكم التشغيلي في جميع مراحل إنتاج وتعبئة مياه الشرب المعبأة والمياه المعدنية الطبيعية، بما يضمن تحقيق سلامة المنتج وجودته المطابقة للمواصفات القياسية والتشريعات المطبقة، واحتياجات العملاء. يضمن الإجراء إدارة فعالة للمخاطر والفرص التشغيلية، ومراقبة وتوثيق دقيق لـ CCPs (نقاط التحكم الحرجة) و OPRPs (برامج المتطلبات الأساسية التشغيلية)، بالإضافة إلى الحفاظ على بيئة إنتاج صحية وآمنة للغذاء. (ISO 22000:2018 §8.1, §8.2, §8.5.1, §8.5.2)</w:t>
      </w:r>
    </w:p>
    <w:bookmarkEnd w:id="12"/>
    <w:bookmarkStart w:id="13" w:name="النطاق-scope"/>
    <w:p>
      <w:pPr>
        <w:pStyle w:val="Heading2"/>
      </w:pPr>
      <w:r>
        <w:t xml:space="preserve">2. النطاق (Scope)</w:t>
      </w:r>
    </w:p>
    <w:p>
      <w:pPr>
        <w:pStyle w:val="FirstParagraph"/>
      </w:pPr>
      <w:r>
        <w:t xml:space="preserve">ينطبق هذا الإجراء على جميع الأنشطة التشغيلية المتعلقة بإنتاج وتعبئة وتخزين مياه الشرب المعبأة والمياه المعدنية الطبيعية داخل المنشأة، بدءًا من استلام المواد الخام والتعبئة وصولًا إلى تخزين المنتج النهائي قبل الشحن. يشمل ذلك جميع الخطوط الإنتاجية والمعدات، والأفراد العاملين في الأقسام المعنية بالتحكم التشغيلي والإنتاج. (ISO 22000:2018 §4.3)</w:t>
      </w:r>
    </w:p>
    <w:bookmarkEnd w:id="13"/>
    <w:bookmarkStart w:id="14" w:name="التعريفات-والمختصرات"/>
    <w:p>
      <w:pPr>
        <w:pStyle w:val="Heading2"/>
      </w:pPr>
      <w:r>
        <w:t xml:space="preserve">3. التعريفات والمختصرات</w:t>
      </w:r>
    </w:p>
    <w:p>
      <w:pPr>
        <w:pStyle w:val="Compact"/>
        <w:numPr>
          <w:ilvl w:val="0"/>
          <w:numId w:val="1001"/>
        </w:numPr>
      </w:pPr>
      <w:r>
        <w:rPr>
          <w:b/>
          <w:bCs/>
        </w:rPr>
        <w:t xml:space="preserve">CCP (Critical Control Point)</w:t>
      </w:r>
      <w:r>
        <w:t xml:space="preserve">: نقطة أو خطوة يمكن تطبيق الرقابة عليها وهي ضرورية لمنع أو إزالة مخاطر سلامة الغذاء أو تقليلها إلى مستوى مقبول (Codex Alimentarius).</w:t>
      </w:r>
    </w:p>
    <w:p>
      <w:pPr>
        <w:pStyle w:val="Compact"/>
        <w:numPr>
          <w:ilvl w:val="0"/>
          <w:numId w:val="1001"/>
        </w:numPr>
      </w:pPr>
      <w:r>
        <w:rPr>
          <w:b/>
          <w:bCs/>
        </w:rPr>
        <w:t xml:space="preserve">OPRP (Operational Prerequisite Program)</w:t>
      </w:r>
      <w:r>
        <w:t xml:space="preserve">: برنامج متطلبات أساسية ضروري للتحكم في احتمال إدخال مخاطر لسلامة الغذاء إلى المنتج أو البيئة، أو التلوث أو تكاثر مخاطر سلامة الغذاء في المنتج أو بيئة المعالجة (ISO 22000:2018 §3.30).</w:t>
      </w:r>
    </w:p>
    <w:p>
      <w:pPr>
        <w:pStyle w:val="Compact"/>
        <w:numPr>
          <w:ilvl w:val="0"/>
          <w:numId w:val="1001"/>
        </w:numPr>
      </w:pPr>
      <w:r>
        <w:rPr>
          <w:b/>
          <w:bCs/>
        </w:rPr>
        <w:t xml:space="preserve">PRPs (Prerequisite Programs)</w:t>
      </w:r>
      <w:r>
        <w:t xml:space="preserve">: برامج المتطلبات الأساسية، الظروف والأنشطة الأساسية الضرورية للحفاظ على بيئة صحية على امتداد سلسلة الغذاء ومناسبة لإنتاج وتناول منتجات غذائية آمنة (ISO 22000:2018 §3.34).</w:t>
      </w:r>
    </w:p>
    <w:p>
      <w:pPr>
        <w:pStyle w:val="Compact"/>
        <w:numPr>
          <w:ilvl w:val="0"/>
          <w:numId w:val="1001"/>
        </w:numPr>
      </w:pPr>
      <w:r>
        <w:rPr>
          <w:b/>
          <w:bCs/>
        </w:rPr>
        <w:t xml:space="preserve">HACCP (Hazard Analysis and Critical Control Points)</w:t>
      </w:r>
      <w:r>
        <w:t xml:space="preserve">: تحليل المخاطر ونقاط التحكم الحرجة (Codex Alimentarius).</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CIP (Clean In Place)</w:t>
      </w:r>
      <w:r>
        <w:t xml:space="preserve">: التنظيف في الموقع.</w:t>
      </w:r>
    </w:p>
    <w:p>
      <w:pPr>
        <w:pStyle w:val="Compact"/>
        <w:numPr>
          <w:ilvl w:val="0"/>
          <w:numId w:val="1001"/>
        </w:numPr>
      </w:pPr>
      <w:r>
        <w:rPr>
          <w:b/>
          <w:bCs/>
        </w:rPr>
        <w:t xml:space="preserve">COP (Clean Out of Place)</w:t>
      </w:r>
      <w:r>
        <w:t xml:space="preserve">: التنظيف خارج الموقع.</w:t>
      </w:r>
    </w:p>
    <w:p>
      <w:pPr>
        <w:pStyle w:val="Compact"/>
        <w:numPr>
          <w:ilvl w:val="0"/>
          <w:numId w:val="1001"/>
        </w:numPr>
      </w:pPr>
      <w:r>
        <w:rPr>
          <w:b/>
          <w:bCs/>
        </w:rPr>
        <w:t xml:space="preserve">دفعة إنتاجية (Batch)</w:t>
      </w:r>
      <w:r>
        <w:t xml:space="preserve">: كمية محددة من المنتج يتم إنتاجها تحت ظروف موحدة.</w:t>
      </w:r>
    </w:p>
    <w:bookmarkEnd w:id="14"/>
    <w:bookmarkStart w:id="15" w:name="المراجع-references"/>
    <w:p>
      <w:pPr>
        <w:pStyle w:val="Heading2"/>
      </w:pPr>
      <w:r>
        <w:t xml:space="preserve">4. المراجع (References)</w:t>
      </w:r>
    </w:p>
    <w:p>
      <w:pPr>
        <w:pStyle w:val="Compact"/>
        <w:numPr>
          <w:ilvl w:val="0"/>
          <w:numId w:val="1002"/>
        </w:numPr>
      </w:pPr>
      <w:r>
        <w:t xml:space="preserve">ISO 22000:2018 نظام إدارة سلامة الغذاء – متطلبات أي منظمة في السلسلة الغذائية (§7.1.6, §7.2, §7.4, §7.5, §8.1 – §8.9, §9.1.1).</w:t>
      </w:r>
    </w:p>
    <w:p>
      <w:pPr>
        <w:pStyle w:val="Compact"/>
        <w:numPr>
          <w:ilvl w:val="0"/>
          <w:numId w:val="1002"/>
        </w:numPr>
      </w:pPr>
      <w:r>
        <w:t xml:space="preserve">ISO 9001:2015 أنظمة إدارة الجودة – المتطلبات (§8.1, §8.2.1, §8.5, §9.1.1).</w:t>
      </w:r>
    </w:p>
    <w:p>
      <w:pPr>
        <w:pStyle w:val="Compact"/>
        <w:numPr>
          <w:ilvl w:val="0"/>
          <w:numId w:val="1002"/>
        </w:numPr>
      </w:pPr>
      <w:r>
        <w:t xml:space="preserve">FSSC 22000 v6 متطلبات المخطط: Part 2.2.1, 2.5.1, 2.5.2, 2.5.3, 2.5.4, Annex I</w:t>
      </w:r>
    </w:p>
    <w:p>
      <w:pPr>
        <w:pStyle w:val="Compact"/>
        <w:numPr>
          <w:ilvl w:val="0"/>
          <w:numId w:val="1002"/>
        </w:numPr>
      </w:pPr>
      <w:r>
        <w:t xml:space="preserve">ISO/TS 22002-1:2009 برامج المتطلبات الأساسية لسلامة الغذاء لتصنيع الأغذية (§4 – §15).</w:t>
      </w:r>
    </w:p>
    <w:p>
      <w:pPr>
        <w:pStyle w:val="Compact"/>
        <w:numPr>
          <w:ilvl w:val="0"/>
          <w:numId w:val="1002"/>
        </w:numPr>
      </w:pPr>
      <w:r>
        <w:t xml:space="preserve">Codex Alimentarius CAC/RCP 1-1969 المبادئ العامة لنظافة الغذاء (وخاصة مبادئ HACCP).</w:t>
      </w:r>
    </w:p>
    <w:p>
      <w:pPr>
        <w:pStyle w:val="Compact"/>
        <w:numPr>
          <w:ilvl w:val="0"/>
          <w:numId w:val="1002"/>
        </w:numPr>
      </w:pPr>
      <w:r>
        <w:t xml:space="preserve">المواصفة القياسية المصرية ES 1589/2007 (مياه الشرب المعبأة) وما يطرأ عليها من تعديلات.</w:t>
      </w:r>
    </w:p>
    <w:p>
      <w:pPr>
        <w:pStyle w:val="Compact"/>
        <w:numPr>
          <w:ilvl w:val="0"/>
          <w:numId w:val="1002"/>
        </w:numPr>
      </w:pPr>
      <w:r>
        <w:t xml:space="preserve">المواصفة القياسية المصرية ES 190 (مياه معدنية طبيعية) وما يطرأ عليها من تعديلات.</w:t>
      </w:r>
    </w:p>
    <w:p>
      <w:pPr>
        <w:pStyle w:val="Compact"/>
        <w:numPr>
          <w:ilvl w:val="0"/>
          <w:numId w:val="1002"/>
        </w:numPr>
      </w:pPr>
      <w:r>
        <w:t xml:space="preserve">لائحة الهيئة القومية لسلامة الغذاء (NFSA) قرار 6/2023 وتعديلاته (وخاصة المواد المتعلقة بإنتاج المياه المعبأة).</w:t>
      </w:r>
    </w:p>
    <w:p>
      <w:pPr>
        <w:pStyle w:val="Compact"/>
        <w:numPr>
          <w:ilvl w:val="0"/>
          <w:numId w:val="1002"/>
        </w:numPr>
      </w:pPr>
      <w:r>
        <w:t xml:space="preserve">قرار وزير الصحة والسكان رقم 458 لسنة 2007 بشأن مواصفات وأسس تداول مياه الشرب المعبأة ولوائحه التنفيذية وتعديلاته.</w:t>
      </w:r>
    </w:p>
    <w:bookmarkEnd w:id="15"/>
    <w:bookmarkStart w:id="16" w:name="المسؤوليات-responsibilities"/>
    <w:p>
      <w:pPr>
        <w:pStyle w:val="Heading2"/>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المسؤول</w:t>
            </w:r>
          </w:p>
        </w:tc>
        <w:tc>
          <w:tcPr/>
          <w:p>
            <w:pPr>
              <w:pStyle w:val="Compact"/>
            </w:pPr>
            <w:r>
              <w:t xml:space="preserve">الدور الرئيسي</w:t>
            </w:r>
          </w:p>
        </w:tc>
        <w:tc>
          <w:tcPr/>
          <w:p>
            <w:pPr>
              <w:pStyle w:val="Compact"/>
            </w:pPr>
            <w:r>
              <w:t xml:space="preserve">المسؤوليات (Accountable)</w:t>
            </w:r>
          </w:p>
        </w:tc>
        <w:tc>
          <w:tcPr/>
          <w:p>
            <w:pPr>
              <w:pStyle w:val="Compact"/>
            </w:pPr>
            <w:r>
              <w:t xml:space="preserve">الاستشارة (Consulted)</w:t>
            </w:r>
          </w:p>
        </w:tc>
        <w:tc>
          <w:tcPr/>
          <w:p>
            <w:pPr>
              <w:pStyle w:val="Compact"/>
            </w:pPr>
            <w:r>
              <w:t xml:space="preserve">الإعلام (Informed)</w:t>
            </w:r>
          </w:p>
        </w:tc>
      </w:tr>
      <w:tr>
        <w:tc>
          <w:tcPr/>
          <w:p>
            <w:pPr>
              <w:pStyle w:val="Compact"/>
            </w:pPr>
            <w:r>
              <w:rPr>
                <w:b/>
                <w:bCs/>
              </w:rPr>
              <w:t xml:space="preserve">المدير العام</w:t>
            </w:r>
          </w:p>
        </w:tc>
        <w:tc>
          <w:tcPr/>
          <w:p>
            <w:pPr>
              <w:pStyle w:val="Compact"/>
            </w:pPr>
            <w:r>
              <w:t xml:space="preserve">اعتماد الإجراءات، توفير الموارد، تحديد الأهداف العامة لسلامة الغذاء والجودة.</w:t>
            </w:r>
          </w:p>
        </w:tc>
        <w:tc>
          <w:tcPr/>
          <w:p>
            <w:pPr>
              <w:pStyle w:val="Compact"/>
            </w:pPr>
            <w:r>
              <w:t xml:space="preserve">ضمان الامتثال للتشريعات والمواصفات.</w:t>
            </w:r>
          </w:p>
        </w:tc>
        <w:tc>
          <w:tcPr/>
          <w:p>
            <w:pPr>
              <w:pStyle w:val="Compact"/>
            </w:pPr>
            <w:r>
              <w:t xml:space="preserve">-</w:t>
            </w:r>
          </w:p>
        </w:tc>
        <w:tc>
          <w:tcPr/>
          <w:p>
            <w:pPr>
              <w:pStyle w:val="Compact"/>
            </w:pPr>
            <w:r>
              <w:t xml:space="preserve">فريق سلامة الغذاء، مدير الإنتاج، مدير الجودة.</w:t>
            </w:r>
          </w:p>
        </w:tc>
      </w:tr>
      <w:tr>
        <w:tc>
          <w:tcPr/>
          <w:p>
            <w:pPr>
              <w:pStyle w:val="Compact"/>
            </w:pPr>
            <w:r>
              <w:rPr>
                <w:b/>
                <w:bCs/>
              </w:rPr>
              <w:t xml:space="preserve">رئيس فريق سلامة الغذاء</w:t>
            </w:r>
          </w:p>
        </w:tc>
        <w:tc>
          <w:tcPr/>
          <w:p>
            <w:pPr>
              <w:pStyle w:val="Compact"/>
            </w:pPr>
            <w:r>
              <w:t xml:space="preserve">قيادة فريق سلامة الغذاء، ضمان تحديث وتقييم خطة HACCP.</w:t>
            </w:r>
          </w:p>
        </w:tc>
        <w:tc>
          <w:tcPr/>
          <w:p>
            <w:pPr>
              <w:pStyle w:val="Compact"/>
            </w:pPr>
            <w:r>
              <w:t xml:space="preserve">الإشراف على تطبيق الإجراء، فعالية نظام إدارة سلامة الغذاء.</w:t>
            </w:r>
          </w:p>
        </w:tc>
        <w:tc>
          <w:tcPr/>
          <w:p>
            <w:pPr>
              <w:pStyle w:val="Compact"/>
            </w:pPr>
            <w:r>
              <w:t xml:space="preserve">جميع الأقسام.</w:t>
            </w:r>
          </w:p>
        </w:tc>
        <w:tc>
          <w:tcPr/>
          <w:p>
            <w:pPr>
              <w:pStyle w:val="Compact"/>
            </w:pPr>
            <w:r>
              <w:t xml:space="preserve">المدير العام.</w:t>
            </w:r>
          </w:p>
        </w:tc>
      </w:tr>
      <w:tr>
        <w:tc>
          <w:tcPr/>
          <w:p>
            <w:pPr>
              <w:pStyle w:val="Compact"/>
            </w:pPr>
            <w:r>
              <w:rPr>
                <w:b/>
                <w:bCs/>
              </w:rPr>
              <w:t xml:space="preserve">مدير الإنتاج</w:t>
            </w:r>
          </w:p>
        </w:tc>
        <w:tc>
          <w:tcPr/>
          <w:p>
            <w:pPr>
              <w:pStyle w:val="Compact"/>
            </w:pPr>
            <w:r>
              <w:t xml:space="preserve">الإشراف على جميع العمليات الإنتاجية، تطبيق إجراءات التحكم التشغيلي.</w:t>
            </w:r>
          </w:p>
        </w:tc>
        <w:tc>
          <w:tcPr/>
          <w:p>
            <w:pPr>
              <w:pStyle w:val="Compact"/>
            </w:pPr>
            <w:r>
              <w:t xml:space="preserve">تحقيق الأهداف الإنتاجية وسلامة المنتج.</w:t>
            </w:r>
          </w:p>
        </w:tc>
        <w:tc>
          <w:tcPr/>
          <w:p>
            <w:pPr>
              <w:pStyle w:val="Compact"/>
            </w:pPr>
            <w:r>
              <w:t xml:space="preserve">مدير الجودة، فريق سلامة الغذاء.</w:t>
            </w:r>
          </w:p>
        </w:tc>
        <w:tc>
          <w:tcPr/>
          <w:p>
            <w:pPr>
              <w:pStyle w:val="Compact"/>
            </w:pPr>
            <w:r>
              <w:t xml:space="preserve">المدير العام، مدير المبيعات.</w:t>
            </w:r>
          </w:p>
        </w:tc>
      </w:tr>
      <w:tr>
        <w:tc>
          <w:tcPr/>
          <w:p>
            <w:pPr>
              <w:pStyle w:val="Compact"/>
            </w:pPr>
            <w:r>
              <w:rPr>
                <w:b/>
                <w:bCs/>
              </w:rPr>
              <w:t xml:space="preserve">مدير الجودة</w:t>
            </w:r>
          </w:p>
        </w:tc>
        <w:tc>
          <w:tcPr/>
          <w:p>
            <w:pPr>
              <w:pStyle w:val="Compact"/>
            </w:pPr>
            <w:r>
              <w:t xml:space="preserve">مراقبة جودة وسلامة المنتج، معايرة أجهزة الرقابة، التحقق من فعالية PRPs و OPRPs و CCPs.</w:t>
            </w:r>
          </w:p>
        </w:tc>
        <w:tc>
          <w:tcPr/>
          <w:p>
            <w:pPr>
              <w:pStyle w:val="Compact"/>
            </w:pPr>
            <w:r>
              <w:t xml:space="preserve">تطبيق خطط المراقبة والتحقق، نتائج الاختبارات المعملية.</w:t>
            </w:r>
          </w:p>
        </w:tc>
        <w:tc>
          <w:tcPr/>
          <w:p>
            <w:pPr>
              <w:pStyle w:val="Compact"/>
            </w:pPr>
            <w:r>
              <w:t xml:space="preserve">مدير الإنتاج، فريق سلامة الغذاء.</w:t>
            </w:r>
          </w:p>
        </w:tc>
        <w:tc>
          <w:tcPr/>
          <w:p>
            <w:pPr>
              <w:pStyle w:val="Compact"/>
            </w:pPr>
            <w:r>
              <w:t xml:space="preserve">المدير العام.</w:t>
            </w:r>
          </w:p>
        </w:tc>
      </w:tr>
      <w:tr>
        <w:tc>
          <w:tcPr/>
          <w:p>
            <w:pPr>
              <w:pStyle w:val="Compact"/>
            </w:pPr>
            <w:r>
              <w:rPr>
                <w:b/>
                <w:bCs/>
              </w:rPr>
              <w:t xml:space="preserve">مشرفي الإنتاج</w:t>
            </w:r>
          </w:p>
        </w:tc>
        <w:tc>
          <w:tcPr/>
          <w:p>
            <w:pPr>
              <w:pStyle w:val="Compact"/>
            </w:pPr>
            <w:r>
              <w:t xml:space="preserve">الإشراف المباشر على الخطوط الإنتاجية، تطبيق التعليمات، تسجيل البيانات.</w:t>
            </w:r>
          </w:p>
        </w:tc>
        <w:tc>
          <w:tcPr/>
          <w:p>
            <w:pPr>
              <w:pStyle w:val="Compact"/>
            </w:pPr>
            <w:r>
              <w:t xml:space="preserve">تنفيذ الإجراءات التشغيلية القياسية (SOPs).</w:t>
            </w:r>
          </w:p>
        </w:tc>
        <w:tc>
          <w:tcPr/>
          <w:p>
            <w:pPr>
              <w:pStyle w:val="Compact"/>
            </w:pPr>
            <w:r>
              <w:t xml:space="preserve">مشغلي الأجهزة، عامل خط الإنتاج.</w:t>
            </w:r>
          </w:p>
        </w:tc>
        <w:tc>
          <w:tcPr/>
          <w:p>
            <w:pPr>
              <w:pStyle w:val="Compact"/>
            </w:pPr>
            <w:r>
              <w:t xml:space="preserve">مدير الإنتاج، مدير الجودة.</w:t>
            </w:r>
          </w:p>
        </w:tc>
      </w:tr>
      <w:tr>
        <w:tc>
          <w:tcPr/>
          <w:p>
            <w:pPr>
              <w:pStyle w:val="Compact"/>
            </w:pPr>
            <w:r>
              <w:rPr>
                <w:b/>
                <w:bCs/>
              </w:rPr>
              <w:t xml:space="preserve">مشغلي الأجهزة</w:t>
            </w:r>
          </w:p>
        </w:tc>
        <w:tc>
          <w:tcPr/>
          <w:p>
            <w:pPr>
              <w:pStyle w:val="Compact"/>
            </w:pPr>
            <w:r>
              <w:t xml:space="preserve">تشغيل وضبط المعدات وفق التعليمات، مراقبة نقاط التحكم المحددة، تسجيل البيانات.</w:t>
            </w:r>
          </w:p>
        </w:tc>
        <w:tc>
          <w:tcPr/>
          <w:p>
            <w:pPr>
              <w:pStyle w:val="Compact"/>
            </w:pPr>
            <w:r>
              <w:t xml:space="preserve">الأداء الصحيح للخطوات المحددة.</w:t>
            </w:r>
          </w:p>
        </w:tc>
        <w:tc>
          <w:tcPr/>
          <w:p>
            <w:pPr>
              <w:pStyle w:val="Compact"/>
            </w:pPr>
            <w:r>
              <w:t xml:space="preserve">مشرف الإنتاج.</w:t>
            </w:r>
          </w:p>
        </w:tc>
        <w:tc>
          <w:tcPr/>
          <w:p>
            <w:pPr>
              <w:pStyle w:val="Compact"/>
            </w:pPr>
            <w:r>
              <w:t xml:space="preserve">مدير الإنتاج.</w:t>
            </w:r>
          </w:p>
        </w:tc>
      </w:tr>
      <w:tr>
        <w:tc>
          <w:tcPr/>
          <w:p>
            <w:pPr>
              <w:pStyle w:val="Compact"/>
            </w:pPr>
            <w:r>
              <w:rPr>
                <w:b/>
                <w:bCs/>
              </w:rPr>
              <w:t xml:space="preserve">أمين المخزن</w:t>
            </w:r>
          </w:p>
        </w:tc>
        <w:tc>
          <w:tcPr/>
          <w:p>
            <w:pPr>
              <w:pStyle w:val="Compact"/>
            </w:pPr>
            <w:r>
              <w:t xml:space="preserve">استلام وحفظ المواد الخام ومواد التعبئة والتغليف، تسليمها للإنتاج، استلام وتخزين المنتج النهائي، تسليمه للشحن.</w:t>
            </w:r>
          </w:p>
        </w:tc>
        <w:tc>
          <w:tcPr/>
          <w:p>
            <w:pPr>
              <w:pStyle w:val="Compact"/>
            </w:pPr>
            <w:r>
              <w:t xml:space="preserve">سلامة وجودة المواد المخزنة.</w:t>
            </w:r>
          </w:p>
        </w:tc>
        <w:tc>
          <w:tcPr/>
          <w:p>
            <w:pPr>
              <w:pStyle w:val="Compact"/>
            </w:pPr>
            <w:r>
              <w:t xml:space="preserve">مدير الإنتاج، مدير الجودة.</w:t>
            </w:r>
          </w:p>
        </w:tc>
        <w:tc>
          <w:tcPr/>
          <w:p>
            <w:pPr>
              <w:pStyle w:val="Compact"/>
            </w:pPr>
            <w:r>
              <w:t xml:space="preserve">مدير المبيعات.</w:t>
            </w:r>
          </w:p>
        </w:tc>
      </w:tr>
    </w:tbl>
    <w:bookmarkEnd w:id="16"/>
    <w:bookmarkStart w:id="22" w:name="خطوات-التنفيذ-التفصيلية-procedures"/>
    <w:p>
      <w:pPr>
        <w:pStyle w:val="Heading2"/>
      </w:pPr>
      <w:r>
        <w:t xml:space="preserve">6. خطوات التنفيذ التفصيلية (Procedures)</w:t>
      </w:r>
    </w:p>
    <w:bookmarkStart w:id="17" w:name="X0ff8cb279c132cfb80c924bc481f5a5cca2bf77"/>
    <w:p>
      <w:pPr>
        <w:pStyle w:val="Heading3"/>
      </w:pPr>
      <w:r>
        <w:t xml:space="preserve">6-1. تخطيط العمليات التشغيلية (Planning Operational Processes)</w:t>
      </w:r>
    </w:p>
    <w:p>
      <w:pPr>
        <w:pStyle w:val="FirstParagraph"/>
      </w:pPr>
      <w:r>
        <w:t xml:space="preserve">6-1-1.</w:t>
      </w:r>
      <w:r>
        <w:t xml:space="preserve"> </w:t>
      </w:r>
      <w:r>
        <w:rPr>
          <w:b/>
          <w:bCs/>
        </w:rPr>
        <w:t xml:space="preserve">تلقي طلب الإنتاج</w:t>
      </w:r>
      <w:r>
        <w:t xml:space="preserve">: يتم استلام أمر الشغل (Job Order) من قسم المبيعات، ويحتوي على الكميات المطلوبة، نوع المنتج (مياه شرب معبأة/مياه معدنية طبيعية)، حجم العبوة، وتاريخ التسليم. (ISO 22000:2018 §8.1)</w:t>
      </w:r>
      <w:r>
        <w:t xml:space="preserve"> </w:t>
      </w:r>
      <w:r>
        <w:t xml:space="preserve">6-1-2.</w:t>
      </w:r>
      <w:r>
        <w:t xml:space="preserve"> </w:t>
      </w:r>
      <w:r>
        <w:rPr>
          <w:b/>
          <w:bCs/>
        </w:rPr>
        <w:t xml:space="preserve">تقييم القدرة الإنتاجية وتخطيط الموارد</w:t>
      </w:r>
      <w:r>
        <w:t xml:space="preserve">: يقوم مدير الإنتاج بتقييم القدرة الإنتاجية، توفر الموارد (المواد الخام، العمالة، المعدات) لضمان تلبية الطلب دون المساس بسلامة الغذاء.</w:t>
      </w:r>
      <w:r>
        <w:t xml:space="preserve"> </w:t>
      </w:r>
      <w:r>
        <w:t xml:space="preserve">6-1-3.</w:t>
      </w:r>
      <w:r>
        <w:t xml:space="preserve"> </w:t>
      </w:r>
      <w:r>
        <w:rPr>
          <w:b/>
          <w:bCs/>
        </w:rPr>
        <w:t xml:space="preserve">تحديد متطلبات الإنتاج</w:t>
      </w:r>
      <w:r>
        <w:t xml:space="preserve">:</w:t>
      </w:r>
      <w:r>
        <w:t xml:space="preserve"> </w:t>
      </w:r>
      <w:r>
        <w:t xml:space="preserve">- يتم تحديد الكميات المطلوبة من المواد الخام ومواد التعبئة والتغليف بناءً على أمر الشغل وخطط الإنتاج.</w:t>
      </w:r>
      <w:r>
        <w:t xml:space="preserve"> </w:t>
      </w:r>
      <w:r>
        <w:t xml:space="preserve">- يتم التأكد من توفر تعليمات العمل الخاصة بكل خط إنتاج ونوع منتج وتحديثها بشكل دوري (مثل Wi-06، Wi-07).</w:t>
      </w:r>
      <w:r>
        <w:t xml:space="preserve"> </w:t>
      </w:r>
      <w:r>
        <w:t xml:space="preserve">- يراجع مدير الإنتاج وقائد فريق سلامة الغذاء خطة HACCP لتحديد الـ CCPs والـ OPRPs ومتطلبات التحكم الخاصة بالدفعة الإنتاجية قبل البدء. (ISO 22000:2018 §8.5.2)</w:t>
      </w:r>
    </w:p>
    <w:bookmarkEnd w:id="17"/>
    <w:bookmarkStart w:id="18" w:name="Xb4064c0f5c86471c12067df2c9139eada92691e"/>
    <w:p>
      <w:pPr>
        <w:pStyle w:val="Heading3"/>
      </w:pPr>
      <w:r>
        <w:t xml:space="preserve">6-2. إعداد الخطوط الإنتاجية (Production Line Setup)</w:t>
      </w:r>
    </w:p>
    <w:p>
      <w:pPr>
        <w:pStyle w:val="FirstParagraph"/>
      </w:pPr>
      <w:r>
        <w:t xml:space="preserve">6-2-1.</w:t>
      </w:r>
      <w:r>
        <w:t xml:space="preserve"> </w:t>
      </w:r>
      <w:r>
        <w:rPr>
          <w:b/>
          <w:bCs/>
        </w:rPr>
        <w:t xml:space="preserve">تجهيز المعدات</w:t>
      </w:r>
      <w:r>
        <w:t xml:space="preserve">:</w:t>
      </w:r>
      <w:r>
        <w:t xml:space="preserve"> </w:t>
      </w:r>
      <w:r>
        <w:t xml:space="preserve">- يتم التأكد من أن جميع المعدات المستخدمة (الغسيل، التعبئة، الإغلاق، التعقيم، كشف المعادن) نظيفة ومعقمة وفقاً لبرامج التنظيف والتعقيم الموثقة (SOP-CIP-0X). (ISO/TS 22002-1 §5)</w:t>
      </w:r>
      <w:r>
        <w:t xml:space="preserve"> </w:t>
      </w:r>
      <w:r>
        <w:t xml:space="preserve">- يتم فحص رؤوس التعبئة والأغطية للتأكد من تركيبها الصحيح وملائمتها لنوع وحجم العبوة المطلوب.</w:t>
      </w:r>
      <w:r>
        <w:t xml:space="preserve"> </w:t>
      </w:r>
      <w:r>
        <w:t xml:space="preserve">- يتم التأكد من ضبط أجهزة الغسيل والتعقيم (مثل وحدات الأوزون، UV) وفقًا لإعدادات المنتج المطلوبة وبناءً على خطة HACCP (OPRPs). (ISO 22000:2018 §8.5.2)</w:t>
      </w:r>
      <w:r>
        <w:t xml:space="preserve"> </w:t>
      </w:r>
      <w:r>
        <w:t xml:space="preserve">6-2-2.</w:t>
      </w:r>
      <w:r>
        <w:t xml:space="preserve"> </w:t>
      </w:r>
      <w:r>
        <w:rPr>
          <w:b/>
          <w:bCs/>
        </w:rPr>
        <w:t xml:space="preserve">استلام المواد الخام ومواد التعبئة</w:t>
      </w:r>
      <w:r>
        <w:t xml:space="preserve">:</w:t>
      </w:r>
      <w:r>
        <w:t xml:space="preserve"> </w:t>
      </w:r>
      <w:r>
        <w:t xml:space="preserve">- يتم صرف المواد الخام ومواد التعبئة والتغليف من مخازن الشركة إلى منطقة الإنتاج بموجب إذن صرف معتمد (نموذج FSP-S-01) مع التحقق من صلاحية الاستخدام وسلامة العبوات. (FSSC 22000 v6 Annex I, Part 2.5.11)</w:t>
      </w:r>
      <w:r>
        <w:t xml:space="preserve"> </w:t>
      </w:r>
      <w:r>
        <w:t xml:space="preserve">- يتم فرز الخامات وتوزيعها على خطوط الإنتاج المحددة لكل دفعة إنتاجية.</w:t>
      </w:r>
      <w:r>
        <w:t xml:space="preserve"> </w:t>
      </w:r>
      <w:r>
        <w:t xml:space="preserve">6-2-3.</w:t>
      </w:r>
      <w:r>
        <w:t xml:space="preserve"> </w:t>
      </w:r>
      <w:r>
        <w:rPr>
          <w:b/>
          <w:bCs/>
        </w:rPr>
        <w:t xml:space="preserve">التأكد من جاهزية الأفراد</w:t>
      </w:r>
      <w:r>
        <w:t xml:space="preserve">: يتم التأكد من التزام جميع العاملين بمتطلبات النظافة الشخصية وارتداء الزي الموحد ومهمات الوقاية الشخصية وفقاً لإجراء النظافة الشخصية (FSP-P-15). (ISO/TS 22002-1 §8)</w:t>
      </w:r>
    </w:p>
    <w:bookmarkEnd w:id="18"/>
    <w:bookmarkStart w:id="19" w:name="Xc3e6d3ab7efabd11ad197f75a898e7148963c68"/>
    <w:p>
      <w:pPr>
        <w:pStyle w:val="Heading3"/>
      </w:pPr>
      <w:r>
        <w:t xml:space="preserve">6-3. عمليات التعبئة والإنتاج (Filling and Production Operations)</w:t>
      </w:r>
    </w:p>
    <w:p>
      <w:pPr>
        <w:pStyle w:val="FirstParagraph"/>
      </w:pPr>
      <w:r>
        <w:t xml:space="preserve">6-3-1.</w:t>
      </w:r>
      <w:r>
        <w:t xml:space="preserve"> </w:t>
      </w:r>
      <w:r>
        <w:rPr>
          <w:b/>
          <w:bCs/>
        </w:rPr>
        <w:t xml:space="preserve">مراقبة جودة المياه</w:t>
      </w:r>
      <w:r>
        <w:t xml:space="preserve">:</w:t>
      </w:r>
      <w:r>
        <w:t xml:space="preserve"> </w:t>
      </w:r>
      <w:r>
        <w:t xml:space="preserve">- يتم إجراء الفحوصات الدورية لجودة المياه الخام والمياه المعالجة في كل مرحلة من مراحل المعالجة للتأكد من مطابقتها للمواصفات القياسية (ES 1589/2007, ES 190, قرار وزير الصحة 458/2007). (ISO 22000:2018 §8.5.2)</w:t>
      </w:r>
      <w:r>
        <w:t xml:space="preserve"> </w:t>
      </w:r>
      <w:r>
        <w:t xml:space="preserve">- يتم تسجيل نتائج هذه الفحوصات في سجل مراقبة جودة المياه (FSP-QM-03).</w:t>
      </w:r>
      <w:r>
        <w:t xml:space="preserve"> </w:t>
      </w:r>
      <w:r>
        <w:t xml:space="preserve">6-3-2.</w:t>
      </w:r>
      <w:r>
        <w:t xml:space="preserve"> </w:t>
      </w:r>
      <w:r>
        <w:rPr>
          <w:b/>
          <w:bCs/>
        </w:rPr>
        <w:t xml:space="preserve">عمليات الغسيل، التعقيم والتعبئة</w:t>
      </w:r>
      <w:r>
        <w:t xml:space="preserve">:</w:t>
      </w:r>
      <w:r>
        <w:t xml:space="preserve"> </w:t>
      </w:r>
      <w:r>
        <w:t xml:space="preserve">- يتم غسل وتعقيم العبوات الفارغة آلياً قبل التعبئة حسب التعليمات التشغيلية. يتم رصد معلمات التعقيم (مثل تركيز الأوزون، جرعة UV، درجة الحرارة) بشكل مستمر وتسجيلها كـ OPRPs أو CCPs. (ISO 22000:2018 §8.5.2, ISO/TS 22002-1 §11)</w:t>
      </w:r>
      <w:r>
        <w:t xml:space="preserve"> </w:t>
      </w:r>
      <w:r>
        <w:t xml:space="preserve">- تتم عملية التعبئة آلياً بالكميات المحددة، ويتم مراقبة دقيقة لمستوى التعبئة والإغلاق للعبوات للتأكد من سلامتها وعدم وجود تسرب.</w:t>
      </w:r>
      <w:r>
        <w:t xml:space="preserve"> </w:t>
      </w:r>
      <w:r>
        <w:t xml:space="preserve">6-3-3.</w:t>
      </w:r>
      <w:r>
        <w:t xml:space="preserve"> </w:t>
      </w:r>
      <w:r>
        <w:rPr>
          <w:b/>
          <w:bCs/>
        </w:rPr>
        <w:t xml:space="preserve">كشف الأجسام الغريبة والملوثات</w:t>
      </w:r>
      <w:r>
        <w:t xml:space="preserve">:</w:t>
      </w:r>
      <w:r>
        <w:t xml:space="preserve"> </w:t>
      </w:r>
      <w:r>
        <w:t xml:space="preserve">- يتم تمرير المنتج النهائي عبر جهاز كشف المعادن أو أي أجهزة كشف أجسام غريبة أخرى لضمان خلوه من أي ملوثات فيزيائية. يتم معايرة الجهاز بشكل دوري والتحقق من فعاليته في بداية كل وردية وعند كل تغيير للمنتج (نموذج FSP-FM-08). (ISO/TS 22002-1 §10)</w:t>
      </w:r>
      <w:r>
        <w:t xml:space="preserve"> </w:t>
      </w:r>
      <w:r>
        <w:t xml:space="preserve">- في حالة اكتشاف أي أجسام غريبة أو عيوب في التعبئة/الإغلاق، يتم عزل المنتج فوراً وتطبيق إجراءات التعامل مع المنتجات غير المطابقة (FSP-QC-07).</w:t>
      </w:r>
    </w:p>
    <w:bookmarkEnd w:id="19"/>
    <w:bookmarkStart w:id="20" w:name="Xc47dc4c562a497682caa12bd8d70ff0b0d161a0"/>
    <w:p>
      <w:pPr>
        <w:pStyle w:val="Heading3"/>
      </w:pPr>
      <w:r>
        <w:t xml:space="preserve">6-4. التعبئة النهائية والتخزين (Final Packaging and Storage)</w:t>
      </w:r>
    </w:p>
    <w:p>
      <w:pPr>
        <w:pStyle w:val="FirstParagraph"/>
      </w:pPr>
      <w:r>
        <w:t xml:space="preserve">6-4-1.</w:t>
      </w:r>
      <w:r>
        <w:t xml:space="preserve"> </w:t>
      </w:r>
      <w:r>
        <w:rPr>
          <w:b/>
          <w:bCs/>
        </w:rPr>
        <w:t xml:space="preserve">تمييز المنتج النهائي</w:t>
      </w:r>
      <w:r>
        <w:t xml:space="preserve">:</w:t>
      </w:r>
      <w:r>
        <w:t xml:space="preserve"> </w:t>
      </w:r>
      <w:r>
        <w:t xml:space="preserve">- يتم وضع بطاقات تعريفية (يافطة) على العبوات أو الطبالي تحتوي على رقم الدفعة (Batch Number)، تاريخ الإنتاج والانتهاء، ونوع المنتج، حجم العبوة.</w:t>
      </w:r>
      <w:r>
        <w:t xml:space="preserve"> </w:t>
      </w:r>
      <w:r>
        <w:t xml:space="preserve">- يتم استخدام بطاقات تمييز لحالة البضاعة (مطابق، معلق، غير مطابق) من قبل قسم الجودة (نموذج FSP-QC-11).</w:t>
      </w:r>
      <w:r>
        <w:t xml:space="preserve"> </w:t>
      </w:r>
      <w:r>
        <w:t xml:space="preserve">6-4-2.</w:t>
      </w:r>
      <w:r>
        <w:t xml:space="preserve"> </w:t>
      </w:r>
      <w:r>
        <w:rPr>
          <w:b/>
          <w:bCs/>
        </w:rPr>
        <w:t xml:space="preserve">ترصيص وتخزين المنتج</w:t>
      </w:r>
      <w:r>
        <w:t xml:space="preserve">:</w:t>
      </w:r>
      <w:r>
        <w:t xml:space="preserve"> </w:t>
      </w:r>
      <w:r>
        <w:t xml:space="preserve">- يتم رص العبوات المعبأة على طبالي بلاستيكية نظيفة، مع مراعاة المعايير الصحية وعدم ملامسة الأرضيات مباشرة.</w:t>
      </w:r>
      <w:r>
        <w:t xml:space="preserve"> </w:t>
      </w:r>
      <w:r>
        <w:t xml:space="preserve">- يتم نقل المنتج النهائي إلى أمين المخزن بموجب إذن إضافة منتج تام الصنع (نموذج FSP-WS-02) بعد التحقق من مطابقته للوائح. (FSSC 22000 v6 Annex I, Part 2.5.11)</w:t>
      </w:r>
      <w:r>
        <w:t xml:space="preserve"> </w:t>
      </w:r>
      <w:r>
        <w:t xml:space="preserve">- يتم تخزين المنتج النهائي في مخازن مهيأة، جافة، نظيفة، وذات تهوية جيدة، مع التحكم في درجات الحرارة والرطوبة لضمان عدم تعرض المنتج للتلف أو التلوث. (ISO/TS 22002-1 §14)</w:t>
      </w:r>
    </w:p>
    <w:bookmarkEnd w:id="20"/>
    <w:bookmarkStart w:id="21" w:name="Xe7deaf2a11b990f77d936509922b044548b6929"/>
    <w:p>
      <w:pPr>
        <w:pStyle w:val="Heading3"/>
      </w:pPr>
      <w:r>
        <w:t xml:space="preserve">6-5. الحفاظ على النظافة والتحكم في التلوث (Hygiene and Contamination Control)</w:t>
      </w:r>
    </w:p>
    <w:p>
      <w:pPr>
        <w:pStyle w:val="FirstParagraph"/>
      </w:pPr>
      <w:r>
        <w:t xml:space="preserve">6-5-1.</w:t>
      </w:r>
      <w:r>
        <w:t xml:space="preserve"> </w:t>
      </w:r>
      <w:r>
        <w:rPr>
          <w:b/>
          <w:bCs/>
        </w:rPr>
        <w:t xml:space="preserve">تنظيف وتعقيم الخطوط الإنتاجية</w:t>
      </w:r>
      <w:r>
        <w:t xml:space="preserve">:</w:t>
      </w:r>
      <w:r>
        <w:t xml:space="preserve"> </w:t>
      </w:r>
      <w:r>
        <w:t xml:space="preserve">- يلتزم مدير الإنتاج/مشرف الإنتاج بالإشراف على عمليات التنظيف والتعقيم اليومية والعميقة للخطوط الإنتاجية والمعدات وفقًا لبرامج التنظيف والتعقيم (SOP-CIP-0X, SOP-COP-0Y).</w:t>
      </w:r>
      <w:r>
        <w:t xml:space="preserve"> </w:t>
      </w:r>
      <w:r>
        <w:t xml:space="preserve">- يتم التأكد من عدم وجود أي مخالفات أو منتجات مخزنة داخل أو خارج الخطوط للمنتج السابق عند التغيير بين المنتجات أو في نهاية الوردية. (ISO/TS 22002-1 §5)</w:t>
      </w:r>
      <w:r>
        <w:t xml:space="preserve"> </w:t>
      </w:r>
      <w:r>
        <w:t xml:space="preserve">- يتم استخدام مواد تنظيف وتعقيم معتمدة لسلامة الغذاء، ويتم تخزينها بأمان.</w:t>
      </w:r>
      <w:r>
        <w:t xml:space="preserve"> </w:t>
      </w:r>
      <w:r>
        <w:t xml:space="preserve">6-5-2.</w:t>
      </w:r>
      <w:r>
        <w:t xml:space="preserve"> </w:t>
      </w:r>
      <w:r>
        <w:rPr>
          <w:b/>
          <w:bCs/>
        </w:rPr>
        <w:t xml:space="preserve">التحكم في الأجسام الغريبة</w:t>
      </w:r>
      <w:r>
        <w:t xml:space="preserve">:</w:t>
      </w:r>
      <w:r>
        <w:t xml:space="preserve"> </w:t>
      </w:r>
      <w:r>
        <w:t xml:space="preserve">- يمنع منعاً باتاً استخدام أو دخول أي أجزاء معدنية مفككة أو زجاجية قابلة للكسر إلى مناطق الإنتاج والتعبئة.</w:t>
      </w:r>
      <w:r>
        <w:t xml:space="preserve"> </w:t>
      </w:r>
      <w:r>
        <w:t xml:space="preserve">- يتم إجراء فحص بصري دوري لخطوط الإنتاج للتأكد من خلوها من أي مواد غريبة.</w:t>
      </w:r>
      <w:r>
        <w:t xml:space="preserve"> </w:t>
      </w:r>
      <w:r>
        <w:t xml:space="preserve">- يتم تحديد واستخدام أدوات صيانة غير قابلة للكسر مصنوعة من مواد معتمدة لسلامة الغذاء. (FSSC 22000 v6 Annex I, Part 2.5.10)</w:t>
      </w:r>
      <w:r>
        <w:t xml:space="preserve"> </w:t>
      </w:r>
      <w:r>
        <w:t xml:space="preserve">6-5-3.</w:t>
      </w:r>
      <w:r>
        <w:t xml:space="preserve"> </w:t>
      </w:r>
      <w:r>
        <w:rPr>
          <w:b/>
          <w:bCs/>
        </w:rPr>
        <w:t xml:space="preserve">إدارة النفايات والمخلفات</w:t>
      </w:r>
      <w:r>
        <w:t xml:space="preserve">: يتم جمع النفايات والتخلص منها بانتظام وبطريقة آمنة وصحية وفقًا لإجراءات إدارة النفايات (FSP-EN-04) لمنع التلوث. (ISO/TS 22002-1 §7)</w:t>
      </w:r>
      <w:r>
        <w:t xml:space="preserve"> </w:t>
      </w:r>
      <w:r>
        <w:t xml:space="preserve">6-5-4.</w:t>
      </w:r>
      <w:r>
        <w:t xml:space="preserve"> </w:t>
      </w:r>
      <w:r>
        <w:rPr>
          <w:b/>
          <w:bCs/>
        </w:rPr>
        <w:t xml:space="preserve">الصيانة الوقائية</w:t>
      </w:r>
      <w:r>
        <w:t xml:space="preserve">: يتم تنفيذ خطة صيانة وقائية مجدولة لجميع المعدات الإنتاجية لمنع الأعطال التي قد تؤثر على سلامة المنتج وجودته (FSP-MN-01). (ISO/TS 22002-1 §10)</w:t>
      </w:r>
    </w:p>
    <w:bookmarkEnd w:id="21"/>
    <w:bookmarkEnd w:id="22"/>
    <w:bookmarkStart w:id="23" w:name="السجلات-والنماذج-المرتبطة"/>
    <w:p>
      <w:pPr>
        <w:pStyle w:val="Heading2"/>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FSP-23-01</w:t>
            </w:r>
          </w:p>
        </w:tc>
        <w:tc>
          <w:tcPr/>
          <w:p>
            <w:pPr>
              <w:pStyle w:val="Compact"/>
            </w:pPr>
            <w:r>
              <w:t xml:space="preserve">نموذج مراقبة يومية الإنتاج</w:t>
            </w:r>
          </w:p>
        </w:tc>
        <w:tc>
          <w:tcPr/>
          <w:p>
            <w:pPr>
              <w:pStyle w:val="Compact"/>
            </w:pPr>
            <w:r>
              <w:t xml:space="preserve">مشرف/مدير الإنتاج</w:t>
            </w:r>
          </w:p>
        </w:tc>
        <w:tc>
          <w:tcPr/>
          <w:p>
            <w:pPr>
              <w:pStyle w:val="Compact"/>
            </w:pPr>
            <w:r>
              <w:t xml:space="preserve">3 سنوات</w:t>
            </w:r>
          </w:p>
        </w:tc>
        <w:tc>
          <w:tcPr/>
          <w:p>
            <w:pPr>
              <w:pStyle w:val="Compact"/>
            </w:pPr>
            <w:r>
              <w:t xml:space="preserve">تاريخ الإنتاج، رقم الدفعة، نوع المنتج، حجم العبوة، الكمية المنتجة، وقت البدء والانتهاء، أي ملاحظات أو انحرافات، أسماء المشغلين.</w:t>
            </w:r>
          </w:p>
        </w:tc>
      </w:tr>
      <w:tr>
        <w:tc>
          <w:tcPr/>
          <w:p>
            <w:pPr>
              <w:pStyle w:val="Compact"/>
            </w:pPr>
            <w:r>
              <w:t xml:space="preserve">FSP-23-02</w:t>
            </w:r>
          </w:p>
        </w:tc>
        <w:tc>
          <w:tcPr/>
          <w:p>
            <w:pPr>
              <w:pStyle w:val="Compact"/>
            </w:pPr>
            <w:r>
              <w:t xml:space="preserve">نموذج تصفية أمر شفل</w:t>
            </w:r>
          </w:p>
        </w:tc>
        <w:tc>
          <w:tcPr/>
          <w:p>
            <w:pPr>
              <w:pStyle w:val="Compact"/>
            </w:pPr>
            <w:r>
              <w:t xml:space="preserve">مدير الإنتاج</w:t>
            </w:r>
          </w:p>
        </w:tc>
        <w:tc>
          <w:tcPr/>
          <w:p>
            <w:pPr>
              <w:pStyle w:val="Compact"/>
            </w:pPr>
            <w:r>
              <w:t xml:space="preserve">3 سنوات</w:t>
            </w:r>
          </w:p>
        </w:tc>
        <w:tc>
          <w:tcPr/>
          <w:p>
            <w:pPr>
              <w:pStyle w:val="Compact"/>
            </w:pPr>
            <w:r>
              <w:t xml:space="preserve">رقم أمر الشغل، الكمية المطلوبة، الكمية المنتجة، الكمية المرفوضة، أسباب الرفض، تواريخ بدء وانتهاء الأمر.</w:t>
            </w:r>
          </w:p>
        </w:tc>
      </w:tr>
      <w:tr>
        <w:tc>
          <w:tcPr/>
          <w:p>
            <w:pPr>
              <w:pStyle w:val="Compact"/>
            </w:pPr>
            <w:r>
              <w:t xml:space="preserve">FSP-23-03</w:t>
            </w:r>
          </w:p>
        </w:tc>
        <w:tc>
          <w:tcPr/>
          <w:p>
            <w:pPr>
              <w:pStyle w:val="Compact"/>
            </w:pPr>
            <w:r>
              <w:t xml:space="preserve">سجل مراقبة جودة المياه</w:t>
            </w:r>
          </w:p>
        </w:tc>
        <w:tc>
          <w:tcPr/>
          <w:p>
            <w:pPr>
              <w:pStyle w:val="Compact"/>
            </w:pPr>
            <w:r>
              <w:t xml:space="preserve">مدير الجودة</w:t>
            </w:r>
          </w:p>
        </w:tc>
        <w:tc>
          <w:tcPr/>
          <w:p>
            <w:pPr>
              <w:pStyle w:val="Compact"/>
            </w:pPr>
            <w:r>
              <w:t xml:space="preserve">5 سنوات</w:t>
            </w:r>
          </w:p>
        </w:tc>
        <w:tc>
          <w:tcPr/>
          <w:p>
            <w:pPr>
              <w:pStyle w:val="Compact"/>
            </w:pPr>
            <w:r>
              <w:t xml:space="preserve">نتائج الفحوصات الفيزيائية والكيميائية والميكروبيولوجية للمياه الخام والمعالجة والنهائية، تاريخ الاختبار، اسم الفاحص، حدود القبول/الرفض.</w:t>
            </w:r>
          </w:p>
        </w:tc>
      </w:tr>
      <w:tr>
        <w:tc>
          <w:tcPr/>
          <w:p>
            <w:pPr>
              <w:pStyle w:val="Compact"/>
            </w:pPr>
            <w:r>
              <w:t xml:space="preserve">FSP-FM-08</w:t>
            </w:r>
          </w:p>
        </w:tc>
        <w:tc>
          <w:tcPr/>
          <w:p>
            <w:pPr>
              <w:pStyle w:val="Compact"/>
            </w:pPr>
            <w:r>
              <w:t xml:space="preserve">سجل التحقق من كاشف المعادن</w:t>
            </w:r>
          </w:p>
        </w:tc>
        <w:tc>
          <w:tcPr/>
          <w:p>
            <w:pPr>
              <w:pStyle w:val="Compact"/>
            </w:pPr>
            <w:r>
              <w:t xml:space="preserve">مسؤول الجودة</w:t>
            </w:r>
          </w:p>
        </w:tc>
        <w:tc>
          <w:tcPr/>
          <w:p>
            <w:pPr>
              <w:pStyle w:val="Compact"/>
            </w:pPr>
            <w:r>
              <w:t xml:space="preserve">3 سنوات</w:t>
            </w:r>
          </w:p>
        </w:tc>
        <w:tc>
          <w:tcPr/>
          <w:p>
            <w:pPr>
              <w:pStyle w:val="Compact"/>
            </w:pPr>
            <w:r>
              <w:t xml:space="preserve">تاريخ التحقق، نتائج اختبار عينات المعايرة (حديد، لا حديدي، ستانلس ستيل)، توقيع المسؤول، الإجراء المتخذ عند عدم المطابقة.</w:t>
            </w:r>
          </w:p>
        </w:tc>
      </w:tr>
      <w:tr>
        <w:tc>
          <w:tcPr/>
          <w:p>
            <w:pPr>
              <w:pStyle w:val="Compact"/>
            </w:pPr>
            <w:r>
              <w:t xml:space="preserve">FSP-OPRP-0X</w:t>
            </w:r>
          </w:p>
        </w:tc>
        <w:tc>
          <w:tcPr/>
          <w:p>
            <w:pPr>
              <w:pStyle w:val="Compact"/>
            </w:pPr>
            <w:r>
              <w:t xml:space="preserve">سجل مراقبة OPRP/CCP</w:t>
            </w:r>
          </w:p>
        </w:tc>
        <w:tc>
          <w:tcPr/>
          <w:p>
            <w:pPr>
              <w:pStyle w:val="Compact"/>
            </w:pPr>
            <w:r>
              <w:t xml:space="preserve">مشرف/مدير الإنتاج</w:t>
            </w:r>
          </w:p>
        </w:tc>
        <w:tc>
          <w:tcPr/>
          <w:p>
            <w:pPr>
              <w:pStyle w:val="Compact"/>
            </w:pPr>
            <w:r>
              <w:t xml:space="preserve">5 سنوات</w:t>
            </w:r>
          </w:p>
        </w:tc>
        <w:tc>
          <w:tcPr/>
          <w:p>
            <w:pPr>
              <w:pStyle w:val="Compact"/>
            </w:pPr>
            <w:r>
              <w:t xml:space="preserve">معلمات المراقبة (مثلاً: تركيز الأوزون، جرعة UV)، القراءات الفعلية، الحدود الحرجة/العملية، الانحرافات، الإجراءات التصحيحية المتخذة، توقيع المسؤول.</w:t>
            </w:r>
          </w:p>
        </w:tc>
      </w:tr>
      <w:tr>
        <w:tc>
          <w:tcPr/>
          <w:p>
            <w:pPr>
              <w:pStyle w:val="Compact"/>
            </w:pPr>
            <w:r>
              <w:t xml:space="preserve">FSP-WS-02</w:t>
            </w:r>
          </w:p>
        </w:tc>
        <w:tc>
          <w:tcPr/>
          <w:p>
            <w:pPr>
              <w:pStyle w:val="Compact"/>
            </w:pPr>
            <w:r>
              <w:t xml:space="preserve">إذن إضافة منتج تام الصنع للمخزن</w:t>
            </w:r>
          </w:p>
        </w:tc>
        <w:tc>
          <w:tcPr/>
          <w:p>
            <w:pPr>
              <w:pStyle w:val="Compact"/>
            </w:pPr>
            <w:r>
              <w:t xml:space="preserve">أمين المخزن</w:t>
            </w:r>
          </w:p>
        </w:tc>
        <w:tc>
          <w:tcPr/>
          <w:p>
            <w:pPr>
              <w:pStyle w:val="Compact"/>
            </w:pPr>
            <w:r>
              <w:t xml:space="preserve">3 سنوات</w:t>
            </w:r>
          </w:p>
        </w:tc>
        <w:tc>
          <w:tcPr/>
          <w:p>
            <w:pPr>
              <w:pStyle w:val="Compact"/>
            </w:pPr>
            <w:r>
              <w:t xml:space="preserve">رقم إذن الإضافة، تاريخ الاستلام، رقم الدفعة، نوع المنتج، الكمية المستلمة، حالة المنتج، توقيع المستلم والمسلم.</w:t>
            </w:r>
          </w:p>
        </w:tc>
      </w:tr>
      <w:tr>
        <w:tc>
          <w:tcPr/>
          <w:p>
            <w:pPr>
              <w:pStyle w:val="Compact"/>
            </w:pPr>
            <w:r>
              <w:t xml:space="preserve">SOP-CIP-0X</w:t>
            </w:r>
          </w:p>
        </w:tc>
        <w:tc>
          <w:tcPr/>
          <w:p>
            <w:pPr>
              <w:pStyle w:val="Compact"/>
            </w:pPr>
            <w:r>
              <w:t xml:space="preserve">تعليمات تشغيل قياسية لـ CIP/تنظيف الخطوط</w:t>
            </w:r>
          </w:p>
        </w:tc>
        <w:tc>
          <w:tcPr/>
          <w:p>
            <w:pPr>
              <w:pStyle w:val="Compact"/>
            </w:pPr>
            <w:r>
              <w:t xml:space="preserve">مشرف الإنتاج</w:t>
            </w:r>
          </w:p>
        </w:tc>
        <w:tc>
          <w:tcPr/>
          <w:p>
            <w:pPr>
              <w:pStyle w:val="Compact"/>
            </w:pPr>
            <w:r>
              <w:t xml:space="preserve">5 سنوات</w:t>
            </w:r>
          </w:p>
        </w:tc>
        <w:tc>
          <w:tcPr/>
          <w:p>
            <w:pPr>
              <w:pStyle w:val="Compact"/>
            </w:pPr>
            <w:r>
              <w:t xml:space="preserve">الخطوات التفصيلية للتنظيف والتعقيم، المواد المستخدمة وتركيزاتها، درجات الحرارة، أوقات التلامس، المسؤوليات، كيفية التحقق.</w:t>
            </w:r>
          </w:p>
        </w:tc>
      </w:tr>
      <w:tr>
        <w:tc>
          <w:tcPr/>
          <w:p>
            <w:pPr>
              <w:pStyle w:val="Compact"/>
            </w:pPr>
            <w:r>
              <w:t xml:space="preserve">FSP-QC-11</w:t>
            </w:r>
          </w:p>
        </w:tc>
        <w:tc>
          <w:tcPr/>
          <w:p>
            <w:pPr>
              <w:pStyle w:val="Compact"/>
            </w:pPr>
            <w:r>
              <w:t xml:space="preserve">بطاقة تمييز حالة المنتج</w:t>
            </w:r>
          </w:p>
        </w:tc>
        <w:tc>
          <w:tcPr/>
          <w:p>
            <w:pPr>
              <w:pStyle w:val="Compact"/>
            </w:pPr>
            <w:r>
              <w:t xml:space="preserve">مشرف الجودة</w:t>
            </w:r>
          </w:p>
        </w:tc>
        <w:tc>
          <w:tcPr/>
          <w:p>
            <w:pPr>
              <w:pStyle w:val="Compact"/>
            </w:pPr>
            <w:r>
              <w:t xml:space="preserve">3 سنوات (من تاريخ الإنتاج)</w:t>
            </w:r>
          </w:p>
        </w:tc>
        <w:tc>
          <w:tcPr/>
          <w:p>
            <w:pPr>
              <w:pStyle w:val="Compact"/>
            </w:pPr>
            <w:r>
              <w:t xml:space="preserve">رقم الدفعة، تاريخ الإنتاج، حالة المنتج (مطابق، معلق، غير مطابق)، الأسباب (إذا كان غير مطابق)، قرار التخلص أو إعادة المعالجة.</w:t>
            </w:r>
          </w:p>
        </w:tc>
      </w:tr>
    </w:tbl>
    <w:bookmarkEnd w:id="23"/>
    <w:bookmarkStart w:id="24" w:name="معايير-قياس-فاعلية-الأداء-kpis"/>
    <w:p>
      <w:pPr>
        <w:pStyle w:val="Heading2"/>
      </w:pPr>
      <w:r>
        <w:t xml:space="preserve">8. معايير قياس فاعلية الأداء (KPIs)</w:t>
      </w:r>
    </w:p>
    <w:p>
      <w:pPr>
        <w:pStyle w:val="Compact"/>
        <w:numPr>
          <w:ilvl w:val="0"/>
          <w:numId w:val="1003"/>
        </w:numPr>
      </w:pPr>
      <w:r>
        <w:rPr>
          <w:b/>
          <w:bCs/>
        </w:rPr>
        <w:t xml:space="preserve">نسبة تحقيق خطة الإنتاج مع السلامة</w:t>
      </w:r>
      <w:r>
        <w:t xml:space="preserve">: (عدد الدفعات المنتجة المطابقة لسلامة الغذاء / إجمالي عدد الدفعات المخطط لها) * 100%. (ISO 22000:2018 §6.2.2)</w:t>
      </w:r>
    </w:p>
    <w:p>
      <w:pPr>
        <w:pStyle w:val="Compact"/>
        <w:numPr>
          <w:ilvl w:val="0"/>
          <w:numId w:val="1003"/>
        </w:numPr>
      </w:pPr>
      <w:r>
        <w:rPr>
          <w:b/>
          <w:bCs/>
        </w:rPr>
        <w:t xml:space="preserve">معدل عدم المطابقة لـ CCPs/OPRPs</w:t>
      </w:r>
      <w:r>
        <w:t xml:space="preserve">: (عدد حالات عدم المطابقة لـ CCPs أو OPRPs / إجمالي عدد نقاط المراقبة) * 100%. يجب ألا يتجاوز 1%. (ISO 22000:2018 §9.1.1)</w:t>
      </w:r>
    </w:p>
    <w:p>
      <w:pPr>
        <w:pStyle w:val="Compact"/>
        <w:numPr>
          <w:ilvl w:val="0"/>
          <w:numId w:val="1003"/>
        </w:numPr>
      </w:pPr>
      <w:r>
        <w:rPr>
          <w:b/>
          <w:bCs/>
        </w:rPr>
        <w:t xml:space="preserve">نسبة شكاوى العملاء المتعلقة بسلامة المنتج</w:t>
      </w:r>
      <w:r>
        <w:t xml:space="preserve">: (عدد شكاوى سلامة الغذاء / إجمالي حجم الإنتاج) * 100%. الهدف &lt; 0.01%. (ISO 22000:2018 §9.1.1)</w:t>
      </w:r>
    </w:p>
    <w:p>
      <w:pPr>
        <w:pStyle w:val="Compact"/>
        <w:numPr>
          <w:ilvl w:val="0"/>
          <w:numId w:val="1003"/>
        </w:numPr>
      </w:pPr>
      <w:r>
        <w:rPr>
          <w:b/>
          <w:bCs/>
        </w:rPr>
        <w:t xml:space="preserve">عدد حالات اكتشاف أجسام غريبة</w:t>
      </w:r>
      <w:r>
        <w:t xml:space="preserve"> </w:t>
      </w:r>
      <w:r>
        <w:t xml:space="preserve">(في المنتج النهائي): يجب أن يكون صفرًا. (FSSC 22000 v6 Annex I, Part 2.5.10)</w:t>
      </w:r>
    </w:p>
    <w:p>
      <w:pPr>
        <w:pStyle w:val="Compact"/>
        <w:numPr>
          <w:ilvl w:val="0"/>
          <w:numId w:val="1003"/>
        </w:numPr>
      </w:pPr>
      <w:r>
        <w:rPr>
          <w:b/>
          <w:bCs/>
        </w:rPr>
        <w:t xml:space="preserve">نتائج التحاليل الميكروبيولوجية للمنتج النهائي</w:t>
      </w:r>
      <w:r>
        <w:t xml:space="preserve">: نسبة الدفعات المطابقة للمواصفات القياسية (ES 1589/2007, ES 190). يجب أن تكون 100%. (NFSA قرار 6/2023 المادة 11)</w:t>
      </w:r>
    </w:p>
    <w:p>
      <w:r>
        <w:pict>
          <v:rect style="width:0;height:1.5pt" o:hralign="center" o:hrstd="t" o:hr="t"/>
        </w:pict>
      </w:r>
    </w:p>
    <w:bookmarkEnd w:id="24"/>
    <w:bookmarkStart w:id="25"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5"/>
    <w:bookmarkStart w:id="26"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6"/>
    <w:bookmarkStart w:id="27"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23 - FSP-23</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2026-06-28T07:02:31Z</dcterms:created>
  <dcterms:modified xsi:type="dcterms:W3CDTF">2026-06-28T07:02:31Z</dcterms:modified>
</cp:coreProperties>
</file>

<file path=docProps/custom.xml><?xml version="1.0" encoding="utf-8"?>
<Properties xmlns="http://schemas.openxmlformats.org/officeDocument/2006/custom-properties" xmlns:vt="http://schemas.openxmlformats.org/officeDocument/2006/docPropsVTypes"/>
</file>