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حورس-لإنتاج-وتعبئة-المياه-الطبيعية"/>
    <w:p>
      <w:pPr>
        <w:pStyle w:val="Heading1"/>
      </w:pPr>
      <w:r>
        <w:t xml:space="preserve">شركة حورس لإنتاج وتعبئة المياه الطبيعية</w:t>
      </w:r>
    </w:p>
    <w:bookmarkStart w:id="9" w:name="horus-natural-water-co."/>
    <w:p>
      <w:pPr>
        <w:pStyle w:val="Heading2"/>
      </w:pPr>
      <w:r>
        <w:t xml:space="preserve">Horus Natural Water Co.</w:t>
      </w:r>
    </w:p>
    <w:p>
      <w:pPr>
        <w:pStyle w:val="FirstParagraph"/>
      </w:pPr>
    </w:p>
    <w:bookmarkEnd w:id="9"/>
    <w:bookmarkEnd w:id="10"/>
    <w:bookmarkStart w:id="11" w:name="إدارة-المنتجات-والمواد-غير-المطابقة"/>
    <w:p>
      <w:pPr>
        <w:pStyle w:val="Heading1"/>
      </w:pPr>
      <w:r>
        <w:t xml:space="preserve">إدارة المنتجات والمواد غير المطابقة</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إدارة المنتجات والمواد غير المطابقة</w:t>
            </w:r>
          </w:p>
        </w:tc>
      </w:tr>
      <w:tr>
        <w:tc>
          <w:tcPr/>
          <w:p>
            <w:pPr>
              <w:pStyle w:val="Compact"/>
            </w:pPr>
            <w:r>
              <w:rPr>
                <w:b/>
                <w:bCs/>
              </w:rPr>
              <w:t xml:space="preserve">كود الوثيقة</w:t>
            </w:r>
          </w:p>
        </w:tc>
        <w:tc>
          <w:tcPr/>
          <w:p>
            <w:pPr>
              <w:pStyle w:val="Compact"/>
            </w:pPr>
            <w:r>
              <w:t xml:space="preserve">FSP-14</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X1879a787364d03e966afd2e79a39169a7c9dbe8"/>
    <w:p>
      <w:pPr>
        <w:pStyle w:val="Heading1"/>
      </w:pPr>
      <w:r>
        <w:t xml:space="preserve">الإجراء رقم 14: إدارة المنتجات والمواد غير المطابقة</w:t>
      </w:r>
    </w:p>
    <w:bookmarkStart w:id="12" w:name="الغرض-purpose"/>
    <w:p>
      <w:pPr>
        <w:pStyle w:val="Heading3"/>
      </w:pPr>
      <w:r>
        <w:t xml:space="preserve">1. الغرض (Purpose)</w:t>
      </w:r>
    </w:p>
    <w:p>
      <w:pPr>
        <w:pStyle w:val="FirstParagraph"/>
      </w:pPr>
      <w:r>
        <w:t xml:space="preserve">يهدف هذا الإجراء إلى تحديد وتوثيق المتطلبات والمسؤوليات والإجراءات اللازمة للتحكم في المنتجات والمواد غير المطابقة، سواء كانت مواد خام، مواد تغليف، منتجات تحت التشغيل، أو منتجات نهائية، لضمان منع استخدامها أو تسويقها عن طريق الخطأ، وتقييم طبيعة عدم المطابقة، وتحديد الإجراءات التصحيحية اللازمة، واتخاذ القرارات المناسبة بشأنها بما يضمن سلامة وجودة المنتج وفقاً للمتطلبات التشريعية والتنظيمية ومعايير سلامة الغذاء.</w:t>
      </w:r>
    </w:p>
    <w:bookmarkEnd w:id="12"/>
    <w:bookmarkStart w:id="13" w:name="النطاق-scope"/>
    <w:p>
      <w:pPr>
        <w:pStyle w:val="Heading3"/>
      </w:pPr>
      <w:r>
        <w:t xml:space="preserve">2. النطاق (Scope)</w:t>
      </w:r>
    </w:p>
    <w:p>
      <w:pPr>
        <w:pStyle w:val="FirstParagraph"/>
      </w:pPr>
      <w:r>
        <w:t xml:space="preserve">ينطبق هذا الإجراء على جميع المنتجات والمواد التي يتم استلامها، تخزينها، معالجتها، أو إنتاجها في منشأة حورس لتعبئة المياه الطبيعية، والتي تُشتبه في عدم مطابقتها للمواصفات المحددة أو المتطلبات القانونية والتنظيمية أو معايير سلامة الغذاء، في جميع مراحل سلسلة الغذاء داخل المنشأة وخارجها (في حالات السحب والاسترجاع).</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المنتج غير المطابق (Nonconforming Product)</w:t>
      </w:r>
      <w:r>
        <w:t xml:space="preserve">: أي مادة خام، مادة تغليف، منتج تحت التشغيل، أو منتج نهائي لا يفي بالمتطلبات المحددة في المواصفات القياسية، المتطلبات القانونية والتنظيمية، أو معايير سلامة الغذاء.</w:t>
      </w:r>
    </w:p>
    <w:p>
      <w:pPr>
        <w:pStyle w:val="Compact"/>
        <w:numPr>
          <w:ilvl w:val="0"/>
          <w:numId w:val="1001"/>
        </w:numPr>
      </w:pPr>
      <w:r>
        <w:rPr>
          <w:b/>
          <w:bCs/>
        </w:rPr>
        <w:t xml:space="preserve">الحجز (Isolation/Quarantine)</w:t>
      </w:r>
      <w:r>
        <w:t xml:space="preserve">: عملية عزل مادي للمنتج أو المادة غير المطابقة وتوسيمها لمنع استخدامها أو معالجتها أو توزيعها عن طريق الخطأ أو دون تصريح.</w:t>
      </w:r>
    </w:p>
    <w:p>
      <w:pPr>
        <w:pStyle w:val="Compact"/>
        <w:numPr>
          <w:ilvl w:val="0"/>
          <w:numId w:val="1001"/>
        </w:numPr>
      </w:pPr>
      <w:r>
        <w:rPr>
          <w:b/>
          <w:bCs/>
        </w:rPr>
        <w:t xml:space="preserve">الإفراج (Release)</w:t>
      </w:r>
      <w:r>
        <w:t xml:space="preserve">: قرار يسمح للمنتج أو المادة غير المطابقة، بعد معالجتها أو تصحيحها، بالدخول إلى العملية التالية أو السوق.</w:t>
      </w:r>
    </w:p>
    <w:p>
      <w:pPr>
        <w:pStyle w:val="Compact"/>
        <w:numPr>
          <w:ilvl w:val="0"/>
          <w:numId w:val="1001"/>
        </w:numPr>
      </w:pPr>
      <w:r>
        <w:rPr>
          <w:b/>
          <w:bCs/>
        </w:rPr>
        <w:t xml:space="preserve">إعادة المعالجة (Rework)</w:t>
      </w:r>
      <w:r>
        <w:t xml:space="preserve">: عملية يتم بموجبها إعادة معالجة المنتج غير المطابق ليصبح مطابقاً للمواصفات.</w:t>
      </w:r>
    </w:p>
    <w:p>
      <w:pPr>
        <w:pStyle w:val="Compact"/>
        <w:numPr>
          <w:ilvl w:val="0"/>
          <w:numId w:val="1001"/>
        </w:numPr>
      </w:pPr>
      <w:r>
        <w:rPr>
          <w:b/>
          <w:bCs/>
        </w:rPr>
        <w:t xml:space="preserve">الإعدام (Destruction)</w:t>
      </w:r>
      <w:r>
        <w:t xml:space="preserve">: عملية التخلص من المنتج أو المادة غير المطابقة بطريقة تضمن عدم استخدامها مطلقاً وسهولة تتبعها، بما يتماشى مع اللوائح البيئية والصحية.</w:t>
      </w:r>
    </w:p>
    <w:p>
      <w:pPr>
        <w:pStyle w:val="Compact"/>
        <w:numPr>
          <w:ilvl w:val="0"/>
          <w:numId w:val="1001"/>
        </w:numPr>
      </w:pPr>
      <w:r>
        <w:rPr>
          <w:b/>
          <w:bCs/>
        </w:rPr>
        <w:t xml:space="preserve">السحب (Recall)</w:t>
      </w:r>
      <w:r>
        <w:t xml:space="preserve">: إجراء يتم اتخاذه لإزالة منتج غير آمن من سلسلة التوريد بعد توزيعه أو بيعه للمستهلكين، أو عندما يكون المنتج خارج نطاق سيطرة الشركة.</w:t>
      </w:r>
    </w:p>
    <w:p>
      <w:pPr>
        <w:pStyle w:val="Compact"/>
        <w:numPr>
          <w:ilvl w:val="0"/>
          <w:numId w:val="1001"/>
        </w:numPr>
      </w:pPr>
      <w:r>
        <w:rPr>
          <w:b/>
          <w:bCs/>
        </w:rPr>
        <w:t xml:space="preserve">الاسترجاع (Withdrawal)</w:t>
      </w:r>
      <w:r>
        <w:t xml:space="preserve">: إجراء يتم اتخاذه لإزالة منتج غير آمن من سلسلة التوريد قبل توزيعه أو بيعه للمستهلكين، أو عندما يكون المنتج داخل نطاق سيطرة الشركة.</w:t>
      </w:r>
    </w:p>
    <w:p>
      <w:pPr>
        <w:pStyle w:val="Compact"/>
        <w:numPr>
          <w:ilvl w:val="0"/>
          <w:numId w:val="1001"/>
        </w:numPr>
      </w:pPr>
      <w:r>
        <w:rPr>
          <w:b/>
          <w:bCs/>
        </w:rPr>
        <w:t xml:space="preserve">فريق سلامة الغذاء (Food Safety Team - FST)</w:t>
      </w:r>
      <w:r>
        <w:t xml:space="preserve">: الفريق المسؤول عن تطوير وتطبيق وصيانة وتحديث نظام إدارة سلامة الغذاء.</w:t>
      </w:r>
    </w:p>
    <w:p>
      <w:pPr>
        <w:pStyle w:val="Compact"/>
        <w:numPr>
          <w:ilvl w:val="0"/>
          <w:numId w:val="1001"/>
        </w:numPr>
      </w:pPr>
      <w:r>
        <w:rPr>
          <w:b/>
          <w:bCs/>
        </w:rPr>
        <w:t xml:space="preserve">رئيس فريق سلامة الغذاء (Food Safety Team Leader - FSTL)</w:t>
      </w:r>
      <w:r>
        <w:t xml:space="preserve">: الشخص المعين من الإدارة العليا ويتحمل المسؤولية النهائية عن نظام إدارة سلامة الغذاء.</w:t>
      </w:r>
    </w:p>
    <w:p>
      <w:pPr>
        <w:pStyle w:val="Compact"/>
        <w:numPr>
          <w:ilvl w:val="0"/>
          <w:numId w:val="1001"/>
        </w:numPr>
      </w:pPr>
      <w:r>
        <w:rPr>
          <w:b/>
          <w:bCs/>
        </w:rPr>
        <w:t xml:space="preserve">NC</w:t>
      </w:r>
      <w:r>
        <w:t xml:space="preserve">: عدم مطابقة (Nonconformity).</w:t>
      </w:r>
    </w:p>
    <w:bookmarkEnd w:id="14"/>
    <w:bookmarkStart w:id="15" w:name="المراجع-references"/>
    <w:p>
      <w:pPr>
        <w:pStyle w:val="Heading3"/>
      </w:pPr>
      <w:r>
        <w:t xml:space="preserve">4. المراجع (References)</w:t>
      </w:r>
    </w:p>
    <w:p>
      <w:pPr>
        <w:pStyle w:val="Compact"/>
        <w:numPr>
          <w:ilvl w:val="0"/>
          <w:numId w:val="1002"/>
        </w:numPr>
      </w:pPr>
      <w:r>
        <w:rPr>
          <w:b/>
          <w:bCs/>
        </w:rPr>
        <w:t xml:space="preserve">ISO 22000:2018</w:t>
      </w:r>
      <w:r>
        <w:t xml:space="preserve">:</w:t>
      </w:r>
    </w:p>
    <w:p>
      <w:pPr>
        <w:pStyle w:val="Compact"/>
        <w:numPr>
          <w:ilvl w:val="1"/>
          <w:numId w:val="1003"/>
        </w:numPr>
      </w:pPr>
      <w:r>
        <w:t xml:space="preserve">§7.5: معلومات موثقة</w:t>
      </w:r>
    </w:p>
    <w:p>
      <w:pPr>
        <w:pStyle w:val="Compact"/>
        <w:numPr>
          <w:ilvl w:val="1"/>
          <w:numId w:val="1003"/>
        </w:numPr>
      </w:pPr>
      <w:r>
        <w:t xml:space="preserve">§8.9: التحكم في المنتجات والمواد غير المطابقة</w:t>
      </w:r>
    </w:p>
    <w:p>
      <w:pPr>
        <w:pStyle w:val="Compact"/>
        <w:numPr>
          <w:ilvl w:val="1"/>
          <w:numId w:val="1003"/>
        </w:numPr>
      </w:pPr>
      <w:r>
        <w:t xml:space="preserve">§10.2: عدم المطابقة والإجراء التصحيحي</w:t>
      </w:r>
    </w:p>
    <w:p>
      <w:pPr>
        <w:pStyle w:val="Compact"/>
        <w:numPr>
          <w:ilvl w:val="0"/>
          <w:numId w:val="1002"/>
        </w:numPr>
      </w:pPr>
      <w:r>
        <w:rPr>
          <w:b/>
          <w:bCs/>
        </w:rPr>
        <w:t xml:space="preserve">ISO 9001:2015</w:t>
      </w:r>
      <w:r>
        <w:t xml:space="preserve">:</w:t>
      </w:r>
    </w:p>
    <w:p>
      <w:pPr>
        <w:pStyle w:val="Compact"/>
        <w:numPr>
          <w:ilvl w:val="1"/>
          <w:numId w:val="1004"/>
        </w:numPr>
      </w:pPr>
      <w:r>
        <w:t xml:space="preserve">§8.7: التحكم في المخرجات غير المطابقة</w:t>
      </w:r>
    </w:p>
    <w:p>
      <w:pPr>
        <w:pStyle w:val="Compact"/>
        <w:numPr>
          <w:ilvl w:val="1"/>
          <w:numId w:val="1004"/>
        </w:numPr>
      </w:pPr>
      <w:r>
        <w:t xml:space="preserve">§10.2: عدم المطابقة والإجراء التصحيحي</w:t>
      </w:r>
    </w:p>
    <w:p>
      <w:pPr>
        <w:pStyle w:val="Compact"/>
        <w:numPr>
          <w:ilvl w:val="0"/>
          <w:numId w:val="1002"/>
        </w:numPr>
      </w:pPr>
      <w:r>
        <w:rPr>
          <w:b/>
          <w:bCs/>
        </w:rPr>
        <w:t xml:space="preserve">FSSC 22000 v6</w:t>
      </w:r>
      <w:r>
        <w:t xml:space="preserve">:</w:t>
      </w:r>
    </w:p>
    <w:p>
      <w:pPr>
        <w:pStyle w:val="Compact"/>
        <w:numPr>
          <w:ilvl w:val="1"/>
          <w:numId w:val="1005"/>
        </w:numPr>
      </w:pPr>
      <w:r>
        <w:t xml:space="preserve">Part 2 §2.5.6: إدارة المواد المشتراة</w:t>
      </w:r>
    </w:p>
    <w:p>
      <w:pPr>
        <w:pStyle w:val="Compact"/>
        <w:numPr>
          <w:ilvl w:val="1"/>
          <w:numId w:val="1005"/>
        </w:numPr>
      </w:pPr>
      <w:r>
        <w:t xml:space="preserve">Part 2 §2.5.7: الإفراج عن المعدات والتحقق منها (عند وجود صلة)</w:t>
      </w:r>
    </w:p>
    <w:p>
      <w:pPr>
        <w:pStyle w:val="Compact"/>
        <w:numPr>
          <w:ilvl w:val="1"/>
          <w:numId w:val="1005"/>
        </w:numPr>
      </w:pPr>
      <w:r>
        <w:t xml:space="preserve">Part 2 §2.5.10: إدارة المواد غير المطابقة</w:t>
      </w:r>
    </w:p>
    <w:p>
      <w:pPr>
        <w:pStyle w:val="Compact"/>
        <w:numPr>
          <w:ilvl w:val="1"/>
          <w:numId w:val="1005"/>
        </w:numPr>
      </w:pPr>
      <w:r>
        <w:t xml:space="preserve">Part 2 §2.5.11: سحب المنتج (Product Recall)</w:t>
      </w:r>
    </w:p>
    <w:p>
      <w:pPr>
        <w:pStyle w:val="Compact"/>
        <w:numPr>
          <w:ilvl w:val="0"/>
          <w:numId w:val="1002"/>
        </w:numPr>
      </w:pPr>
      <w:r>
        <w:rPr>
          <w:b/>
          <w:bCs/>
        </w:rPr>
        <w:t xml:space="preserve">Codex Alimentarius CAC/RCP 1-1969</w:t>
      </w:r>
      <w:r>
        <w:t xml:space="preserve">:</w:t>
      </w:r>
    </w:p>
    <w:p>
      <w:pPr>
        <w:pStyle w:val="Compact"/>
        <w:numPr>
          <w:ilvl w:val="1"/>
          <w:numId w:val="1006"/>
        </w:numPr>
      </w:pPr>
      <w:r>
        <w:t xml:space="preserve">المبادئ 9 و 10: إجراءات تصحيحية، توثيق وحفظ السجلات</w:t>
      </w:r>
    </w:p>
    <w:p>
      <w:pPr>
        <w:pStyle w:val="Compact"/>
        <w:numPr>
          <w:ilvl w:val="0"/>
          <w:numId w:val="1002"/>
        </w:numPr>
      </w:pPr>
      <w:r>
        <w:rPr>
          <w:b/>
          <w:bCs/>
        </w:rPr>
        <w:t xml:space="preserve">المواصفة القياسية المصرية ES 1589/2007</w:t>
      </w:r>
      <w:r>
        <w:t xml:space="preserve">: مياه الشرب المعبأة</w:t>
      </w:r>
    </w:p>
    <w:p>
      <w:pPr>
        <w:pStyle w:val="Compact"/>
        <w:numPr>
          <w:ilvl w:val="0"/>
          <w:numId w:val="1002"/>
        </w:numPr>
      </w:pPr>
      <w:r>
        <w:rPr>
          <w:b/>
          <w:bCs/>
        </w:rPr>
        <w:t xml:space="preserve">المواصفة القياسية المصرية ES 190</w:t>
      </w:r>
      <w:r>
        <w:t xml:space="preserve">: مياه معدنية طبيعية</w:t>
      </w:r>
    </w:p>
    <w:p>
      <w:pPr>
        <w:pStyle w:val="Compact"/>
        <w:numPr>
          <w:ilvl w:val="0"/>
          <w:numId w:val="1002"/>
        </w:numPr>
      </w:pPr>
      <w:r>
        <w:rPr>
          <w:b/>
          <w:bCs/>
        </w:rPr>
        <w:t xml:space="preserve">لائحة الهيئة القومية لسلامة الغذاء (NFSA)</w:t>
      </w:r>
      <w:r>
        <w:t xml:space="preserve">: قرار 6/2023 وتعديلاته، خاصة المواد المتعلقة بسحب وإعدام المنتجات غير الآمنة.</w:t>
      </w:r>
    </w:p>
    <w:p>
      <w:pPr>
        <w:pStyle w:val="Compact"/>
        <w:numPr>
          <w:ilvl w:val="0"/>
          <w:numId w:val="1002"/>
        </w:numPr>
      </w:pPr>
      <w:r>
        <w:rPr>
          <w:b/>
          <w:bCs/>
        </w:rPr>
        <w:t xml:space="preserve">قرار وزير الصحة رقم 458/2007</w:t>
      </w:r>
      <w:r>
        <w:t xml:space="preserve">: ولائحته التنفيذية بشأن متطلبات مياه الشرب المعبأة والمياه المعدنية الطبيعية.</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الدور</w:t>
            </w:r>
          </w:p>
        </w:tc>
        <w:tc>
          <w:tcPr/>
          <w:p>
            <w:pPr>
              <w:pStyle w:val="Compact"/>
            </w:pPr>
            <w:r>
              <w:t xml:space="preserve">مسؤول (R)</w:t>
            </w:r>
          </w:p>
        </w:tc>
        <w:tc>
          <w:tcPr/>
          <w:p>
            <w:pPr>
              <w:pStyle w:val="Compact"/>
            </w:pPr>
            <w:r>
              <w:t xml:space="preserve">مسؤول عن المساءلة (A)</w:t>
            </w:r>
          </w:p>
        </w:tc>
        <w:tc>
          <w:tcPr/>
          <w:p>
            <w:pPr>
              <w:pStyle w:val="Compact"/>
            </w:pPr>
            <w:r>
              <w:t xml:space="preserve">مستشار (C)</w:t>
            </w:r>
          </w:p>
        </w:tc>
        <w:tc>
          <w:tcPr/>
          <w:p>
            <w:pPr>
              <w:pStyle w:val="Compact"/>
            </w:pPr>
            <w:r>
              <w:t xml:space="preserve">مطلع (I)</w:t>
            </w:r>
          </w:p>
        </w:tc>
      </w:tr>
      <w:tr>
        <w:tc>
          <w:tcPr/>
          <w:p>
            <w:pPr>
              <w:pStyle w:val="Compact"/>
            </w:pPr>
            <w:r>
              <w:t xml:space="preserve">رئيس فريق سلامة الغذاء</w:t>
            </w:r>
          </w:p>
        </w:tc>
        <w:tc>
          <w:tcPr/>
          <w:p>
            <w:pPr>
              <w:pStyle w:val="Compact"/>
            </w:pPr>
            <w:r>
              <w:t xml:space="preserve">تحديد الإجراءات التصحيحية، توجيه FST، تقييم الإفراج</w:t>
            </w:r>
          </w:p>
        </w:tc>
        <w:tc>
          <w:tcPr/>
          <w:p>
            <w:pPr>
              <w:pStyle w:val="Compact"/>
            </w:pPr>
            <w:r>
              <w:t xml:space="preserve">الإدارة العليا</w:t>
            </w:r>
          </w:p>
        </w:tc>
        <w:tc>
          <w:tcPr/>
          <w:p>
            <w:pPr>
              <w:pStyle w:val="Compact"/>
            </w:pPr>
            <w:r>
              <w:t xml:space="preserve">الجودة، الإنتاج، المبيعات</w:t>
            </w:r>
          </w:p>
        </w:tc>
        <w:tc>
          <w:tcPr/>
          <w:p>
            <w:pPr>
              <w:pStyle w:val="Compact"/>
            </w:pPr>
            <w:r>
              <w:t xml:space="preserve">الجميع</w:t>
            </w:r>
          </w:p>
        </w:tc>
      </w:tr>
      <w:tr>
        <w:tc>
          <w:tcPr/>
          <w:p>
            <w:pPr>
              <w:pStyle w:val="Compact"/>
            </w:pPr>
            <w:r>
              <w:t xml:space="preserve">فريق سلامة الغذاء</w:t>
            </w:r>
          </w:p>
        </w:tc>
        <w:tc>
          <w:tcPr/>
          <w:p>
            <w:pPr>
              <w:pStyle w:val="Compact"/>
            </w:pPr>
            <w:r>
              <w:t xml:space="preserve">تحديد أسباب عدم المطابقة، تقييم المخاطر، تنفيذ الإجراءات</w:t>
            </w:r>
          </w:p>
        </w:tc>
        <w:tc>
          <w:tcPr/>
          <w:p>
            <w:pPr>
              <w:pStyle w:val="Compact"/>
            </w:pPr>
            <w:r>
              <w:t xml:space="preserve">رئيس فريق سلامة الغذاء</w:t>
            </w:r>
          </w:p>
        </w:tc>
        <w:tc>
          <w:tcPr/>
          <w:p>
            <w:pPr>
              <w:pStyle w:val="Compact"/>
            </w:pPr>
            <w:r>
              <w:t xml:space="preserve">الجودة، الإنتاج</w:t>
            </w:r>
          </w:p>
        </w:tc>
        <w:tc>
          <w:tcPr/>
          <w:p>
            <w:pPr>
              <w:pStyle w:val="Compact"/>
            </w:pPr>
            <w:r>
              <w:t xml:space="preserve">الجميع</w:t>
            </w:r>
          </w:p>
        </w:tc>
      </w:tr>
      <w:tr>
        <w:tc>
          <w:tcPr/>
          <w:p>
            <w:pPr>
              <w:pStyle w:val="Compact"/>
            </w:pPr>
            <w:r>
              <w:t xml:space="preserve">مدير الجودة</w:t>
            </w:r>
          </w:p>
        </w:tc>
        <w:tc>
          <w:tcPr/>
          <w:p>
            <w:pPr>
              <w:pStyle w:val="Compact"/>
            </w:pPr>
            <w:r>
              <w:t xml:space="preserve">المتابعة والتحقق من الإجراءات، توثيق، تحليل</w:t>
            </w:r>
          </w:p>
        </w:tc>
        <w:tc>
          <w:tcPr/>
          <w:p>
            <w:pPr>
              <w:pStyle w:val="Compact"/>
            </w:pPr>
            <w:r>
              <w:t xml:space="preserve">رئيس فريق سلامة الغذاء</w:t>
            </w:r>
          </w:p>
        </w:tc>
        <w:tc>
          <w:tcPr/>
          <w:p>
            <w:pPr>
              <w:pStyle w:val="Compact"/>
            </w:pPr>
            <w:r>
              <w:t xml:space="preserve">الإنتاج، المعمل</w:t>
            </w:r>
          </w:p>
        </w:tc>
        <w:tc>
          <w:tcPr/>
          <w:p>
            <w:pPr>
              <w:pStyle w:val="Compact"/>
            </w:pPr>
            <w:r>
              <w:t xml:space="preserve">الجميع</w:t>
            </w:r>
          </w:p>
        </w:tc>
      </w:tr>
      <w:tr>
        <w:tc>
          <w:tcPr/>
          <w:p>
            <w:pPr>
              <w:pStyle w:val="Compact"/>
            </w:pPr>
            <w:r>
              <w:t xml:space="preserve">مدير الإنتاج</w:t>
            </w:r>
          </w:p>
        </w:tc>
        <w:tc>
          <w:tcPr/>
          <w:p>
            <w:pPr>
              <w:pStyle w:val="Compact"/>
            </w:pPr>
            <w:r>
              <w:t xml:space="preserve">الحجز الفوري، توفير الموارد، تطبيق الإجراءات</w:t>
            </w:r>
          </w:p>
        </w:tc>
        <w:tc>
          <w:tcPr/>
          <w:p>
            <w:pPr>
              <w:pStyle w:val="Compact"/>
            </w:pPr>
            <w:r>
              <w:t xml:space="preserve">رئيس فريق سلامة الغذاء</w:t>
            </w:r>
          </w:p>
        </w:tc>
        <w:tc>
          <w:tcPr/>
          <w:p>
            <w:pPr>
              <w:pStyle w:val="Compact"/>
            </w:pPr>
            <w:r>
              <w:t xml:space="preserve">الجودة، الصيانة</w:t>
            </w:r>
          </w:p>
        </w:tc>
        <w:tc>
          <w:tcPr/>
          <w:p>
            <w:pPr>
              <w:pStyle w:val="Compact"/>
            </w:pPr>
            <w:r>
              <w:t xml:space="preserve">الجميع</w:t>
            </w:r>
          </w:p>
        </w:tc>
      </w:tr>
      <w:tr>
        <w:tc>
          <w:tcPr/>
          <w:p>
            <w:pPr>
              <w:pStyle w:val="Compact"/>
            </w:pPr>
            <w:r>
              <w:t xml:space="preserve">مشرفو الإنتاج</w:t>
            </w:r>
          </w:p>
        </w:tc>
        <w:tc>
          <w:tcPr/>
          <w:p>
            <w:pPr>
              <w:pStyle w:val="Compact"/>
            </w:pPr>
            <w:r>
              <w:t xml:space="preserve">تحديد حالات عدم المطابقة، حجز المنتجات، الإبلاغ</w:t>
            </w:r>
          </w:p>
        </w:tc>
        <w:tc>
          <w:tcPr/>
          <w:p>
            <w:pPr>
              <w:pStyle w:val="Compact"/>
            </w:pPr>
            <w:r>
              <w:t xml:space="preserve">مدير الإنتاج</w:t>
            </w:r>
          </w:p>
        </w:tc>
        <w:tc>
          <w:tcPr/>
          <w:p>
            <w:pPr>
              <w:pStyle w:val="Compact"/>
            </w:pPr>
            <w:r>
              <w:t xml:space="preserve">الجودة</w:t>
            </w:r>
          </w:p>
        </w:tc>
        <w:tc>
          <w:tcPr/>
          <w:p>
            <w:pPr>
              <w:pStyle w:val="Compact"/>
            </w:pPr>
            <w:r>
              <w:t xml:space="preserve">عمال الإنتاج</w:t>
            </w:r>
          </w:p>
        </w:tc>
      </w:tr>
      <w:tr>
        <w:tc>
          <w:tcPr/>
          <w:p>
            <w:pPr>
              <w:pStyle w:val="Compact"/>
            </w:pPr>
            <w:r>
              <w:t xml:space="preserve">مسؤول المعمل</w:t>
            </w:r>
          </w:p>
        </w:tc>
        <w:tc>
          <w:tcPr/>
          <w:p>
            <w:pPr>
              <w:pStyle w:val="Compact"/>
            </w:pPr>
            <w:r>
              <w:t xml:space="preserve">إجراء التحاليل، تقديم النتائج، تفسيرها</w:t>
            </w:r>
          </w:p>
        </w:tc>
        <w:tc>
          <w:tcPr/>
          <w:p>
            <w:pPr>
              <w:pStyle w:val="Compact"/>
            </w:pPr>
            <w:r>
              <w:t xml:space="preserve">مدير الجودة</w:t>
            </w:r>
          </w:p>
        </w:tc>
        <w:tc>
          <w:tcPr/>
          <w:p>
            <w:pPr>
              <w:pStyle w:val="Compact"/>
            </w:pPr>
            <w:r>
              <w:t xml:space="preserve">FST، الإنتاج</w:t>
            </w:r>
          </w:p>
        </w:tc>
        <w:tc>
          <w:tcPr/>
          <w:p>
            <w:pPr>
              <w:pStyle w:val="Compact"/>
            </w:pPr>
            <w:r>
              <w:t xml:space="preserve">الجميع</w:t>
            </w:r>
          </w:p>
        </w:tc>
      </w:tr>
      <w:tr>
        <w:tc>
          <w:tcPr/>
          <w:p>
            <w:pPr>
              <w:pStyle w:val="Compact"/>
            </w:pPr>
            <w:r>
              <w:t xml:space="preserve">مدير المشتريات</w:t>
            </w:r>
          </w:p>
        </w:tc>
        <w:tc>
          <w:tcPr/>
          <w:p>
            <w:pPr>
              <w:pStyle w:val="Compact"/>
            </w:pPr>
            <w:r>
              <w:t xml:space="preserve">التعامل مع الموردين للمواد غير المطابقة، توفير بدائل</w:t>
            </w:r>
          </w:p>
        </w:tc>
        <w:tc>
          <w:tcPr/>
          <w:p>
            <w:pPr>
              <w:pStyle w:val="Compact"/>
            </w:pPr>
            <w:r>
              <w:t xml:space="preserve">الإدارة العليا</w:t>
            </w:r>
          </w:p>
        </w:tc>
        <w:tc>
          <w:tcPr/>
          <w:p>
            <w:pPr>
              <w:pStyle w:val="Compact"/>
            </w:pPr>
            <w:r>
              <w:t xml:space="preserve">FST، الجودة</w:t>
            </w:r>
          </w:p>
        </w:tc>
        <w:tc>
          <w:tcPr/>
          <w:p>
            <w:pPr>
              <w:pStyle w:val="Compact"/>
            </w:pPr>
            <w:r>
              <w:t xml:space="preserve">الجميع</w:t>
            </w:r>
          </w:p>
        </w:tc>
      </w:tr>
      <w:tr>
        <w:tc>
          <w:tcPr/>
          <w:p>
            <w:pPr>
              <w:pStyle w:val="Compact"/>
            </w:pPr>
            <w:r>
              <w:t xml:space="preserve">مدير المبيعات</w:t>
            </w:r>
          </w:p>
        </w:tc>
        <w:tc>
          <w:tcPr/>
          <w:p>
            <w:pPr>
              <w:pStyle w:val="Compact"/>
            </w:pPr>
            <w:r>
              <w:t xml:space="preserve">التنسيق في حالات السحب أو الاسترجاع، إعلام العملاء</w:t>
            </w:r>
          </w:p>
        </w:tc>
        <w:tc>
          <w:tcPr/>
          <w:p>
            <w:pPr>
              <w:pStyle w:val="Compact"/>
            </w:pPr>
            <w:r>
              <w:t xml:space="preserve">الإدارة العليا</w:t>
            </w:r>
          </w:p>
        </w:tc>
        <w:tc>
          <w:tcPr/>
          <w:p>
            <w:pPr>
              <w:pStyle w:val="Compact"/>
            </w:pPr>
            <w:r>
              <w:t xml:space="preserve">FST، الجودة</w:t>
            </w:r>
          </w:p>
        </w:tc>
        <w:tc>
          <w:tcPr/>
          <w:p>
            <w:pPr>
              <w:pStyle w:val="Compact"/>
            </w:pPr>
            <w:r>
              <w:t xml:space="preserve">الجميع</w:t>
            </w:r>
          </w:p>
        </w:tc>
      </w:tr>
      <w:tr>
        <w:tc>
          <w:tcPr/>
          <w:p>
            <w:pPr>
              <w:pStyle w:val="Compact"/>
            </w:pPr>
            <w:r>
              <w:t xml:space="preserve">الإدارة العليا</w:t>
            </w:r>
          </w:p>
        </w:tc>
        <w:tc>
          <w:tcPr/>
          <w:p>
            <w:pPr>
              <w:pStyle w:val="Compact"/>
            </w:pPr>
            <w:r>
              <w:t xml:space="preserve">توفير الموارد، المراجعة الدورية، اتخاذ القرارات الإستراتيجية</w:t>
            </w:r>
          </w:p>
        </w:tc>
        <w:tc>
          <w:tcPr/>
          <w:p>
            <w:pPr>
              <w:pStyle w:val="Compact"/>
            </w:pPr>
            <w:r>
              <w:t xml:space="preserve">ن/أ</w:t>
            </w:r>
          </w:p>
        </w:tc>
        <w:tc>
          <w:tcPr/>
          <w:p>
            <w:pPr>
              <w:pStyle w:val="Compact"/>
            </w:pPr>
            <w:r>
              <w:t xml:space="preserve">رئيس فريق سلامة الغذاء</w:t>
            </w:r>
          </w:p>
        </w:tc>
        <w:tc>
          <w:tcPr/>
          <w:p>
            <w:pPr>
              <w:pStyle w:val="Compact"/>
            </w:pPr>
            <w:r>
              <w:t xml:space="preserve">الجميع</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اكتشاف المنتجات/المواد غير المطابقة:</w:t>
      </w:r>
      <w:r>
        <w:t xml:space="preserve"> </w:t>
      </w:r>
      <w:r>
        <w:t xml:space="preserve">-</w:t>
      </w:r>
      <w:r>
        <w:t xml:space="preserve"> </w:t>
      </w:r>
      <w:r>
        <w:rPr>
          <w:b/>
          <w:bCs/>
        </w:rPr>
        <w:t xml:space="preserve">6-1-1. مصادر الاكتشاف:</w:t>
      </w:r>
      <w:r>
        <w:t xml:space="preserve"> </w:t>
      </w:r>
      <w:r>
        <w:t xml:space="preserve">-</w:t>
      </w:r>
      <w:r>
        <w:t xml:space="preserve"> </w:t>
      </w:r>
      <w:r>
        <w:rPr>
          <w:b/>
          <w:bCs/>
        </w:rPr>
        <w:t xml:space="preserve">من</w:t>
      </w:r>
      <w:r>
        <w:t xml:space="preserve">: مسؤولو نقاط التحكم الحرجة (CCP)، مسؤول البرامج المتطلبات الأولية التشغيلية (OPRP)، عمال الإنتاج، مسؤول المعمل، مسؤول الاستلام.</w:t>
      </w:r>
      <w:r>
        <w:t xml:space="preserve"> </w:t>
      </w:r>
      <w:r>
        <w:t xml:space="preserve">-</w:t>
      </w:r>
      <w:r>
        <w:t xml:space="preserve"> </w:t>
      </w:r>
      <w:r>
        <w:rPr>
          <w:b/>
          <w:bCs/>
        </w:rPr>
        <w:t xml:space="preserve">ماذا</w:t>
      </w:r>
      <w:r>
        <w:t xml:space="preserve">: اكتشاف حدوث حيود عن الحدود الحرجة (Critical Limits) أو تجاوز مستويات العمل للـ OPRP، نتائج تحاليل معملية غير مطابقة (سواء للمواد الخام، مواد التعبئة، المنتج تحت التشغيل، أو المنتج النهائي)، شكاوى العملاء (داخلية أو خارجية)، اكتشاف عيوب جودة أثناء الفحص البصري للمنتج النهائي.</w:t>
      </w:r>
      <w:r>
        <w:t xml:space="preserve"> </w:t>
      </w:r>
      <w:r>
        <w:t xml:space="preserve">-</w:t>
      </w:r>
      <w:r>
        <w:t xml:space="preserve"> </w:t>
      </w:r>
      <w:r>
        <w:rPr>
          <w:b/>
          <w:bCs/>
        </w:rPr>
        <w:t xml:space="preserve">متى</w:t>
      </w:r>
      <w:r>
        <w:t xml:space="preserve">: فوراً عند اكتشاف عدم المطابقة.</w:t>
      </w:r>
      <w:r>
        <w:t xml:space="preserve"> </w:t>
      </w:r>
      <w:r>
        <w:t xml:space="preserve">-</w:t>
      </w:r>
      <w:r>
        <w:t xml:space="preserve"> </w:t>
      </w:r>
      <w:r>
        <w:rPr>
          <w:b/>
          <w:bCs/>
        </w:rPr>
        <w:t xml:space="preserve">أين</w:t>
      </w:r>
      <w:r>
        <w:t xml:space="preserve">: في أي مرحلة من مراحل دورة الإنتاج أو التخزين.</w:t>
      </w:r>
      <w:r>
        <w:t xml:space="preserve"> </w:t>
      </w:r>
      <w:r>
        <w:t xml:space="preserve">-</w:t>
      </w:r>
      <w:r>
        <w:t xml:space="preserve"> </w:t>
      </w:r>
      <w:r>
        <w:rPr>
          <w:b/>
          <w:bCs/>
        </w:rPr>
        <w:t xml:space="preserve">كيف</w:t>
      </w:r>
      <w:r>
        <w:t xml:space="preserve">: من خلال المراقبة المستمرة، الفحص، اختبارات الجودة، مراجعة السجلات والتقارير.</w:t>
      </w:r>
    </w:p>
    <w:p>
      <w:pPr>
        <w:pStyle w:val="Compact"/>
        <w:numPr>
          <w:ilvl w:val="0"/>
          <w:numId w:val="1007"/>
        </w:numPr>
      </w:pPr>
      <w:r>
        <w:rPr>
          <w:b/>
          <w:bCs/>
        </w:rPr>
        <w:t xml:space="preserve">6-1-2. الإبلاغ الأولي:</w:t>
      </w:r>
    </w:p>
    <w:p>
      <w:pPr>
        <w:pStyle w:val="Compact"/>
        <w:numPr>
          <w:ilvl w:val="1"/>
          <w:numId w:val="1008"/>
        </w:numPr>
      </w:pPr>
      <w:r>
        <w:rPr>
          <w:b/>
          <w:bCs/>
        </w:rPr>
        <w:t xml:space="preserve">من</w:t>
      </w:r>
      <w:r>
        <w:t xml:space="preserve">: الشخص الذي اكتشف عدم المطابقة (مثل مشرف الإنتاج، مسؤول المعمل).</w:t>
      </w:r>
    </w:p>
    <w:p>
      <w:pPr>
        <w:pStyle w:val="Compact"/>
        <w:numPr>
          <w:ilvl w:val="1"/>
          <w:numId w:val="1008"/>
        </w:numPr>
      </w:pPr>
      <w:r>
        <w:rPr>
          <w:b/>
          <w:bCs/>
        </w:rPr>
        <w:t xml:space="preserve">ماذا</w:t>
      </w:r>
      <w:r>
        <w:t xml:space="preserve">: إبلاغ (رئيس فريق سلامة الغذاء) ومدير الجودة ومدير الإنتاج فوراً كتابياً (عبر نموذج إبلاغ عن عدم مطابقة F-14-01) وشفهياً.</w:t>
      </w:r>
    </w:p>
    <w:p>
      <w:pPr>
        <w:pStyle w:val="Compact"/>
        <w:numPr>
          <w:ilvl w:val="1"/>
          <w:numId w:val="1008"/>
        </w:numPr>
      </w:pPr>
      <w:r>
        <w:rPr>
          <w:b/>
          <w:bCs/>
        </w:rPr>
        <w:t xml:space="preserve">متى</w:t>
      </w:r>
      <w:r>
        <w:t xml:space="preserve">: يجب أن يتم الإبلاغ خلال [عدد محدد] ساعة/دقائق من تاريخ الاكتشاف.</w:t>
      </w:r>
    </w:p>
    <w:p>
      <w:pPr>
        <w:pStyle w:val="FirstParagraph"/>
      </w:pPr>
      <w:r>
        <w:rPr>
          <w:b/>
          <w:bCs/>
        </w:rPr>
        <w:t xml:space="preserve">6-2. الحجز الفوري للمنتج/المادة غير المطابقة:</w:t>
      </w:r>
      <w:r>
        <w:t xml:space="preserve"> </w:t>
      </w:r>
      <w:r>
        <w:t xml:space="preserve">-</w:t>
      </w:r>
      <w:r>
        <w:t xml:space="preserve"> </w:t>
      </w:r>
      <w:r>
        <w:rPr>
          <w:b/>
          <w:bCs/>
        </w:rPr>
        <w:t xml:space="preserve">6-2-1. العزل المادي:</w:t>
      </w:r>
      <w:r>
        <w:t xml:space="preserve"> </w:t>
      </w:r>
      <w:r>
        <w:t xml:space="preserve">-</w:t>
      </w:r>
      <w:r>
        <w:t xml:space="preserve"> </w:t>
      </w:r>
      <w:r>
        <w:rPr>
          <w:b/>
          <w:bCs/>
        </w:rPr>
        <w:t xml:space="preserve">من</w:t>
      </w:r>
      <w:r>
        <w:t xml:space="preserve">: مدير الإنتاج/مشرف الإنتاج بالتعاون مع فريق سلامة الغذاء.</w:t>
      </w:r>
      <w:r>
        <w:t xml:space="preserve"> </w:t>
      </w:r>
      <w:r>
        <w:t xml:space="preserve">-</w:t>
      </w:r>
      <w:r>
        <w:t xml:space="preserve"> </w:t>
      </w:r>
      <w:r>
        <w:rPr>
          <w:b/>
          <w:bCs/>
        </w:rPr>
        <w:t xml:space="preserve">ماذا</w:t>
      </w:r>
      <w:r>
        <w:t xml:space="preserve">: عزل جميع الكميات المتأثرة من المنتج/المادة غير المطابقة في منطقة حجز مخصصة ومعرفة بوضوح (على سبيل المثال، منطقة</w:t>
      </w:r>
      <w:r>
        <w:t xml:space="preserve"> </w:t>
      </w:r>
      <w:r>
        <w:t xml:space="preserve">“تحت الحجز”</w:t>
      </w:r>
      <w:r>
        <w:t xml:space="preserve"> </w:t>
      </w:r>
      <w:r>
        <w:t xml:space="preserve">أو</w:t>
      </w:r>
      <w:r>
        <w:t xml:space="preserve"> </w:t>
      </w:r>
      <w:r>
        <w:t xml:space="preserve">“مرفوضة”</w:t>
      </w:r>
      <w:r>
        <w:t xml:space="preserve">) لمنع الاستخدام غير المقصود. يجب فصلها مادياً عن المنتجات المطابقة.</w:t>
      </w:r>
      <w:r>
        <w:t xml:space="preserve"> </w:t>
      </w:r>
      <w:r>
        <w:t xml:space="preserve">-</w:t>
      </w:r>
      <w:r>
        <w:t xml:space="preserve"> </w:t>
      </w:r>
      <w:r>
        <w:rPr>
          <w:b/>
          <w:bCs/>
        </w:rPr>
        <w:t xml:space="preserve">أين</w:t>
      </w:r>
      <w:r>
        <w:t xml:space="preserve">: منطقة حجز محددة وواضحة المعالم.</w:t>
      </w:r>
      <w:r>
        <w:t xml:space="preserve"> </w:t>
      </w:r>
      <w:r>
        <w:t xml:space="preserve">-</w:t>
      </w:r>
      <w:r>
        <w:t xml:space="preserve"> </w:t>
      </w:r>
      <w:r>
        <w:rPr>
          <w:b/>
          <w:bCs/>
        </w:rPr>
        <w:t xml:space="preserve">كيف</w:t>
      </w:r>
      <w:r>
        <w:t xml:space="preserve">: باستخدام علامات واضحة (مثل ملصقات</w:t>
      </w:r>
      <w:r>
        <w:t xml:space="preserve"> </w:t>
      </w:r>
      <w:r>
        <w:t xml:space="preserve">“مرفوضة”</w:t>
      </w:r>
      <w:r>
        <w:t xml:space="preserve">،</w:t>
      </w:r>
      <w:r>
        <w:t xml:space="preserve"> </w:t>
      </w:r>
      <w:r>
        <w:t xml:space="preserve">“تحت الحجز”</w:t>
      </w:r>
      <w:r>
        <w:t xml:space="preserve">) تحمل تفاصيل عدم المطابقة، تاريخ الحجز، والمسؤول.</w:t>
      </w:r>
      <w:r>
        <w:t xml:space="preserve"> </w:t>
      </w:r>
      <w:r>
        <w:t xml:space="preserve">-</w:t>
      </w:r>
      <w:r>
        <w:t xml:space="preserve"> </w:t>
      </w:r>
      <w:r>
        <w:rPr>
          <w:b/>
          <w:bCs/>
        </w:rPr>
        <w:t xml:space="preserve">المرجع</w:t>
      </w:r>
      <w:r>
        <w:t xml:space="preserve">: ISO 22000:2018 §8.9.2 (Correction).</w:t>
      </w:r>
    </w:p>
    <w:p>
      <w:pPr>
        <w:pStyle w:val="Compact"/>
        <w:numPr>
          <w:ilvl w:val="0"/>
          <w:numId w:val="1009"/>
        </w:numPr>
      </w:pPr>
      <w:r>
        <w:rPr>
          <w:b/>
          <w:bCs/>
        </w:rPr>
        <w:t xml:space="preserve">6-2-2. التوسيم:</w:t>
      </w:r>
    </w:p>
    <w:p>
      <w:pPr>
        <w:pStyle w:val="Compact"/>
        <w:numPr>
          <w:ilvl w:val="1"/>
          <w:numId w:val="1010"/>
        </w:numPr>
      </w:pPr>
      <w:r>
        <w:rPr>
          <w:b/>
          <w:bCs/>
        </w:rPr>
        <w:t xml:space="preserve">من</w:t>
      </w:r>
      <w:r>
        <w:t xml:space="preserve">: مشرف الإنتاج أو مسؤول الجودة.</w:t>
      </w:r>
    </w:p>
    <w:p>
      <w:pPr>
        <w:pStyle w:val="Compact"/>
        <w:numPr>
          <w:ilvl w:val="1"/>
          <w:numId w:val="1010"/>
        </w:numPr>
      </w:pPr>
      <w:r>
        <w:rPr>
          <w:b/>
          <w:bCs/>
        </w:rPr>
        <w:t xml:space="preserve">ماذا</w:t>
      </w:r>
      <w:r>
        <w:t xml:space="preserve">: توسيم جميع الوحدات المتأثرة بملصقات</w:t>
      </w:r>
      <w:r>
        <w:t xml:space="preserve"> </w:t>
      </w:r>
      <w:r>
        <w:t xml:space="preserve">“منتج غير مطابق - تحت الحجز”</w:t>
      </w:r>
      <w:r>
        <w:t xml:space="preserve"> </w:t>
      </w:r>
      <w:r>
        <w:t xml:space="preserve">(نموذج F-14-A). يجب أن يتضمن الملصق (المنتج/المادة، تاريخ الإنتاج/الاستلام، رقم التشغيلة، سبب عدم المطابقة، تاريخ الحجز، اسم المسؤول عن الحجز).</w:t>
      </w:r>
    </w:p>
    <w:p>
      <w:pPr>
        <w:pStyle w:val="Compact"/>
        <w:numPr>
          <w:ilvl w:val="1"/>
          <w:numId w:val="1010"/>
        </w:numPr>
      </w:pPr>
      <w:r>
        <w:rPr>
          <w:b/>
          <w:bCs/>
        </w:rPr>
        <w:t xml:space="preserve">كيف</w:t>
      </w:r>
      <w:r>
        <w:t xml:space="preserve">: استخدام ملصقات واضحة ومقاومة للماء وموثقة.</w:t>
      </w:r>
    </w:p>
    <w:p>
      <w:pPr>
        <w:pStyle w:val="FirstParagraph"/>
      </w:pPr>
      <w:r>
        <w:rPr>
          <w:b/>
          <w:bCs/>
        </w:rPr>
        <w:t xml:space="preserve">6-3. تقييم عدم المطابقة:</w:t>
      </w:r>
      <w:r>
        <w:t xml:space="preserve"> </w:t>
      </w:r>
      <w:r>
        <w:t xml:space="preserve">-</w:t>
      </w:r>
      <w:r>
        <w:t xml:space="preserve"> </w:t>
      </w:r>
      <w:r>
        <w:rPr>
          <w:b/>
          <w:bCs/>
        </w:rPr>
        <w:t xml:space="preserve">6-3-1. اجتماع فريق سلامة الغذاء (FST):</w:t>
      </w:r>
      <w:r>
        <w:t xml:space="preserve"> </w:t>
      </w:r>
      <w:r>
        <w:t xml:space="preserve">-</w:t>
      </w:r>
      <w:r>
        <w:t xml:space="preserve"> </w:t>
      </w:r>
      <w:r>
        <w:rPr>
          <w:b/>
          <w:bCs/>
        </w:rPr>
        <w:t xml:space="preserve">من</w:t>
      </w:r>
      <w:r>
        <w:t xml:space="preserve">: رئيس فريق سلامة الغذاء (FSTL) وفريق سلامة الغذاء (FST) بالتنسيق مع الأقسام المعنية (مثل الإنتاج، الجودة، المعمل، المشتريات).</w:t>
      </w:r>
      <w:r>
        <w:t xml:space="preserve"> </w:t>
      </w:r>
      <w:r>
        <w:t xml:space="preserve">-</w:t>
      </w:r>
      <w:r>
        <w:t xml:space="preserve"> </w:t>
      </w:r>
      <w:r>
        <w:rPr>
          <w:b/>
          <w:bCs/>
        </w:rPr>
        <w:t xml:space="preserve">ماذا</w:t>
      </w:r>
      <w:r>
        <w:t xml:space="preserve">: عقد اجتماع عاجل لتقييم طبيعة عدم المطابقة، مدى تأثيرها المحتمل على سلامة المنتج وجودته، تحديد الفترة الزمنية التي تأثرت بها المنتجات، وتقدير حجم المنتجات المتأثرة.</w:t>
      </w:r>
      <w:r>
        <w:t xml:space="preserve"> </w:t>
      </w:r>
      <w:r>
        <w:t xml:space="preserve">-</w:t>
      </w:r>
      <w:r>
        <w:t xml:space="preserve"> </w:t>
      </w:r>
      <w:r>
        <w:rPr>
          <w:b/>
          <w:bCs/>
        </w:rPr>
        <w:t xml:space="preserve">المرجع</w:t>
      </w:r>
      <w:r>
        <w:t xml:space="preserve">: ISO 22000:2018 §8.9.1 (General).</w:t>
      </w:r>
    </w:p>
    <w:p>
      <w:pPr>
        <w:pStyle w:val="Compact"/>
        <w:numPr>
          <w:ilvl w:val="0"/>
          <w:numId w:val="1011"/>
        </w:numPr>
      </w:pPr>
      <w:r>
        <w:rPr>
          <w:b/>
          <w:bCs/>
        </w:rPr>
        <w:t xml:space="preserve">6-3-2. تحديد السبب الجذري:</w:t>
      </w:r>
    </w:p>
    <w:p>
      <w:pPr>
        <w:pStyle w:val="Compact"/>
        <w:numPr>
          <w:ilvl w:val="1"/>
          <w:numId w:val="1012"/>
        </w:numPr>
      </w:pPr>
      <w:r>
        <w:rPr>
          <w:b/>
          <w:bCs/>
        </w:rPr>
        <w:t xml:space="preserve">من</w:t>
      </w:r>
      <w:r>
        <w:t xml:space="preserve">: فريق سلامة الغذاء (FST).</w:t>
      </w:r>
    </w:p>
    <w:p>
      <w:pPr>
        <w:pStyle w:val="Compact"/>
        <w:numPr>
          <w:ilvl w:val="1"/>
          <w:numId w:val="1012"/>
        </w:numPr>
      </w:pPr>
      <w:r>
        <w:rPr>
          <w:b/>
          <w:bCs/>
        </w:rPr>
        <w:t xml:space="preserve">ماذا</w:t>
      </w:r>
      <w:r>
        <w:t xml:space="preserve">: إجراء تحليل للسبب الجذري لعدم المطابقة باستخدام أدوات مناسبة (مثل 5 Whys، Fishbone Diagram) لتحديد العوامل التي أدت إلى حدوثها (مثال: عطل في المعدات، خطأ بشري، مشكلة في المواد الخام).</w:t>
      </w:r>
    </w:p>
    <w:p>
      <w:pPr>
        <w:pStyle w:val="Compact"/>
        <w:numPr>
          <w:ilvl w:val="1"/>
          <w:numId w:val="1012"/>
        </w:numPr>
      </w:pPr>
      <w:r>
        <w:rPr>
          <w:b/>
          <w:bCs/>
        </w:rPr>
        <w:t xml:space="preserve">المرجع</w:t>
      </w:r>
      <w:r>
        <w:t xml:space="preserve">: ISO 22000:2018 §10.2 (Nonconformity and corrective action).</w:t>
      </w:r>
    </w:p>
    <w:p>
      <w:pPr>
        <w:pStyle w:val="Compact"/>
        <w:numPr>
          <w:ilvl w:val="0"/>
          <w:numId w:val="1011"/>
        </w:numPr>
      </w:pPr>
      <w:r>
        <w:rPr>
          <w:b/>
          <w:bCs/>
        </w:rPr>
        <w:t xml:space="preserve">6-3-3. تقييم المخاطر:</w:t>
      </w:r>
    </w:p>
    <w:p>
      <w:pPr>
        <w:pStyle w:val="Compact"/>
        <w:numPr>
          <w:ilvl w:val="1"/>
          <w:numId w:val="1013"/>
        </w:numPr>
      </w:pPr>
      <w:r>
        <w:rPr>
          <w:b/>
          <w:bCs/>
        </w:rPr>
        <w:t xml:space="preserve">من</w:t>
      </w:r>
      <w:r>
        <w:t xml:space="preserve">: فريق سلامة الغذاء (FST).</w:t>
      </w:r>
    </w:p>
    <w:p>
      <w:pPr>
        <w:pStyle w:val="Compact"/>
        <w:numPr>
          <w:ilvl w:val="1"/>
          <w:numId w:val="1013"/>
        </w:numPr>
      </w:pPr>
      <w:r>
        <w:rPr>
          <w:b/>
          <w:bCs/>
        </w:rPr>
        <w:t xml:space="preserve">ماذا</w:t>
      </w:r>
      <w:r>
        <w:t xml:space="preserve">: تقييم المخاطر المترتبة على عدم المطابقة على سلامة المنتج (بيولوجية، كيميائية، فيزيائية) وجودته، ومدى تأثيرها على المستهلك (وفقاً للمرجع Codex Alimentarius CAC/RCP 1-1969). يتم توثيق هذا التقييم في سجل المنتجات غير المطابقة (F-14-02).</w:t>
      </w:r>
    </w:p>
    <w:p>
      <w:pPr>
        <w:pStyle w:val="FirstParagraph"/>
      </w:pPr>
      <w:r>
        <w:rPr>
          <w:b/>
          <w:bCs/>
        </w:rPr>
        <w:t xml:space="preserve">6-4. اتخاذ القرار بشأن المنتجات/المواد غير المطابقة:</w:t>
      </w:r>
      <w:r>
        <w:t xml:space="preserve"> </w:t>
      </w:r>
      <w:r>
        <w:t xml:space="preserve">-</w:t>
      </w:r>
      <w:r>
        <w:t xml:space="preserve"> </w:t>
      </w:r>
      <w:r>
        <w:rPr>
          <w:b/>
          <w:bCs/>
        </w:rPr>
        <w:t xml:space="preserve">6-4-1. الخيارات المتاحة:</w:t>
      </w:r>
      <w:r>
        <w:t xml:space="preserve"> </w:t>
      </w:r>
      <w:r>
        <w:t xml:space="preserve">-</w:t>
      </w:r>
      <w:r>
        <w:t xml:space="preserve"> </w:t>
      </w:r>
      <w:r>
        <w:rPr>
          <w:b/>
          <w:bCs/>
        </w:rPr>
        <w:t xml:space="preserve">من</w:t>
      </w:r>
      <w:r>
        <w:t xml:space="preserve">: رئيس فريق سلامة الغذاء (FSTL) بالتشاور مع فريق سلامة الغذاء والإدارة العليا.</w:t>
      </w:r>
      <w:r>
        <w:t xml:space="preserve"> </w:t>
      </w:r>
      <w:r>
        <w:t xml:space="preserve">-</w:t>
      </w:r>
      <w:r>
        <w:t xml:space="preserve"> </w:t>
      </w:r>
      <w:r>
        <w:rPr>
          <w:b/>
          <w:bCs/>
        </w:rPr>
        <w:t xml:space="preserve">ماذا</w:t>
      </w:r>
      <w:r>
        <w:t xml:space="preserve">: اتخاذ قرار بشأن كيفية التعامل مع المنتج/المادة غير المطابقة، ويجب أن يتم توثيق هذا القرار بشكل كامل ومبرر. الخيارات تشمل:</w:t>
      </w:r>
      <w:r>
        <w:t xml:space="preserve"> </w:t>
      </w:r>
      <w:r>
        <w:t xml:space="preserve">أ.</w:t>
      </w:r>
      <w:r>
        <w:t xml:space="preserve"> </w:t>
      </w:r>
      <w:r>
        <w:rPr>
          <w:b/>
          <w:bCs/>
        </w:rPr>
        <w:t xml:space="preserve">إعادة المعالجة (Rework)</w:t>
      </w:r>
      <w:r>
        <w:t xml:space="preserve">: إذا كان بالإمكان إعادة المنتج إلى الحالة المطابقة دون الإضرار بسلامته أو جودته (مثال: إعادة فلترة المياه في حالة وجود شوائب ميكروبية بسيطة لا تقتضي الإعدام).</w:t>
      </w:r>
      <w:r>
        <w:t xml:space="preserve"> </w:t>
      </w:r>
      <w:r>
        <w:t xml:space="preserve">ب.</w:t>
      </w:r>
      <w:r>
        <w:t xml:space="preserve"> </w:t>
      </w:r>
      <w:r>
        <w:rPr>
          <w:b/>
          <w:bCs/>
        </w:rPr>
        <w:t xml:space="preserve">التخصيص لاستخدام بديل (Alternative Use)</w:t>
      </w:r>
      <w:r>
        <w:t xml:space="preserve">: إذا كان المنتج آمناً ولكن لم يعد يلبي متطلبات الاستخدام الأصلي، يمكن تخصيصه لاستخدام بديل معتمد (مثال: استخدام مياه غير مطابقة لمعايير الاستهلاك الآدمي في أغراض التنظيف الصناعي بعد التأكد من سلامتها لهذا الغرض).</w:t>
      </w:r>
      <w:r>
        <w:t xml:space="preserve"> </w:t>
      </w:r>
      <w:r>
        <w:t xml:space="preserve">ج.</w:t>
      </w:r>
      <w:r>
        <w:t xml:space="preserve"> </w:t>
      </w:r>
      <w:r>
        <w:rPr>
          <w:b/>
          <w:bCs/>
        </w:rPr>
        <w:t xml:space="preserve">الإعدام (Destruction)</w:t>
      </w:r>
      <w:r>
        <w:t xml:space="preserve">: إذا كان المنتج يمثل خطراً على سلامة الغذاء ولا يمكن تصحيحه أو إعادة معالجته أو استخدامه لأغراض بديلة، يجب إعدامه.</w:t>
      </w:r>
      <w:r>
        <w:t xml:space="preserve"> </w:t>
      </w:r>
      <w:r>
        <w:t xml:space="preserve">د.</w:t>
      </w:r>
      <w:r>
        <w:t xml:space="preserve"> </w:t>
      </w:r>
      <w:r>
        <w:rPr>
          <w:b/>
          <w:bCs/>
        </w:rPr>
        <w:t xml:space="preserve">الإفراج (Release)</w:t>
      </w:r>
      <w:r>
        <w:t xml:space="preserve">: في حالات استثنائية (مثال: حيود بسيط جداً عن المتطلبات لا يؤثر على سلامة الغذاء أو الاستخدام المقصود) مع موافقة صريحة من العميل (إذا كان ذلك مناسباً)، وبعد تقييم مخاطر شامل يثبت أن المنتج آمن ومناسب للغرض المقصود.</w:t>
      </w:r>
      <w:r>
        <w:t xml:space="preserve"> </w:t>
      </w:r>
      <w:r>
        <w:t xml:space="preserve">-</w:t>
      </w:r>
      <w:r>
        <w:t xml:space="preserve"> </w:t>
      </w:r>
      <w:r>
        <w:rPr>
          <w:b/>
          <w:bCs/>
        </w:rPr>
        <w:t xml:space="preserve">المرجع</w:t>
      </w:r>
      <w:r>
        <w:t xml:space="preserve">: ISO 22000:2018 §8.9.3 (Evaluation for release) و §8.9.4 (Disposal of nonconforming product) و NFSA قرار 6/2023.</w:t>
      </w:r>
    </w:p>
    <w:p>
      <w:pPr>
        <w:pStyle w:val="Compact"/>
        <w:numPr>
          <w:ilvl w:val="0"/>
          <w:numId w:val="1014"/>
        </w:numPr>
      </w:pPr>
      <w:r>
        <w:rPr>
          <w:b/>
          <w:bCs/>
        </w:rPr>
        <w:t xml:space="preserve">6-4-2. توثيق القرار:</w:t>
      </w:r>
    </w:p>
    <w:p>
      <w:pPr>
        <w:pStyle w:val="Compact"/>
        <w:numPr>
          <w:ilvl w:val="1"/>
          <w:numId w:val="1015"/>
        </w:numPr>
      </w:pPr>
      <w:r>
        <w:rPr>
          <w:b/>
          <w:bCs/>
        </w:rPr>
        <w:t xml:space="preserve">من</w:t>
      </w:r>
      <w:r>
        <w:t xml:space="preserve">: رئيس فريق سلامة الغذاء.</w:t>
      </w:r>
    </w:p>
    <w:p>
      <w:pPr>
        <w:pStyle w:val="Compact"/>
        <w:numPr>
          <w:ilvl w:val="1"/>
          <w:numId w:val="1015"/>
        </w:numPr>
      </w:pPr>
      <w:r>
        <w:rPr>
          <w:b/>
          <w:bCs/>
        </w:rPr>
        <w:t xml:space="preserve">ماذا</w:t>
      </w:r>
      <w:r>
        <w:t xml:space="preserve">: توثيق القرار المتخذ، مع ذكر المبررات ونتائج التقييمات والتحاليل الداعمة، في سجل المنتجات غير المطابقة (F-14-02).</w:t>
      </w:r>
    </w:p>
    <w:p>
      <w:pPr>
        <w:pStyle w:val="FirstParagraph"/>
      </w:pPr>
      <w:r>
        <w:rPr>
          <w:b/>
          <w:bCs/>
        </w:rPr>
        <w:t xml:space="preserve">6-5. تنفيذ الإجراءات المتخذة:</w:t>
      </w:r>
      <w:r>
        <w:t xml:space="preserve"> </w:t>
      </w:r>
      <w:r>
        <w:t xml:space="preserve">-</w:t>
      </w:r>
      <w:r>
        <w:t xml:space="preserve"> </w:t>
      </w:r>
      <w:r>
        <w:rPr>
          <w:b/>
          <w:bCs/>
        </w:rPr>
        <w:t xml:space="preserve">6-5-1. إعادة المعالجة (Rework):</w:t>
      </w:r>
      <w:r>
        <w:t xml:space="preserve"> </w:t>
      </w:r>
      <w:r>
        <w:t xml:space="preserve">-</w:t>
      </w:r>
      <w:r>
        <w:t xml:space="preserve"> </w:t>
      </w:r>
      <w:r>
        <w:rPr>
          <w:b/>
          <w:bCs/>
        </w:rPr>
        <w:t xml:space="preserve">من</w:t>
      </w:r>
      <w:r>
        <w:t xml:space="preserve">: مدير الإنتاج.</w:t>
      </w:r>
      <w:r>
        <w:t xml:space="preserve"> </w:t>
      </w:r>
      <w:r>
        <w:t xml:space="preserve">-</w:t>
      </w:r>
      <w:r>
        <w:t xml:space="preserve"> </w:t>
      </w:r>
      <w:r>
        <w:rPr>
          <w:b/>
          <w:bCs/>
        </w:rPr>
        <w:t xml:space="preserve">ماذا</w:t>
      </w:r>
      <w:r>
        <w:t xml:space="preserve">: تنفيذ خطة إعادة المعالجة المعتمدة. بعد إعادة المعالجة، يجب إعادة فحص وتحليل المنتج لضمان مطابقته للمواصفات قبل الإفراج عنه.</w:t>
      </w:r>
      <w:r>
        <w:t xml:space="preserve"> </w:t>
      </w:r>
      <w:r>
        <w:t xml:space="preserve">-</w:t>
      </w:r>
      <w:r>
        <w:t xml:space="preserve"> </w:t>
      </w:r>
      <w:r>
        <w:rPr>
          <w:b/>
          <w:bCs/>
        </w:rPr>
        <w:t xml:space="preserve">المرجع</w:t>
      </w:r>
      <w:r>
        <w:t xml:space="preserve">: ISO 22000:2018 §8.9.3 (Evaluation for release).</w:t>
      </w:r>
    </w:p>
    <w:p>
      <w:pPr>
        <w:pStyle w:val="Compact"/>
        <w:numPr>
          <w:ilvl w:val="0"/>
          <w:numId w:val="1016"/>
        </w:numPr>
      </w:pPr>
      <w:r>
        <w:rPr>
          <w:b/>
          <w:bCs/>
        </w:rPr>
        <w:t xml:space="preserve">6-5-2. الإعدام (Destruction):</w:t>
      </w:r>
    </w:p>
    <w:p>
      <w:pPr>
        <w:pStyle w:val="Compact"/>
        <w:numPr>
          <w:ilvl w:val="1"/>
          <w:numId w:val="1017"/>
        </w:numPr>
      </w:pPr>
      <w:r>
        <w:rPr>
          <w:b/>
          <w:bCs/>
        </w:rPr>
        <w:t xml:space="preserve">من</w:t>
      </w:r>
      <w:r>
        <w:t xml:space="preserve">: مدير الإنتاج بالتعاون مع مدير الجودة و مسؤول المخازن.</w:t>
      </w:r>
    </w:p>
    <w:p>
      <w:pPr>
        <w:pStyle w:val="Compact"/>
        <w:numPr>
          <w:ilvl w:val="1"/>
          <w:numId w:val="1017"/>
        </w:numPr>
      </w:pPr>
      <w:r>
        <w:rPr>
          <w:b/>
          <w:bCs/>
        </w:rPr>
        <w:t xml:space="preserve">ماذا</w:t>
      </w:r>
      <w:r>
        <w:t xml:space="preserve">: تنفيذ عملية الإعدام وفقاً لإجراء الإعدام (FSP-XXX) ومع الاحتفاظ بسجلات توثق الكميات المعدومة، طريقة الإعدام، تاريخ الإعدام، والمسؤولين عن العملية. يجب أن تتم عملية الإعدام بطريقة تضمن عدم إمكانية استخدام المنتج نهائياً وتتوافق مع اللوائح البيئية المحلية.</w:t>
      </w:r>
    </w:p>
    <w:p>
      <w:pPr>
        <w:pStyle w:val="Compact"/>
        <w:numPr>
          <w:ilvl w:val="1"/>
          <w:numId w:val="1017"/>
        </w:numPr>
      </w:pPr>
      <w:r>
        <w:rPr>
          <w:b/>
          <w:bCs/>
        </w:rPr>
        <w:t xml:space="preserve">المرجع</w:t>
      </w:r>
      <w:r>
        <w:t xml:space="preserve">: ISO 22000:2018 §8.9.4 (Disposal of nonconforming product) و NFSA قرار 6/2023 المادة [اذكر المادة المعنية بالإعدام].</w:t>
      </w:r>
    </w:p>
    <w:p>
      <w:pPr>
        <w:pStyle w:val="Compact"/>
        <w:numPr>
          <w:ilvl w:val="0"/>
          <w:numId w:val="1016"/>
        </w:numPr>
      </w:pPr>
      <w:r>
        <w:rPr>
          <w:b/>
          <w:bCs/>
        </w:rPr>
        <w:t xml:space="preserve">6-5-3. الإفراج عن المنتج:</w:t>
      </w:r>
    </w:p>
    <w:p>
      <w:pPr>
        <w:pStyle w:val="Compact"/>
        <w:numPr>
          <w:ilvl w:val="1"/>
          <w:numId w:val="1018"/>
        </w:numPr>
      </w:pPr>
      <w:r>
        <w:rPr>
          <w:b/>
          <w:bCs/>
        </w:rPr>
        <w:t xml:space="preserve">من</w:t>
      </w:r>
      <w:r>
        <w:t xml:space="preserve">: رئيس فريق سلامة الغذاء أو من يفوضه.</w:t>
      </w:r>
    </w:p>
    <w:p>
      <w:pPr>
        <w:pStyle w:val="Compact"/>
        <w:numPr>
          <w:ilvl w:val="1"/>
          <w:numId w:val="1018"/>
        </w:numPr>
      </w:pPr>
      <w:r>
        <w:rPr>
          <w:b/>
          <w:bCs/>
        </w:rPr>
        <w:t xml:space="preserve">ماذا</w:t>
      </w:r>
      <w:r>
        <w:t xml:space="preserve">: يجب أن يتم الإفراج عن المنتج غير المطابق الذي تم تصحيحه / إعادة معالجته بعد التحقق من مطابقته للمتطلبات الأصلية أو تعديلها مع السماح بالإفراج. يجب توثيق عملية الإفراج في سجل المنتجات غير المطابقة (F-14-02).</w:t>
      </w:r>
    </w:p>
    <w:p>
      <w:pPr>
        <w:pStyle w:val="Compact"/>
        <w:numPr>
          <w:ilvl w:val="1"/>
          <w:numId w:val="1018"/>
        </w:numPr>
      </w:pPr>
      <w:r>
        <w:rPr>
          <w:b/>
          <w:bCs/>
        </w:rPr>
        <w:t xml:space="preserve">المرجع</w:t>
      </w:r>
      <w:r>
        <w:t xml:space="preserve">: ISO 22000:2018 §8.9.3 (Evaluation for release).</w:t>
      </w:r>
    </w:p>
    <w:p>
      <w:pPr>
        <w:pStyle w:val="FirstParagraph"/>
      </w:pPr>
      <w:r>
        <w:rPr>
          <w:b/>
          <w:bCs/>
        </w:rPr>
        <w:t xml:space="preserve">6-6. التعامل مع شكاوى العملاء وحالات السحب/الاسترجاع:</w:t>
      </w:r>
      <w:r>
        <w:t xml:space="preserve"> </w:t>
      </w:r>
      <w:r>
        <w:t xml:space="preserve">-</w:t>
      </w:r>
      <w:r>
        <w:t xml:space="preserve"> </w:t>
      </w:r>
      <w:r>
        <w:rPr>
          <w:b/>
          <w:bCs/>
        </w:rPr>
        <w:t xml:space="preserve">6-6-1. تسجيل الشكاوى:</w:t>
      </w:r>
      <w:r>
        <w:t xml:space="preserve"> </w:t>
      </w:r>
      <w:r>
        <w:t xml:space="preserve">-</w:t>
      </w:r>
      <w:r>
        <w:t xml:space="preserve"> </w:t>
      </w:r>
      <w:r>
        <w:rPr>
          <w:b/>
          <w:bCs/>
        </w:rPr>
        <w:t xml:space="preserve">من</w:t>
      </w:r>
      <w:r>
        <w:t xml:space="preserve">: مدير الجودة.</w:t>
      </w:r>
      <w:r>
        <w:t xml:space="preserve"> </w:t>
      </w:r>
      <w:r>
        <w:t xml:space="preserve">-</w:t>
      </w:r>
      <w:r>
        <w:t xml:space="preserve"> </w:t>
      </w:r>
      <w:r>
        <w:rPr>
          <w:b/>
          <w:bCs/>
        </w:rPr>
        <w:t xml:space="preserve">ماذا</w:t>
      </w:r>
      <w:r>
        <w:t xml:space="preserve">: تسجيل جميع شكاوى العملاء المتعلقة بسلامة المنتج أو جودته في سجل شكاوى العملاء (F-XXX).</w:t>
      </w:r>
    </w:p>
    <w:p>
      <w:pPr>
        <w:pStyle w:val="Compact"/>
        <w:numPr>
          <w:ilvl w:val="0"/>
          <w:numId w:val="1019"/>
        </w:numPr>
      </w:pPr>
      <w:r>
        <w:rPr>
          <w:b/>
          <w:bCs/>
        </w:rPr>
        <w:t xml:space="preserve">6-6-2. التحقق:</w:t>
      </w:r>
    </w:p>
    <w:p>
      <w:pPr>
        <w:pStyle w:val="Compact"/>
        <w:numPr>
          <w:ilvl w:val="1"/>
          <w:numId w:val="1020"/>
        </w:numPr>
      </w:pPr>
      <w:r>
        <w:rPr>
          <w:b/>
          <w:bCs/>
        </w:rPr>
        <w:t xml:space="preserve">من</w:t>
      </w:r>
      <w:r>
        <w:t xml:space="preserve">: فريق سلامة الغذاء (FST).</w:t>
      </w:r>
    </w:p>
    <w:p>
      <w:pPr>
        <w:pStyle w:val="Compact"/>
        <w:numPr>
          <w:ilvl w:val="1"/>
          <w:numId w:val="1020"/>
        </w:numPr>
      </w:pPr>
      <w:r>
        <w:rPr>
          <w:b/>
          <w:bCs/>
        </w:rPr>
        <w:t xml:space="preserve">ماذا</w:t>
      </w:r>
      <w:r>
        <w:t xml:space="preserve">: التحقيق في الشكوى لتحديد ما إذا كانت تتطلب سحبًا أو استرجاعًا للمنتج من السوق.</w:t>
      </w:r>
    </w:p>
    <w:p>
      <w:pPr>
        <w:pStyle w:val="Compact"/>
        <w:numPr>
          <w:ilvl w:val="0"/>
          <w:numId w:val="1019"/>
        </w:numPr>
      </w:pPr>
      <w:r>
        <w:rPr>
          <w:b/>
          <w:bCs/>
        </w:rPr>
        <w:t xml:space="preserve">6-6-3. السحب أو الاسترجاع:</w:t>
      </w:r>
    </w:p>
    <w:p>
      <w:pPr>
        <w:pStyle w:val="Compact"/>
        <w:numPr>
          <w:ilvl w:val="1"/>
          <w:numId w:val="1021"/>
        </w:numPr>
      </w:pPr>
      <w:r>
        <w:rPr>
          <w:b/>
          <w:bCs/>
        </w:rPr>
        <w:t xml:space="preserve">من</w:t>
      </w:r>
      <w:r>
        <w:t xml:space="preserve">: رئيس فريق سلامة الغذاء ومدير المبيعات.</w:t>
      </w:r>
    </w:p>
    <w:p>
      <w:pPr>
        <w:pStyle w:val="Compact"/>
        <w:numPr>
          <w:ilvl w:val="1"/>
          <w:numId w:val="1021"/>
        </w:numPr>
      </w:pPr>
      <w:r>
        <w:rPr>
          <w:b/>
          <w:bCs/>
        </w:rPr>
        <w:t xml:space="preserve">ماذا</w:t>
      </w:r>
      <w:r>
        <w:t xml:space="preserve">: في حال الحاجة إلى سحب أو استرجاع المنتج من السوق (داخل أو خارج سيطرة الشركة)، يتم تطبيق</w:t>
      </w:r>
      <w:r>
        <w:t xml:space="preserve"> </w:t>
      </w:r>
      <w:r>
        <w:t xml:space="preserve">“إجراء سحب المنتج”</w:t>
      </w:r>
      <w:r>
        <w:t xml:space="preserve"> </w:t>
      </w:r>
      <w:r>
        <w:t xml:space="preserve">(FSP-15).</w:t>
      </w:r>
    </w:p>
    <w:p>
      <w:pPr>
        <w:pStyle w:val="Compact"/>
        <w:numPr>
          <w:ilvl w:val="1"/>
          <w:numId w:val="1021"/>
        </w:numPr>
      </w:pPr>
      <w:r>
        <w:rPr>
          <w:b/>
          <w:bCs/>
        </w:rPr>
        <w:t xml:space="preserve">المرجع</w:t>
      </w:r>
      <w:r>
        <w:t xml:space="preserve">: ISO 22000:2018 §8.9.4 (Disposal of nonconforming product), ISO 9001:2015 §8.7.2 (Dealing with nonconforming outputs) و FSSC 22000 v6 Part 2 §2.5.11 (Product Recall) و NFSA قرار 6/2023.</w:t>
      </w:r>
    </w:p>
    <w:p>
      <w:pPr>
        <w:pStyle w:val="FirstParagraph"/>
      </w:pPr>
      <w:r>
        <w:rPr>
          <w:b/>
          <w:bCs/>
        </w:rPr>
        <w:t xml:space="preserve">6-7. الإجراءات التصحيحية:</w:t>
      </w:r>
      <w:r>
        <w:t xml:space="preserve"> </w:t>
      </w:r>
      <w:r>
        <w:t xml:space="preserve">-</w:t>
      </w:r>
      <w:r>
        <w:t xml:space="preserve"> </w:t>
      </w:r>
      <w:r>
        <w:rPr>
          <w:b/>
          <w:bCs/>
        </w:rPr>
        <w:t xml:space="preserve">6-7-1. تحليل الأسباب الجذرية:</w:t>
      </w:r>
      <w:r>
        <w:t xml:space="preserve"> </w:t>
      </w:r>
      <w:r>
        <w:t xml:space="preserve">-</w:t>
      </w:r>
      <w:r>
        <w:t xml:space="preserve"> </w:t>
      </w:r>
      <w:r>
        <w:rPr>
          <w:b/>
          <w:bCs/>
        </w:rPr>
        <w:t xml:space="preserve">من</w:t>
      </w:r>
      <w:r>
        <w:t xml:space="preserve">: فريق سلامة الغذاء.</w:t>
      </w:r>
      <w:r>
        <w:t xml:space="preserve"> </w:t>
      </w:r>
      <w:r>
        <w:t xml:space="preserve">-</w:t>
      </w:r>
      <w:r>
        <w:t xml:space="preserve"> </w:t>
      </w:r>
      <w:r>
        <w:rPr>
          <w:b/>
          <w:bCs/>
        </w:rPr>
        <w:t xml:space="preserve">ماذا</w:t>
      </w:r>
      <w:r>
        <w:t xml:space="preserve">: بعد اتخاذ القرار ومعالجة المنتج غير المطابق، يتم إجراء تحليل شامل للأسباب الجذرية لمنع تكرار حدوث عدم المطابقة، باستخدام نموذج الإجراء التصحيحي (F-10-01).</w:t>
      </w:r>
      <w:r>
        <w:t xml:space="preserve"> </w:t>
      </w:r>
      <w:r>
        <w:t xml:space="preserve">-</w:t>
      </w:r>
      <w:r>
        <w:t xml:space="preserve"> </w:t>
      </w:r>
      <w:r>
        <w:rPr>
          <w:b/>
          <w:bCs/>
        </w:rPr>
        <w:t xml:space="preserve">المرجع</w:t>
      </w:r>
      <w:r>
        <w:t xml:space="preserve">: ISO 22000:2018 §10.2 (Nonconformity and corrective action).</w:t>
      </w:r>
    </w:p>
    <w:p>
      <w:pPr>
        <w:pStyle w:val="Compact"/>
        <w:numPr>
          <w:ilvl w:val="0"/>
          <w:numId w:val="1022"/>
        </w:numPr>
      </w:pPr>
      <w:r>
        <w:rPr>
          <w:b/>
          <w:bCs/>
        </w:rPr>
        <w:t xml:space="preserve">6-7-2. تنفيذ ومتابعة الإجراءات التصحيحية:</w:t>
      </w:r>
    </w:p>
    <w:p>
      <w:pPr>
        <w:pStyle w:val="Compact"/>
        <w:numPr>
          <w:ilvl w:val="1"/>
          <w:numId w:val="1023"/>
        </w:numPr>
      </w:pPr>
      <w:r>
        <w:rPr>
          <w:b/>
          <w:bCs/>
        </w:rPr>
        <w:t xml:space="preserve">من</w:t>
      </w:r>
      <w:r>
        <w:t xml:space="preserve">: أصحاب المسؤولية المحددة في الإجراء التصحيحي.</w:t>
      </w:r>
    </w:p>
    <w:p>
      <w:pPr>
        <w:pStyle w:val="Compact"/>
        <w:numPr>
          <w:ilvl w:val="1"/>
          <w:numId w:val="1023"/>
        </w:numPr>
      </w:pPr>
      <w:r>
        <w:rPr>
          <w:b/>
          <w:bCs/>
        </w:rPr>
        <w:t xml:space="preserve">ماذا</w:t>
      </w:r>
      <w:r>
        <w:t xml:space="preserve">: تنفيذ الإجراءات التصحيحية المعتمدة ومتابعة فعاليتها للتأكد من القضاء على الأسباب الجذرية لعدم المطابقة.</w:t>
      </w:r>
    </w:p>
    <w:p>
      <w:pPr>
        <w:pStyle w:val="FirstParagraph"/>
      </w:pPr>
      <w:r>
        <w:rPr>
          <w:b/>
          <w:bCs/>
        </w:rPr>
        <w:t xml:space="preserve">6-8. توثيق وحفظ السجلات:</w:t>
      </w:r>
      <w:r>
        <w:t xml:space="preserve"> </w:t>
      </w:r>
      <w:r>
        <w:t xml:space="preserve">-</w:t>
      </w:r>
      <w:r>
        <w:t xml:space="preserve"> </w:t>
      </w:r>
      <w:r>
        <w:rPr>
          <w:b/>
          <w:bCs/>
        </w:rPr>
        <w:t xml:space="preserve">من</w:t>
      </w:r>
      <w:r>
        <w:t xml:space="preserve">: مدير الجودة بالتعاون مع فريق سلامة الغذاء.</w:t>
      </w:r>
      <w:r>
        <w:t xml:space="preserve"> </w:t>
      </w:r>
      <w:r>
        <w:t xml:space="preserve">-</w:t>
      </w:r>
      <w:r>
        <w:t xml:space="preserve"> </w:t>
      </w:r>
      <w:r>
        <w:rPr>
          <w:b/>
          <w:bCs/>
        </w:rPr>
        <w:t xml:space="preserve">ماذا</w:t>
      </w:r>
      <w:r>
        <w:t xml:space="preserve">: توثيق جميع الخطوات والقرارات المتخذة المتعلقة بالمنتجات غير المطابقة في السجلات المحددة، وحفظها للمدة المقررة.</w:t>
      </w:r>
      <w:r>
        <w:t xml:space="preserve"> </w:t>
      </w:r>
      <w:r>
        <w:t xml:space="preserve">-</w:t>
      </w:r>
      <w:r>
        <w:t xml:space="preserve"> </w:t>
      </w:r>
      <w:r>
        <w:rPr>
          <w:b/>
          <w:bCs/>
        </w:rPr>
        <w:t xml:space="preserve">المرجع</w:t>
      </w:r>
      <w:r>
        <w:t xml:space="preserve">: ISO 22000:2018 §7.5 (Documented information) و Codex Alimentarius CAC/RCP 1-1969.</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F-14-01</w:t>
            </w:r>
          </w:p>
        </w:tc>
        <w:tc>
          <w:tcPr/>
          <w:p>
            <w:pPr>
              <w:pStyle w:val="Compact"/>
            </w:pPr>
            <w:r>
              <w:t xml:space="preserve">نموذج إبلاغ عن عدم مطابقة</w:t>
            </w:r>
          </w:p>
        </w:tc>
        <w:tc>
          <w:tcPr/>
          <w:p>
            <w:pPr>
              <w:pStyle w:val="Compact"/>
            </w:pPr>
            <w:r>
              <w:t xml:space="preserve">مشرف الإنتاج/مسؤول الجودة</w:t>
            </w:r>
          </w:p>
        </w:tc>
        <w:tc>
          <w:tcPr/>
          <w:p>
            <w:pPr>
              <w:pStyle w:val="Compact"/>
            </w:pPr>
            <w:r>
              <w:t xml:space="preserve">3 سنوات</w:t>
            </w:r>
          </w:p>
        </w:tc>
        <w:tc>
          <w:tcPr/>
          <w:p>
            <w:pPr>
              <w:pStyle w:val="Compact"/>
            </w:pPr>
            <w:r>
              <w:t xml:space="preserve">تاريخ الاكتشاف، المنتج/المادة، رقم التشغيلة، وصف عدم المطابقة، المسؤول عن الاكتشاف، الإجراء الفوري المتخذ (حجز)، توقيع المبلغ.</w:t>
            </w:r>
          </w:p>
        </w:tc>
      </w:tr>
      <w:tr>
        <w:tc>
          <w:tcPr/>
          <w:p>
            <w:pPr>
              <w:pStyle w:val="Compact"/>
            </w:pPr>
            <w:r>
              <w:t xml:space="preserve">F-14-02</w:t>
            </w:r>
          </w:p>
        </w:tc>
        <w:tc>
          <w:tcPr/>
          <w:p>
            <w:pPr>
              <w:pStyle w:val="Compact"/>
            </w:pPr>
            <w:r>
              <w:t xml:space="preserve">سجل المنتجات والمواد غير المطابقة</w:t>
            </w:r>
          </w:p>
        </w:tc>
        <w:tc>
          <w:tcPr/>
          <w:p>
            <w:pPr>
              <w:pStyle w:val="Compact"/>
            </w:pPr>
            <w:r>
              <w:t xml:space="preserve">مدير الجودة</w:t>
            </w:r>
          </w:p>
        </w:tc>
        <w:tc>
          <w:tcPr/>
          <w:p>
            <w:pPr>
              <w:pStyle w:val="Compact"/>
            </w:pPr>
            <w:r>
              <w:t xml:space="preserve">5 سنوات (أو المدة القانونية الأطول)</w:t>
            </w:r>
          </w:p>
        </w:tc>
        <w:tc>
          <w:tcPr/>
          <w:p>
            <w:pPr>
              <w:pStyle w:val="Compact"/>
            </w:pPr>
            <w:r>
              <w:t xml:space="preserve">تفاصيل عدم المطابقة (رقم التشغيلة، المنتج/المادة، الكمية، التاريخ)، سبب عدم المطابقة، تحليل المخاطر، القرار المتخذ (إعادة معالجة/إعدام/إفراج)، نتائج التحليل (إذا وجدت)، تاريخ ونتائج التحقق من الإفراج، توقيع رئيس فريق سلامة الغذاء.</w:t>
            </w:r>
          </w:p>
        </w:tc>
      </w:tr>
      <w:tr>
        <w:tc>
          <w:tcPr/>
          <w:p>
            <w:pPr>
              <w:pStyle w:val="Compact"/>
            </w:pPr>
            <w:r>
              <w:t xml:space="preserve">F-14-A</w:t>
            </w:r>
          </w:p>
        </w:tc>
        <w:tc>
          <w:tcPr/>
          <w:p>
            <w:pPr>
              <w:pStyle w:val="Compact"/>
            </w:pPr>
            <w:r>
              <w:t xml:space="preserve">ملصق</w:t>
            </w:r>
            <w:r>
              <w:t xml:space="preserve"> </w:t>
            </w:r>
            <w:r>
              <w:t xml:space="preserve">“منتج غير مطابق - تحت الحجز”</w:t>
            </w:r>
          </w:p>
        </w:tc>
        <w:tc>
          <w:tcPr/>
          <w:p>
            <w:pPr>
              <w:pStyle w:val="Compact"/>
            </w:pPr>
            <w:r>
              <w:t xml:space="preserve">مشرف الإنتاج/مسؤول الجودة</w:t>
            </w:r>
          </w:p>
        </w:tc>
        <w:tc>
          <w:tcPr/>
          <w:p>
            <w:pPr>
              <w:pStyle w:val="Compact"/>
            </w:pPr>
            <w:r>
              <w:t xml:space="preserve">إلى حين الإفراج أو الإعدام</w:t>
            </w:r>
          </w:p>
        </w:tc>
        <w:tc>
          <w:tcPr/>
          <w:p>
            <w:pPr>
              <w:pStyle w:val="Compact"/>
            </w:pPr>
            <w:r>
              <w:t xml:space="preserve">اسم المنتج/المادة، الرقم التعريفي/التشغيلة، سبب عدم المطابقة، تاريخ الحجز، اسم المسؤول عن الحجز، تاريخ الإفراج/الإعدام.</w:t>
            </w:r>
          </w:p>
        </w:tc>
      </w:tr>
      <w:tr>
        <w:tc>
          <w:tcPr/>
          <w:p>
            <w:pPr>
              <w:pStyle w:val="Compact"/>
            </w:pPr>
            <w:r>
              <w:t xml:space="preserve">F-10-01</w:t>
            </w:r>
          </w:p>
        </w:tc>
        <w:tc>
          <w:tcPr/>
          <w:p>
            <w:pPr>
              <w:pStyle w:val="Compact"/>
            </w:pPr>
            <w:r>
              <w:t xml:space="preserve">نموذج الإجراء التصحيحي</w:t>
            </w:r>
          </w:p>
        </w:tc>
        <w:tc>
          <w:tcPr/>
          <w:p>
            <w:pPr>
              <w:pStyle w:val="Compact"/>
            </w:pPr>
            <w:r>
              <w:t xml:space="preserve">مدير الجودة</w:t>
            </w:r>
          </w:p>
        </w:tc>
        <w:tc>
          <w:tcPr/>
          <w:p>
            <w:pPr>
              <w:pStyle w:val="Compact"/>
            </w:pPr>
            <w:r>
              <w:t xml:space="preserve">5 سنوات</w:t>
            </w:r>
          </w:p>
        </w:tc>
        <w:tc>
          <w:tcPr/>
          <w:p>
            <w:pPr>
              <w:pStyle w:val="Compact"/>
            </w:pPr>
            <w:r>
              <w:t xml:space="preserve">وصف عدم المطابقة، تحليل السبب الجذري، الإجراءات التصحيحية المحددة، المسؤول، تاريخ التنفيذ، تاريخ التحقق من الفعالية والنتائج.</w:t>
            </w:r>
          </w:p>
        </w:tc>
      </w:tr>
      <w:tr>
        <w:tc>
          <w:tcPr/>
          <w:p>
            <w:pPr>
              <w:pStyle w:val="Compact"/>
            </w:pPr>
            <w:r>
              <w:t xml:space="preserve">FSP-15</w:t>
            </w:r>
          </w:p>
        </w:tc>
        <w:tc>
          <w:tcPr/>
          <w:p>
            <w:pPr>
              <w:pStyle w:val="Compact"/>
            </w:pPr>
            <w:r>
              <w:t xml:space="preserve">إجراء سحب المنتج</w:t>
            </w:r>
          </w:p>
        </w:tc>
        <w:tc>
          <w:tcPr/>
          <w:p>
            <w:pPr>
              <w:pStyle w:val="Compact"/>
            </w:pPr>
            <w:r>
              <w:t xml:space="preserve">رئيس فريق سلامة الغذاء</w:t>
            </w:r>
          </w:p>
        </w:tc>
        <w:tc>
          <w:tcPr/>
          <w:p>
            <w:pPr>
              <w:pStyle w:val="Compact"/>
            </w:pPr>
            <w:r>
              <w:t xml:space="preserve">10 سنوات (أو المدة القانونية الأطول)</w:t>
            </w:r>
          </w:p>
        </w:tc>
        <w:tc>
          <w:tcPr/>
          <w:p>
            <w:pPr>
              <w:pStyle w:val="Compact"/>
            </w:pPr>
            <w:r>
              <w:t xml:space="preserve">خطة السحب والإبلاغ، آليات التتبع، اتخاذ القرار، توثيق السجلات، الإبلاغ للسلطات.</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24"/>
        </w:numPr>
      </w:pPr>
      <w:r>
        <w:rPr>
          <w:b/>
          <w:bCs/>
        </w:rPr>
        <w:t xml:space="preserve">نسبة حالات عدم المطابقة التي تم تحليل أسبابها الجذرية وتطبيق إجراءات تصحيحية فعالة لها</w:t>
      </w:r>
      <w:r>
        <w:t xml:space="preserve">: يجب أن لا تقل عن 98%.</w:t>
      </w:r>
    </w:p>
    <w:p>
      <w:pPr>
        <w:pStyle w:val="Compact"/>
        <w:numPr>
          <w:ilvl w:val="0"/>
          <w:numId w:val="1024"/>
        </w:numPr>
      </w:pPr>
      <w:r>
        <w:rPr>
          <w:b/>
          <w:bCs/>
        </w:rPr>
        <w:t xml:space="preserve">المدة الزمنية للاستجابة الأولية لحالات عدم المطابقة (من الاكتشاف للحجز)</w:t>
      </w:r>
      <w:r>
        <w:t xml:space="preserve">: يجب أن لا تتجاوز [ساعة/يوم].</w:t>
      </w:r>
    </w:p>
    <w:p>
      <w:pPr>
        <w:pStyle w:val="Compact"/>
        <w:numPr>
          <w:ilvl w:val="0"/>
          <w:numId w:val="1024"/>
        </w:numPr>
      </w:pPr>
      <w:r>
        <w:rPr>
          <w:b/>
          <w:bCs/>
        </w:rPr>
        <w:t xml:space="preserve">نسبة المنتجات غير المطابقة التي تم التخلص منها أو معالجتها بشكل صحيح وفي الوقت المحدد</w:t>
      </w:r>
      <w:r>
        <w:t xml:space="preserve">: يجب أن لا تقل عن 100%.</w:t>
      </w:r>
    </w:p>
    <w:p>
      <w:pPr>
        <w:pStyle w:val="Compact"/>
        <w:numPr>
          <w:ilvl w:val="0"/>
          <w:numId w:val="1024"/>
        </w:numPr>
      </w:pPr>
      <w:r>
        <w:rPr>
          <w:b/>
          <w:bCs/>
        </w:rPr>
        <w:t xml:space="preserve">عدد الشكاوى الناتجة عن منتجات غير مطابقة تم تسويقها</w:t>
      </w:r>
      <w:r>
        <w:t xml:space="preserve">: يجب أن تكون صفر.</w:t>
      </w:r>
    </w:p>
    <w:p>
      <w:pPr>
        <w:pStyle w:val="Compact"/>
        <w:numPr>
          <w:ilvl w:val="0"/>
          <w:numId w:val="1024"/>
        </w:numPr>
      </w:pPr>
      <w:r>
        <w:rPr>
          <w:b/>
          <w:bCs/>
        </w:rPr>
        <w:t xml:space="preserve">نسبة المنتجات المسحوبة أو المسترجعة بسبب عدم المطابقة</w:t>
      </w:r>
      <w:r>
        <w:t xml:space="preserve">: يجب أن تكون صفر.</w:t>
      </w:r>
    </w:p>
    <w:p>
      <w:pPr>
        <w:pStyle w:val="Compact"/>
        <w:numPr>
          <w:ilvl w:val="0"/>
          <w:numId w:val="1024"/>
        </w:numPr>
      </w:pPr>
      <w:r>
        <w:rPr>
          <w:b/>
          <w:bCs/>
        </w:rPr>
        <w:t xml:space="preserve">عدد مرات الإفراج المشروط عن المنتجات غير المطابقة بعد المعالجة</w:t>
      </w:r>
      <w:r>
        <w:t xml:space="preserve">: يجب تحديده واستثناءه في حال وجود تأثير على سلامة الغذاء.</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14 - FSP-14</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2026-06-28T07:02:29Z</dcterms:created>
  <dcterms:modified xsi:type="dcterms:W3CDTF">2026-06-28T07:02:29Z</dcterms:modified>
</cp:coreProperties>
</file>

<file path=docProps/custom.xml><?xml version="1.0" encoding="utf-8"?>
<Properties xmlns="http://schemas.openxmlformats.org/officeDocument/2006/custom-properties" xmlns:vt="http://schemas.openxmlformats.org/officeDocument/2006/docPropsVTypes"/>
</file>