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 of ASAXS/Ellipsoid_Uniform</w:t>
      </w:r>
    </w:p>
    <w:p>
      <w:r>
        <w:br/>
        <w:t xml:space="preserve">        Documentation</w:t>
        <w:br/>
        <w:t xml:space="preserve">        Calculates the Energy dependent form factor of multilayered oblate nanoparticles with different materials</w:t>
        <w:br/>
        <w:br/>
        <w:t xml:space="preserve">        x           : Reciprocal wave-vector 'Q' inv-Angs in the form of a scalar or an array</w:t>
        <w:br/>
        <w:t xml:space="preserve">        relement    : Resonant element of the nanoparticle. Default: 'Au'</w:t>
        <w:br/>
        <w:t xml:space="preserve">        Energy      : Energy of X-rays in keV at which the form-factor is calculated. Default: None</w:t>
        <w:br/>
        <w:t xml:space="preserve">        Np          : No. of points with which the size distribution will be computed. Default: 10</w:t>
        <w:br/>
        <w:t xml:space="preserve">        NrDep       : Energy dependence of the non-resonant element. Default= 'False' (Energy independent), 'True' (Energy dependent)</w:t>
        <w:br/>
        <w:t xml:space="preserve">        dist        : The probability distribution fucntion for the radii of different interfaces in the nanoparticles. Default: Gaussian</w:t>
        <w:br/>
        <w:t xml:space="preserve">        Nalf        : Number of azimuthal angle points for angular averaging</w:t>
        <w:br/>
        <w:t xml:space="preserve">        norm        : The density of the nanoparticles in nanoMolar (nanoMoles/Liter)</w:t>
        <w:br/>
        <w:t xml:space="preserve">        norm_err    :</w:t>
        <w:br/>
        <w:t xml:space="preserve">        sbkg        : Constant incoherent background for SAXS-term</w:t>
        <w:br/>
        <w:t xml:space="preserve">        cbkg        : Constant incoherent background for cross-term</w:t>
        <w:br/>
        <w:t xml:space="preserve">        abkg        : Constant incoherent background for Resonant-term</w:t>
        <w:br/>
        <w:t xml:space="preserve">        error_factor: Error-factor to simulate the error-bars</w:t>
        <w:br/>
        <w:t xml:space="preserve">        term        : 'SAXS-term' or 'Cross-term' or 'Resonant-term' or 'Total'</w:t>
        <w:br/>
        <w:t xml:space="preserve">        D           : Hard Sphere Diameter</w:t>
        <w:br/>
        <w:t xml:space="preserve">        phi         : Volume fraction of particles</w:t>
        <w:br/>
        <w:t xml:space="preserve">        U           : The sticky-sphere interaction energy</w:t>
        <w:br/>
        <w:t xml:space="preserve">        SF          : Type of structure factor. Default: 'None'</w:t>
        <w:br/>
        <w:t xml:space="preserve">        Rsig        : Width of distribution of radii</w:t>
        <w:br/>
        <w:t xml:space="preserve">        mpar        : Multi-parameter which defines the following including the solvent/bulk medium which is the last one. Default: 'H2O'</w:t>
        <w:br/>
        <w:t xml:space="preserve">                        Material ('Materials' using chemical formula),</w:t>
        <w:br/>
        <w:t xml:space="preserve">                        Density ('Density' in gm/cubic-cms),</w:t>
        <w:br/>
        <w:t xml:space="preserve">                        Density of solvent ('SolDensity' in gm/cubic-cms) of the particular layer</w:t>
        <w:br/>
        <w:t xml:space="preserve">                        Mole-fraction ('Rmoles') of resonant element in the material)</w:t>
        <w:br/>
        <w:t xml:space="preserve">                        Radii ('R' in Angs), and</w:t>
        <w:br/>
        <w:t xml:space="preserve">                        Height to Radii ratio ('RzRatio' ratio)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