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Exercice 1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5) Elle est appelée au moment de l'exécution de la ligne “ frame.add(view) “ et aussi à l'appel de la méthode repaint().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6) AWT est une interface Java pour le code d'interface graphique système native présente dans le système d'exploitation. Généralement, le résultat final n’est pas le même sur tous les systèmes.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Swing est une interface graphique Java qui utilise AWT pour créer une fenêtre de système d’exploitation, puis y peint des images de boutons, d’étiquettes, de texte, de cases à cocher, etc., et répond à tous vos clics de souris, entrées au clavier, etc., en décidant par lui-même quoi faire. au lieu de laisser le système d'exploitation le gérer. Ainsi, Swing est 100% portable et est identique sur toutes les plates-formes.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Exercice 2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