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4B6270CD"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F346C">
        <w:t>Base on dual processing theory, we theorize human answerers</w:t>
      </w:r>
      <w:r w:rsidR="00AE3BC0">
        <w:t>’</w:t>
      </w:r>
      <w:r w:rsidR="001F346C">
        <w:t xml:space="preserve"> behaviors from observing fast and slow signals on supply competition, namely, the existence, length, and quality of the prior answer</w:t>
      </w:r>
      <w:r w:rsidR="00AC05B3">
        <w:t>, which would affect answerer</w:t>
      </w:r>
      <w:r w:rsidR="00AE3BC0">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repond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r w:rsidR="00AC05B3">
        <w:t>singals</w:t>
      </w:r>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AE3BC0">
        <w:t>’</w:t>
      </w:r>
      <w:r w:rsidRPr="0022223D">
        <w:t xml:space="preserve">s impact </w:t>
      </w:r>
      <w:r w:rsidR="00AC05B3">
        <w:t>by differenting AI</w:t>
      </w:r>
      <w:r w:rsidR="00AE3BC0">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4A785E46"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145FCAE4" w:rsidR="0058132E" w:rsidRPr="0022223D" w:rsidRDefault="0058132E" w:rsidP="00136E54">
      <w:pPr>
        <w:pStyle w:val="TableFiguretitle"/>
        <w:spacing w:after="0" w:line="480" w:lineRule="auto"/>
      </w:pPr>
      <w:r w:rsidRPr="0022223D">
        <w:t>Figure</w:t>
      </w:r>
      <w:r w:rsidRPr="0022223D">
        <w:rPr>
          <w:rFonts w:eastAsia="Georgia"/>
        </w:rPr>
        <w:t xml:space="preserve"> </w:t>
      </w:r>
      <w:r>
        <w:fldChar w:fldCharType="begin"/>
      </w:r>
      <w:r>
        <w:instrText xml:space="preserve"> SEQ Figure \* ARABIC </w:instrText>
      </w:r>
      <w:r>
        <w:fldChar w:fldCharType="separate"/>
      </w:r>
      <w:r w:rsidRPr="0022223D">
        <w:t>1</w:t>
      </w:r>
      <w: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lastRenderedPageBreak/>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5D08FA73"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AE3BC0">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0F684AE3"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AE3BC0">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AE3BC0">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551018C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AE3BC0">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AE3BC0">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739CBFA4" w:rsidR="00F0783D" w:rsidRPr="0022223D" w:rsidRDefault="00F0783D" w:rsidP="00633022">
      <w:pPr>
        <w:pStyle w:val="Paragraph0"/>
      </w:pPr>
      <w:r w:rsidRPr="0022223D">
        <w:t>Our findings reveal</w:t>
      </w:r>
      <w:r w:rsidR="00F36654" w:rsidRPr="0022223D">
        <w:t xml:space="preserve"> that internal GenAI</w:t>
      </w:r>
      <w:r w:rsidR="00AE3BC0">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AE3BC0">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0A59782F"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AE3BC0">
        <w:t>’</w:t>
      </w:r>
      <w:r w:rsidRPr="0022223D">
        <w:t xml:space="preserve">s role, showing </w:t>
      </w:r>
      <w:r w:rsidR="00CA5E62" w:rsidRPr="0022223D">
        <w:t xml:space="preserve">the </w:t>
      </w:r>
      <w:r w:rsidRPr="0022223D">
        <w:t>correlation between received answers and subsequent contributions.</w:t>
      </w:r>
    </w:p>
    <w:p w14:paraId="27B04192" w14:textId="16EE7EAA"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AE3BC0">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05FFB439"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380040F2"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AE3BC0">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w:t>
      </w:r>
      <w:r w:rsidR="004D6660" w:rsidRPr="004D6660">
        <w:t xml:space="preserve"> </w:t>
      </w:r>
      <w:r w:rsidR="004D6660" w:rsidRPr="004D6660">
        <w:t>.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Zhihu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2BF87B59"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AE3BC0">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rPr>
          <w:rFonts w:hint="eastAsia"/>
        </w:rPr>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Zhihu,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and others find positive outcomes</w:t>
      </w:r>
      <w:r w:rsidR="00F17DBF">
        <w:rPr>
          <w:rFonts w:hint="eastAsia"/>
        </w:rPr>
        <w:t xml:space="preserve">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1D1670F3" w:rsidR="00093326" w:rsidRDefault="00093326" w:rsidP="00093326">
      <w:pPr>
        <w:pStyle w:val="Heading3"/>
      </w:pPr>
      <w:r>
        <w:rPr>
          <w:rFonts w:hint="eastAsia"/>
          <w:lang w:eastAsia="zh-CN"/>
        </w:rPr>
        <w:t>Comparing to Extenal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519D7FBA" w:rsidR="003B4A39" w:rsidRDefault="00F40939" w:rsidP="00D66C4E">
      <w:pPr>
        <w:pStyle w:val="TableFiguretitle"/>
        <w:rPr>
          <w:rFonts w:hint="eastAsia"/>
        </w:rPr>
      </w:pPr>
      <w:bookmarkStart w:id="2" w:name="_Ref177391594"/>
      <w:bookmarkStart w:id="3"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B04148" w:rsidRPr="0022223D">
        <w:t>1</w:t>
      </w:r>
      <w:r w:rsidR="00B04148">
        <w:fldChar w:fldCharType="end"/>
      </w:r>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14" w:type="dxa"/>
          <w:right w:w="14" w:type="dxa"/>
        </w:tblCellMar>
        <w:tblLook w:val="04A0" w:firstRow="1" w:lastRow="0" w:firstColumn="1" w:lastColumn="0" w:noHBand="0" w:noVBand="1"/>
      </w:tblPr>
      <w:tblGrid>
        <w:gridCol w:w="2513"/>
        <w:gridCol w:w="1352"/>
        <w:gridCol w:w="1025"/>
        <w:gridCol w:w="1419"/>
        <w:gridCol w:w="1366"/>
        <w:gridCol w:w="4227"/>
        <w:gridCol w:w="1048"/>
      </w:tblGrid>
      <w:tr w:rsidR="00551AAB" w14:paraId="68B014E5" w14:textId="77777777" w:rsidTr="00551AAB">
        <w:trPr>
          <w:trHeight w:val="815"/>
          <w:jc w:val="center"/>
        </w:trPr>
        <w:tc>
          <w:tcPr>
            <w:tcW w:w="2513" w:type="dxa"/>
            <w:tcBorders>
              <w:top w:val="single" w:sz="4" w:space="0" w:color="auto"/>
              <w:left w:val="single" w:sz="4" w:space="0" w:color="auto"/>
              <w:bottom w:val="single" w:sz="4" w:space="0" w:color="auto"/>
              <w:right w:val="single" w:sz="4" w:space="0" w:color="auto"/>
            </w:tcBorders>
            <w:noWrap/>
            <w:vAlign w:val="center"/>
            <w:hideMark/>
          </w:tcPr>
          <w:p w14:paraId="669146B3"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Study</w:t>
            </w:r>
          </w:p>
        </w:tc>
        <w:tc>
          <w:tcPr>
            <w:tcW w:w="1352" w:type="dxa"/>
            <w:tcBorders>
              <w:top w:val="single" w:sz="4" w:space="0" w:color="auto"/>
              <w:left w:val="nil"/>
              <w:bottom w:val="single" w:sz="4" w:space="0" w:color="auto"/>
              <w:right w:val="single" w:sz="4" w:space="0" w:color="auto"/>
            </w:tcBorders>
            <w:noWrap/>
            <w:vAlign w:val="center"/>
            <w:hideMark/>
          </w:tcPr>
          <w:p w14:paraId="6E5230B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w:t>
            </w:r>
          </w:p>
        </w:tc>
        <w:tc>
          <w:tcPr>
            <w:tcW w:w="1025" w:type="dxa"/>
            <w:tcBorders>
              <w:top w:val="single" w:sz="4" w:space="0" w:color="auto"/>
              <w:left w:val="nil"/>
              <w:bottom w:val="single" w:sz="4" w:space="0" w:color="auto"/>
              <w:right w:val="single" w:sz="4" w:space="0" w:color="auto"/>
            </w:tcBorders>
            <w:vAlign w:val="center"/>
            <w:hideMark/>
          </w:tcPr>
          <w:p w14:paraId="6224E28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 Domain</w:t>
            </w:r>
          </w:p>
        </w:tc>
        <w:tc>
          <w:tcPr>
            <w:tcW w:w="1419" w:type="dxa"/>
            <w:tcBorders>
              <w:top w:val="single" w:sz="4" w:space="0" w:color="auto"/>
              <w:left w:val="nil"/>
              <w:bottom w:val="single" w:sz="4" w:space="0" w:color="auto"/>
              <w:right w:val="single" w:sz="4" w:space="0" w:color="auto"/>
            </w:tcBorders>
            <w:vAlign w:val="center"/>
            <w:hideMark/>
          </w:tcPr>
          <w:p w14:paraId="3C145341"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Research Design</w:t>
            </w:r>
          </w:p>
        </w:tc>
        <w:tc>
          <w:tcPr>
            <w:tcW w:w="1366" w:type="dxa"/>
            <w:tcBorders>
              <w:top w:val="single" w:sz="4" w:space="0" w:color="auto"/>
              <w:left w:val="nil"/>
              <w:bottom w:val="single" w:sz="4" w:space="0" w:color="auto"/>
              <w:right w:val="single" w:sz="4" w:space="0" w:color="auto"/>
            </w:tcBorders>
            <w:noWrap/>
            <w:vAlign w:val="center"/>
            <w:hideMark/>
          </w:tcPr>
          <w:p w14:paraId="72CAAD24"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Unit of Analysis</w:t>
            </w:r>
          </w:p>
        </w:tc>
        <w:tc>
          <w:tcPr>
            <w:tcW w:w="4227" w:type="dxa"/>
            <w:tcBorders>
              <w:top w:val="single" w:sz="4" w:space="0" w:color="auto"/>
              <w:left w:val="nil"/>
              <w:bottom w:val="single" w:sz="4" w:space="0" w:color="auto"/>
              <w:right w:val="single" w:sz="4" w:space="0" w:color="auto"/>
            </w:tcBorders>
            <w:noWrap/>
            <w:vAlign w:val="center"/>
            <w:hideMark/>
          </w:tcPr>
          <w:p w14:paraId="646137AF"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Key Findings</w:t>
            </w:r>
          </w:p>
        </w:tc>
        <w:tc>
          <w:tcPr>
            <w:tcW w:w="1048" w:type="dxa"/>
            <w:tcBorders>
              <w:top w:val="single" w:sz="4" w:space="0" w:color="auto"/>
              <w:left w:val="nil"/>
              <w:bottom w:val="single" w:sz="4" w:space="0" w:color="auto"/>
              <w:right w:val="single" w:sz="4" w:space="0" w:color="auto"/>
            </w:tcBorders>
            <w:vAlign w:val="center"/>
            <w:hideMark/>
          </w:tcPr>
          <w:p w14:paraId="00A22D4A"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 xml:space="preserve">AI label v.s. </w:t>
            </w:r>
            <w:r>
              <w:rPr>
                <w:rFonts w:ascii="Arial" w:hAnsi="Arial" w:cs="Arial"/>
                <w:b/>
                <w:bCs/>
                <w:color w:val="000000"/>
                <w:sz w:val="18"/>
                <w:szCs w:val="18"/>
              </w:rPr>
              <w:br/>
              <w:t>AI content?</w:t>
            </w:r>
          </w:p>
        </w:tc>
      </w:tr>
      <w:tr w:rsidR="00551AAB" w14:paraId="1CC972AD"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461E8B0E"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551AAB" w14:paraId="0B479F5D"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7412179" w14:textId="77777777" w:rsidR="00551AAB" w:rsidRDefault="00551AAB">
            <w:pPr>
              <w:rPr>
                <w:rFonts w:ascii="Arial" w:hAnsi="Arial" w:cs="Arial"/>
                <w:color w:val="000000"/>
                <w:sz w:val="18"/>
                <w:szCs w:val="18"/>
              </w:rPr>
            </w:pPr>
            <w:r>
              <w:rPr>
                <w:rFonts w:ascii="Arial" w:hAnsi="Arial" w:cs="Arial"/>
                <w:color w:val="000000"/>
                <w:sz w:val="18"/>
                <w:szCs w:val="18"/>
              </w:rPr>
              <w:t>Burtch et al. (2024)</w:t>
            </w:r>
          </w:p>
        </w:tc>
        <w:tc>
          <w:tcPr>
            <w:tcW w:w="1352" w:type="dxa"/>
            <w:tcBorders>
              <w:top w:val="nil"/>
              <w:left w:val="nil"/>
              <w:bottom w:val="single" w:sz="4" w:space="0" w:color="auto"/>
              <w:right w:val="single" w:sz="4" w:space="0" w:color="auto"/>
            </w:tcBorders>
            <w:noWrap/>
            <w:vAlign w:val="center"/>
            <w:hideMark/>
          </w:tcPr>
          <w:p w14:paraId="18AE1BDD"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A6FBF5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5C0BF5BF"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51DF805E"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064C8A24"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415C4173"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8C921A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5B96A4E" w14:textId="77777777" w:rsidR="00551AAB" w:rsidRDefault="00551AAB">
            <w:pPr>
              <w:rPr>
                <w:rFonts w:ascii="Arial" w:hAnsi="Arial" w:cs="Arial"/>
                <w:color w:val="000000"/>
                <w:sz w:val="18"/>
                <w:szCs w:val="18"/>
              </w:rPr>
            </w:pPr>
            <w:r>
              <w:rPr>
                <w:rFonts w:ascii="Arial" w:hAnsi="Arial" w:cs="Arial"/>
                <w:color w:val="000000"/>
                <w:sz w:val="18"/>
                <w:szCs w:val="18"/>
              </w:rPr>
              <w:t>del Rio-Chanona et al. (2024)</w:t>
            </w:r>
          </w:p>
        </w:tc>
        <w:tc>
          <w:tcPr>
            <w:tcW w:w="1352" w:type="dxa"/>
            <w:tcBorders>
              <w:top w:val="nil"/>
              <w:left w:val="nil"/>
              <w:bottom w:val="single" w:sz="4" w:space="0" w:color="auto"/>
              <w:right w:val="single" w:sz="4" w:space="0" w:color="auto"/>
            </w:tcBorders>
            <w:noWrap/>
            <w:vAlign w:val="center"/>
            <w:hideMark/>
          </w:tcPr>
          <w:p w14:paraId="45302307"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2BCA493"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027DDB"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CA32E53"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2B34F20E"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2936DD00"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9DFB8DF"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171C65D9" w14:textId="77777777" w:rsidR="00551AAB" w:rsidRDefault="00551AAB">
            <w:pPr>
              <w:rPr>
                <w:rFonts w:ascii="Arial" w:hAnsi="Arial" w:cs="Arial"/>
                <w:color w:val="000000"/>
                <w:sz w:val="18"/>
                <w:szCs w:val="18"/>
              </w:rPr>
            </w:pPr>
            <w:r>
              <w:rPr>
                <w:rFonts w:ascii="Arial" w:hAnsi="Arial" w:cs="Arial"/>
                <w:color w:val="000000"/>
                <w:sz w:val="18"/>
                <w:szCs w:val="18"/>
              </w:rPr>
              <w:t>Quinn &amp; Gutt (2025, JMIS)</w:t>
            </w:r>
          </w:p>
        </w:tc>
        <w:tc>
          <w:tcPr>
            <w:tcW w:w="1352" w:type="dxa"/>
            <w:tcBorders>
              <w:top w:val="nil"/>
              <w:left w:val="nil"/>
              <w:bottom w:val="single" w:sz="4" w:space="0" w:color="auto"/>
              <w:right w:val="single" w:sz="4" w:space="0" w:color="auto"/>
            </w:tcBorders>
            <w:noWrap/>
            <w:vAlign w:val="center"/>
            <w:hideMark/>
          </w:tcPr>
          <w:p w14:paraId="377C046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BC2DE8F"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6DE0CB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63E4EB8B"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602D1CC5"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3DB59346"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D68AB91" w14:textId="77777777" w:rsidTr="00551AAB">
        <w:trPr>
          <w:trHeight w:val="1025"/>
          <w:jc w:val="center"/>
        </w:trPr>
        <w:tc>
          <w:tcPr>
            <w:tcW w:w="2513" w:type="dxa"/>
            <w:tcBorders>
              <w:top w:val="nil"/>
              <w:left w:val="single" w:sz="4" w:space="0" w:color="auto"/>
              <w:bottom w:val="single" w:sz="4" w:space="0" w:color="auto"/>
              <w:right w:val="single" w:sz="4" w:space="0" w:color="auto"/>
            </w:tcBorders>
            <w:noWrap/>
            <w:vAlign w:val="center"/>
            <w:hideMark/>
          </w:tcPr>
          <w:p w14:paraId="16C4380D" w14:textId="77777777" w:rsidR="00551AAB" w:rsidRDefault="00551AAB">
            <w:pPr>
              <w:rPr>
                <w:rFonts w:ascii="Arial" w:hAnsi="Arial" w:cs="Arial"/>
                <w:color w:val="000000"/>
                <w:sz w:val="18"/>
                <w:szCs w:val="18"/>
              </w:rPr>
            </w:pPr>
            <w:r>
              <w:rPr>
                <w:rFonts w:ascii="Arial" w:hAnsi="Arial" w:cs="Arial"/>
                <w:color w:val="000000"/>
                <w:sz w:val="18"/>
                <w:szCs w:val="18"/>
              </w:rPr>
              <w:t>Sanatizadeh et al. (2025, I&amp;M)</w:t>
            </w:r>
          </w:p>
        </w:tc>
        <w:tc>
          <w:tcPr>
            <w:tcW w:w="1352" w:type="dxa"/>
            <w:tcBorders>
              <w:top w:val="nil"/>
              <w:left w:val="nil"/>
              <w:bottom w:val="single" w:sz="4" w:space="0" w:color="auto"/>
              <w:right w:val="single" w:sz="4" w:space="0" w:color="auto"/>
            </w:tcBorders>
            <w:noWrap/>
            <w:vAlign w:val="center"/>
            <w:hideMark/>
          </w:tcPr>
          <w:p w14:paraId="00A719ED"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59A4C5A"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B6FD57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C5D011E" w14:textId="77777777" w:rsidR="00551AAB" w:rsidRDefault="00551AAB">
            <w:pPr>
              <w:rPr>
                <w:rFonts w:ascii="Arial" w:hAnsi="Arial" w:cs="Arial"/>
                <w:color w:val="000000"/>
                <w:sz w:val="18"/>
                <w:szCs w:val="18"/>
              </w:rPr>
            </w:pPr>
            <w:r>
              <w:rPr>
                <w:rFonts w:ascii="Arial" w:hAnsi="Arial" w:cs="Arial"/>
                <w:color w:val="000000"/>
                <w:sz w:val="18"/>
                <w:szCs w:val="18"/>
              </w:rPr>
              <w:t>Post-Day</w:t>
            </w:r>
          </w:p>
        </w:tc>
        <w:tc>
          <w:tcPr>
            <w:tcW w:w="4227" w:type="dxa"/>
            <w:tcBorders>
              <w:top w:val="nil"/>
              <w:left w:val="nil"/>
              <w:bottom w:val="single" w:sz="4" w:space="0" w:color="auto"/>
              <w:right w:val="single" w:sz="4" w:space="0" w:color="auto"/>
            </w:tcBorders>
            <w:vAlign w:val="center"/>
            <w:hideMark/>
          </w:tcPr>
          <w:p w14:paraId="1700DE04"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c>
          <w:tcPr>
            <w:tcW w:w="1048" w:type="dxa"/>
            <w:tcBorders>
              <w:top w:val="nil"/>
              <w:left w:val="nil"/>
              <w:bottom w:val="single" w:sz="4" w:space="0" w:color="auto"/>
              <w:right w:val="single" w:sz="4" w:space="0" w:color="auto"/>
            </w:tcBorders>
            <w:noWrap/>
            <w:vAlign w:val="center"/>
            <w:hideMark/>
          </w:tcPr>
          <w:p w14:paraId="1751EFC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809B6E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38AA055" w14:textId="77777777" w:rsidR="00551AAB" w:rsidRDefault="00551AAB">
            <w:pPr>
              <w:rPr>
                <w:rFonts w:ascii="Arial" w:hAnsi="Arial" w:cs="Arial"/>
                <w:color w:val="000000"/>
                <w:sz w:val="18"/>
                <w:szCs w:val="18"/>
              </w:rPr>
            </w:pPr>
            <w:r>
              <w:rPr>
                <w:rFonts w:ascii="Arial" w:hAnsi="Arial" w:cs="Arial"/>
                <w:color w:val="000000"/>
                <w:sz w:val="18"/>
                <w:szCs w:val="18"/>
              </w:rPr>
              <w:t>Li &amp; Kim (2025)</w:t>
            </w:r>
          </w:p>
        </w:tc>
        <w:tc>
          <w:tcPr>
            <w:tcW w:w="1352" w:type="dxa"/>
            <w:tcBorders>
              <w:top w:val="nil"/>
              <w:left w:val="nil"/>
              <w:bottom w:val="single" w:sz="4" w:space="0" w:color="auto"/>
              <w:right w:val="single" w:sz="4" w:space="0" w:color="auto"/>
            </w:tcBorders>
            <w:noWrap/>
            <w:vAlign w:val="center"/>
            <w:hideMark/>
          </w:tcPr>
          <w:p w14:paraId="2835C1B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1560F82"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9DA945"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4739B00"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520E2E28" w14:textId="77777777" w:rsidR="00551AAB" w:rsidRDefault="00551AAB">
            <w:pPr>
              <w:rPr>
                <w:rFonts w:ascii="Arial" w:hAnsi="Arial" w:cs="Arial"/>
                <w:color w:val="000000"/>
                <w:sz w:val="18"/>
                <w:szCs w:val="18"/>
              </w:rPr>
            </w:pPr>
            <w:r>
              <w:rPr>
                <w:rFonts w:ascii="Arial" w:hAnsi="Arial" w:cs="Arial"/>
                <w:color w:val="000000"/>
                <w:sz w:val="18"/>
                <w:szCs w:val="18"/>
              </w:rPr>
              <w:t>↓ Answers; ↓ Likes</w:t>
            </w:r>
          </w:p>
        </w:tc>
        <w:tc>
          <w:tcPr>
            <w:tcW w:w="1048" w:type="dxa"/>
            <w:tcBorders>
              <w:top w:val="nil"/>
              <w:left w:val="nil"/>
              <w:bottom w:val="single" w:sz="4" w:space="0" w:color="auto"/>
              <w:right w:val="single" w:sz="4" w:space="0" w:color="auto"/>
            </w:tcBorders>
            <w:noWrap/>
            <w:vAlign w:val="center"/>
            <w:hideMark/>
          </w:tcPr>
          <w:p w14:paraId="050DA89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0308F9C"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7BB3E33" w14:textId="77777777" w:rsidR="00551AAB" w:rsidRDefault="00551AAB">
            <w:pPr>
              <w:rPr>
                <w:rFonts w:ascii="Arial" w:hAnsi="Arial" w:cs="Arial"/>
                <w:color w:val="000000"/>
                <w:sz w:val="18"/>
                <w:szCs w:val="18"/>
              </w:rPr>
            </w:pPr>
            <w:r>
              <w:rPr>
                <w:rFonts w:ascii="Arial" w:hAnsi="Arial" w:cs="Arial"/>
                <w:color w:val="000000"/>
                <w:sz w:val="18"/>
                <w:szCs w:val="18"/>
              </w:rPr>
              <w:t>Rao et al. (2026)</w:t>
            </w:r>
          </w:p>
        </w:tc>
        <w:tc>
          <w:tcPr>
            <w:tcW w:w="1352" w:type="dxa"/>
            <w:tcBorders>
              <w:top w:val="nil"/>
              <w:left w:val="nil"/>
              <w:bottom w:val="single" w:sz="4" w:space="0" w:color="auto"/>
              <w:right w:val="single" w:sz="4" w:space="0" w:color="auto"/>
            </w:tcBorders>
            <w:noWrap/>
            <w:vAlign w:val="center"/>
            <w:hideMark/>
          </w:tcPr>
          <w:p w14:paraId="554DE27F"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27F71647"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1E6A19"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22D925CA" w14:textId="77777777" w:rsidR="00551AAB" w:rsidRDefault="00551AAB">
            <w:pPr>
              <w:rPr>
                <w:rFonts w:ascii="Arial" w:hAnsi="Arial" w:cs="Arial"/>
                <w:color w:val="000000"/>
                <w:sz w:val="18"/>
                <w:szCs w:val="18"/>
              </w:rPr>
            </w:pPr>
            <w:r>
              <w:rPr>
                <w:rFonts w:ascii="Arial" w:hAnsi="Arial" w:cs="Arial"/>
                <w:color w:val="000000"/>
                <w:sz w:val="18"/>
                <w:szCs w:val="18"/>
              </w:rPr>
              <w:t>User-Week</w:t>
            </w:r>
          </w:p>
        </w:tc>
        <w:tc>
          <w:tcPr>
            <w:tcW w:w="4227" w:type="dxa"/>
            <w:tcBorders>
              <w:top w:val="nil"/>
              <w:left w:val="nil"/>
              <w:bottom w:val="single" w:sz="4" w:space="0" w:color="auto"/>
              <w:right w:val="single" w:sz="4" w:space="0" w:color="auto"/>
            </w:tcBorders>
            <w:noWrap/>
            <w:vAlign w:val="center"/>
            <w:hideMark/>
          </w:tcPr>
          <w:p w14:paraId="7F8B6EA7" w14:textId="77777777" w:rsidR="00551AAB" w:rsidRDefault="00551AAB">
            <w:pPr>
              <w:rPr>
                <w:rFonts w:ascii="Arial" w:hAnsi="Arial" w:cs="Arial"/>
                <w:color w:val="000000"/>
                <w:sz w:val="18"/>
                <w:szCs w:val="18"/>
              </w:rPr>
            </w:pPr>
            <w:r>
              <w:rPr>
                <w:rFonts w:ascii="Arial" w:hAnsi="Arial" w:cs="Arial"/>
                <w:color w:val="000000"/>
                <w:sz w:val="18"/>
                <w:szCs w:val="18"/>
              </w:rPr>
              <w:t>↑ Questions; Questions longer &amp; more novel; ↑ Upvotes</w:t>
            </w:r>
          </w:p>
        </w:tc>
        <w:tc>
          <w:tcPr>
            <w:tcW w:w="1048" w:type="dxa"/>
            <w:tcBorders>
              <w:top w:val="nil"/>
              <w:left w:val="nil"/>
              <w:bottom w:val="single" w:sz="4" w:space="0" w:color="auto"/>
              <w:right w:val="single" w:sz="4" w:space="0" w:color="auto"/>
            </w:tcBorders>
            <w:noWrap/>
            <w:vAlign w:val="center"/>
            <w:hideMark/>
          </w:tcPr>
          <w:p w14:paraId="2320E652"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6DC3CA76"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20239E0" w14:textId="77777777" w:rsidR="00551AAB" w:rsidRDefault="00551AAB">
            <w:pPr>
              <w:rPr>
                <w:rFonts w:ascii="Arial" w:hAnsi="Arial" w:cs="Arial"/>
                <w:color w:val="000000"/>
                <w:sz w:val="18"/>
                <w:szCs w:val="18"/>
              </w:rPr>
            </w:pPr>
            <w:r>
              <w:rPr>
                <w:rFonts w:ascii="Arial" w:hAnsi="Arial" w:cs="Arial"/>
                <w:color w:val="000000"/>
                <w:sz w:val="18"/>
                <w:szCs w:val="18"/>
              </w:rPr>
              <w:t>Xue et al. (2026, ISR)</w:t>
            </w:r>
          </w:p>
        </w:tc>
        <w:tc>
          <w:tcPr>
            <w:tcW w:w="1352" w:type="dxa"/>
            <w:tcBorders>
              <w:top w:val="nil"/>
              <w:left w:val="nil"/>
              <w:bottom w:val="single" w:sz="4" w:space="0" w:color="auto"/>
              <w:right w:val="single" w:sz="4" w:space="0" w:color="auto"/>
            </w:tcBorders>
            <w:noWrap/>
            <w:vAlign w:val="center"/>
            <w:hideMark/>
          </w:tcPr>
          <w:p w14:paraId="4A7316E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C433FB0"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EF289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3F5FB88" w14:textId="77777777" w:rsidR="00551AAB" w:rsidRDefault="00551AAB">
            <w:pPr>
              <w:rPr>
                <w:rFonts w:ascii="Arial" w:hAnsi="Arial" w:cs="Arial"/>
                <w:color w:val="000000"/>
                <w:sz w:val="18"/>
                <w:szCs w:val="18"/>
              </w:rPr>
            </w:pPr>
            <w:r>
              <w:rPr>
                <w:rFonts w:ascii="Arial" w:hAnsi="Arial" w:cs="Arial"/>
                <w:color w:val="000000"/>
                <w:sz w:val="18"/>
                <w:szCs w:val="18"/>
              </w:rPr>
              <w:t>Topic-Day</w:t>
            </w:r>
          </w:p>
        </w:tc>
        <w:tc>
          <w:tcPr>
            <w:tcW w:w="4227" w:type="dxa"/>
            <w:tcBorders>
              <w:top w:val="nil"/>
              <w:left w:val="nil"/>
              <w:bottom w:val="single" w:sz="4" w:space="0" w:color="auto"/>
              <w:right w:val="single" w:sz="4" w:space="0" w:color="auto"/>
            </w:tcBorders>
            <w:noWrap/>
            <w:vAlign w:val="center"/>
            <w:hideMark/>
          </w:tcPr>
          <w:p w14:paraId="4EBF6AD8"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 quality</w:t>
            </w:r>
          </w:p>
        </w:tc>
        <w:tc>
          <w:tcPr>
            <w:tcW w:w="1048" w:type="dxa"/>
            <w:tcBorders>
              <w:top w:val="nil"/>
              <w:left w:val="nil"/>
              <w:bottom w:val="single" w:sz="4" w:space="0" w:color="auto"/>
              <w:right w:val="single" w:sz="4" w:space="0" w:color="auto"/>
            </w:tcBorders>
            <w:noWrap/>
            <w:vAlign w:val="center"/>
            <w:hideMark/>
          </w:tcPr>
          <w:p w14:paraId="2072C387"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3055399"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0B3B0875" w14:textId="77777777" w:rsidR="00551AAB" w:rsidRDefault="00551AAB">
            <w:pPr>
              <w:rPr>
                <w:rFonts w:ascii="Arial" w:hAnsi="Arial" w:cs="Arial"/>
                <w:color w:val="000000"/>
                <w:sz w:val="18"/>
                <w:szCs w:val="18"/>
              </w:rPr>
            </w:pPr>
            <w:r>
              <w:rPr>
                <w:rFonts w:ascii="Arial" w:hAnsi="Arial" w:cs="Arial"/>
                <w:color w:val="000000"/>
                <w:sz w:val="18"/>
                <w:szCs w:val="18"/>
              </w:rPr>
              <w:t>Shan &amp; Qiu (2026, ISR)</w:t>
            </w:r>
          </w:p>
        </w:tc>
        <w:tc>
          <w:tcPr>
            <w:tcW w:w="1352" w:type="dxa"/>
            <w:tcBorders>
              <w:top w:val="nil"/>
              <w:left w:val="nil"/>
              <w:bottom w:val="single" w:sz="4" w:space="0" w:color="auto"/>
              <w:right w:val="single" w:sz="4" w:space="0" w:color="auto"/>
            </w:tcBorders>
            <w:noWrap/>
            <w:vAlign w:val="center"/>
            <w:hideMark/>
          </w:tcPr>
          <w:p w14:paraId="72C02015"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F9BAC9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23899A3"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06ABCF5"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49DFEC6E"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&amp; easier to read</w:t>
            </w:r>
          </w:p>
        </w:tc>
        <w:tc>
          <w:tcPr>
            <w:tcW w:w="1048" w:type="dxa"/>
            <w:tcBorders>
              <w:top w:val="nil"/>
              <w:left w:val="nil"/>
              <w:bottom w:val="single" w:sz="4" w:space="0" w:color="auto"/>
              <w:right w:val="single" w:sz="4" w:space="0" w:color="auto"/>
            </w:tcBorders>
            <w:noWrap/>
            <w:vAlign w:val="center"/>
            <w:hideMark/>
          </w:tcPr>
          <w:p w14:paraId="2E7E015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2EEDCFFF"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E64DFE2"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551AAB" w14:paraId="7BF712C0"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4513CE1" w14:textId="77777777" w:rsidR="00551AAB" w:rsidRDefault="00551AAB">
            <w:pPr>
              <w:rPr>
                <w:rFonts w:ascii="Arial" w:hAnsi="Arial" w:cs="Arial"/>
                <w:color w:val="000000"/>
                <w:sz w:val="18"/>
                <w:szCs w:val="18"/>
              </w:rPr>
            </w:pPr>
            <w:r>
              <w:rPr>
                <w:rFonts w:ascii="Arial" w:hAnsi="Arial" w:cs="Arial"/>
                <w:color w:val="000000"/>
                <w:sz w:val="18"/>
                <w:szCs w:val="18"/>
              </w:rPr>
              <w:t>Wang &amp; Zheng (2024)</w:t>
            </w:r>
          </w:p>
        </w:tc>
        <w:tc>
          <w:tcPr>
            <w:tcW w:w="1352" w:type="dxa"/>
            <w:tcBorders>
              <w:top w:val="nil"/>
              <w:left w:val="nil"/>
              <w:bottom w:val="single" w:sz="4" w:space="0" w:color="auto"/>
              <w:right w:val="single" w:sz="4" w:space="0" w:color="auto"/>
            </w:tcBorders>
            <w:noWrap/>
            <w:vAlign w:val="center"/>
            <w:hideMark/>
          </w:tcPr>
          <w:p w14:paraId="6B997C5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7A453348"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BCD4B3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1DCB52C7"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1C334EF2" w14:textId="77777777" w:rsidR="00551AAB" w:rsidRDefault="00551AAB">
            <w:pPr>
              <w:rPr>
                <w:rFonts w:ascii="Arial" w:hAnsi="Arial" w:cs="Arial"/>
                <w:color w:val="000000"/>
                <w:sz w:val="18"/>
                <w:szCs w:val="18"/>
              </w:rPr>
            </w:pPr>
            <w:r>
              <w:rPr>
                <w:rFonts w:ascii="Arial" w:hAnsi="Arial" w:cs="Arial"/>
                <w:color w:val="000000"/>
                <w:sz w:val="18"/>
                <w:szCs w:val="18"/>
              </w:rPr>
              <w:t>↑ Questions; ↑ Answers &amp; Acceptance; ↑ Views</w:t>
            </w:r>
          </w:p>
        </w:tc>
        <w:tc>
          <w:tcPr>
            <w:tcW w:w="1048" w:type="dxa"/>
            <w:tcBorders>
              <w:top w:val="nil"/>
              <w:left w:val="nil"/>
              <w:bottom w:val="single" w:sz="4" w:space="0" w:color="auto"/>
              <w:right w:val="single" w:sz="4" w:space="0" w:color="auto"/>
            </w:tcBorders>
            <w:noWrap/>
            <w:vAlign w:val="center"/>
            <w:hideMark/>
          </w:tcPr>
          <w:p w14:paraId="77686BA8"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1E3EEEBA"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0974037" w14:textId="77777777" w:rsidR="00551AAB" w:rsidRDefault="00551AAB">
            <w:pPr>
              <w:rPr>
                <w:rFonts w:ascii="Arial" w:hAnsi="Arial" w:cs="Arial"/>
                <w:color w:val="000000"/>
                <w:sz w:val="18"/>
                <w:szCs w:val="18"/>
              </w:rPr>
            </w:pPr>
            <w:r>
              <w:rPr>
                <w:rFonts w:ascii="Arial" w:hAnsi="Arial" w:cs="Arial"/>
                <w:color w:val="000000"/>
                <w:sz w:val="18"/>
                <w:szCs w:val="18"/>
              </w:rPr>
              <w:t>Borwankar et al. (2026)</w:t>
            </w:r>
          </w:p>
        </w:tc>
        <w:tc>
          <w:tcPr>
            <w:tcW w:w="1352" w:type="dxa"/>
            <w:tcBorders>
              <w:top w:val="nil"/>
              <w:left w:val="nil"/>
              <w:bottom w:val="single" w:sz="4" w:space="0" w:color="auto"/>
              <w:right w:val="single" w:sz="4" w:space="0" w:color="auto"/>
            </w:tcBorders>
            <w:noWrap/>
            <w:vAlign w:val="center"/>
            <w:hideMark/>
          </w:tcPr>
          <w:p w14:paraId="5587708B"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7F57A49"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F610AA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8E3659E" w14:textId="77777777" w:rsidR="00551AAB" w:rsidRDefault="00551AAB">
            <w:pPr>
              <w:rPr>
                <w:rFonts w:ascii="Arial" w:hAnsi="Arial" w:cs="Arial"/>
                <w:color w:val="000000"/>
                <w:sz w:val="18"/>
                <w:szCs w:val="18"/>
              </w:rPr>
            </w:pPr>
            <w:r>
              <w:rPr>
                <w:rFonts w:ascii="Arial" w:hAnsi="Arial" w:cs="Arial"/>
                <w:color w:val="000000"/>
                <w:sz w:val="18"/>
                <w:szCs w:val="18"/>
              </w:rPr>
              <w:t>Answer-User-Day</w:t>
            </w:r>
          </w:p>
        </w:tc>
        <w:tc>
          <w:tcPr>
            <w:tcW w:w="4227" w:type="dxa"/>
            <w:tcBorders>
              <w:top w:val="nil"/>
              <w:left w:val="nil"/>
              <w:bottom w:val="single" w:sz="4" w:space="0" w:color="auto"/>
              <w:right w:val="single" w:sz="4" w:space="0" w:color="auto"/>
            </w:tcBorders>
            <w:noWrap/>
            <w:vAlign w:val="center"/>
            <w:hideMark/>
          </w:tcPr>
          <w:p w14:paraId="06BE1EEA" w14:textId="77777777" w:rsidR="00551AAB" w:rsidRDefault="00551AAB">
            <w:pPr>
              <w:rPr>
                <w:rFonts w:ascii="Arial" w:hAnsi="Arial" w:cs="Arial"/>
                <w:color w:val="000000"/>
                <w:sz w:val="18"/>
                <w:szCs w:val="18"/>
              </w:rPr>
            </w:pPr>
            <w:r>
              <w:rPr>
                <w:rFonts w:ascii="Arial" w:hAnsi="Arial" w:cs="Arial"/>
                <w:color w:val="000000"/>
                <w:sz w:val="18"/>
                <w:szCs w:val="18"/>
              </w:rPr>
              <w:t>Answers shorter &amp; more negative; ↓ Likes</w:t>
            </w:r>
          </w:p>
        </w:tc>
        <w:tc>
          <w:tcPr>
            <w:tcW w:w="1048" w:type="dxa"/>
            <w:tcBorders>
              <w:top w:val="nil"/>
              <w:left w:val="nil"/>
              <w:bottom w:val="single" w:sz="4" w:space="0" w:color="auto"/>
              <w:right w:val="single" w:sz="4" w:space="0" w:color="auto"/>
            </w:tcBorders>
            <w:noWrap/>
            <w:vAlign w:val="center"/>
            <w:hideMark/>
          </w:tcPr>
          <w:p w14:paraId="46B4B98B"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80468C7"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F591841"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551AAB" w14:paraId="6B1C1AD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C347B2C" w14:textId="77777777" w:rsidR="00551AAB" w:rsidRDefault="00551AAB">
            <w:pPr>
              <w:rPr>
                <w:rFonts w:ascii="Arial" w:hAnsi="Arial" w:cs="Arial"/>
                <w:color w:val="000000"/>
                <w:sz w:val="18"/>
                <w:szCs w:val="18"/>
              </w:rPr>
            </w:pPr>
            <w:r>
              <w:rPr>
                <w:rFonts w:ascii="Arial" w:hAnsi="Arial" w:cs="Arial"/>
                <w:color w:val="000000"/>
                <w:sz w:val="18"/>
                <w:szCs w:val="18"/>
              </w:rPr>
              <w:t>Fang &amp; Zhou (2026, I&amp;M)</w:t>
            </w:r>
          </w:p>
        </w:tc>
        <w:tc>
          <w:tcPr>
            <w:tcW w:w="1352" w:type="dxa"/>
            <w:tcBorders>
              <w:top w:val="nil"/>
              <w:left w:val="nil"/>
              <w:bottom w:val="single" w:sz="4" w:space="0" w:color="auto"/>
              <w:right w:val="single" w:sz="4" w:space="0" w:color="auto"/>
            </w:tcBorders>
            <w:noWrap/>
            <w:vAlign w:val="center"/>
            <w:hideMark/>
          </w:tcPr>
          <w:p w14:paraId="346641DE" w14:textId="77777777" w:rsidR="00551AAB" w:rsidRDefault="00551AAB">
            <w:pPr>
              <w:rPr>
                <w:rFonts w:ascii="Arial" w:hAnsi="Arial" w:cs="Arial"/>
                <w:color w:val="000000"/>
                <w:sz w:val="18"/>
                <w:szCs w:val="18"/>
              </w:rPr>
            </w:pPr>
            <w:r>
              <w:rPr>
                <w:rFonts w:ascii="Arial" w:hAnsi="Arial" w:cs="Arial"/>
                <w:color w:val="000000"/>
                <w:sz w:val="18"/>
                <w:szCs w:val="18"/>
              </w:rPr>
              <w:t>Zhihu</w:t>
            </w:r>
          </w:p>
        </w:tc>
        <w:tc>
          <w:tcPr>
            <w:tcW w:w="1025" w:type="dxa"/>
            <w:tcBorders>
              <w:top w:val="nil"/>
              <w:left w:val="nil"/>
              <w:bottom w:val="single" w:sz="4" w:space="0" w:color="auto"/>
              <w:right w:val="single" w:sz="4" w:space="0" w:color="auto"/>
            </w:tcBorders>
            <w:noWrap/>
            <w:vAlign w:val="center"/>
            <w:hideMark/>
          </w:tcPr>
          <w:p w14:paraId="51F9B74A"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73F983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62FE124" w14:textId="77777777" w:rsidR="00551AAB" w:rsidRDefault="00551AAB">
            <w:pPr>
              <w:rPr>
                <w:rFonts w:ascii="Arial" w:hAnsi="Arial" w:cs="Arial"/>
                <w:color w:val="000000"/>
                <w:sz w:val="18"/>
                <w:szCs w:val="18"/>
              </w:rPr>
            </w:pPr>
            <w:r>
              <w:rPr>
                <w:rFonts w:ascii="Arial" w:hAnsi="Arial" w:cs="Arial"/>
                <w:color w:val="000000"/>
                <w:sz w:val="18"/>
                <w:szCs w:val="18"/>
              </w:rPr>
              <w:t>User-Month</w:t>
            </w:r>
          </w:p>
        </w:tc>
        <w:tc>
          <w:tcPr>
            <w:tcW w:w="4227" w:type="dxa"/>
            <w:tcBorders>
              <w:top w:val="nil"/>
              <w:left w:val="nil"/>
              <w:bottom w:val="single" w:sz="4" w:space="0" w:color="auto"/>
              <w:right w:val="single" w:sz="4" w:space="0" w:color="auto"/>
            </w:tcBorders>
            <w:noWrap/>
            <w:vAlign w:val="center"/>
            <w:hideMark/>
          </w:tcPr>
          <w:p w14:paraId="35DD01C3"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 Views</w:t>
            </w:r>
          </w:p>
        </w:tc>
        <w:tc>
          <w:tcPr>
            <w:tcW w:w="1048" w:type="dxa"/>
            <w:tcBorders>
              <w:top w:val="nil"/>
              <w:left w:val="nil"/>
              <w:bottom w:val="single" w:sz="4" w:space="0" w:color="auto"/>
              <w:right w:val="single" w:sz="4" w:space="0" w:color="auto"/>
            </w:tcBorders>
            <w:noWrap/>
            <w:vAlign w:val="center"/>
            <w:hideMark/>
          </w:tcPr>
          <w:p w14:paraId="7A996DF4"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02FE0549"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303F2F15" w14:textId="77777777" w:rsidR="00551AAB" w:rsidRDefault="00551AAB">
            <w:pPr>
              <w:rPr>
                <w:rFonts w:ascii="Arial" w:hAnsi="Arial" w:cs="Arial"/>
                <w:b/>
                <w:bCs/>
                <w:color w:val="000000"/>
                <w:sz w:val="18"/>
                <w:szCs w:val="18"/>
              </w:rPr>
            </w:pPr>
            <w:r>
              <w:rPr>
                <w:rFonts w:ascii="Arial" w:hAnsi="Arial" w:cs="Arial"/>
                <w:b/>
                <w:bCs/>
                <w:color w:val="000000"/>
                <w:sz w:val="18"/>
                <w:szCs w:val="18"/>
              </w:rPr>
              <w:t>Internal GenAI</w:t>
            </w:r>
          </w:p>
        </w:tc>
      </w:tr>
      <w:tr w:rsidR="00551AAB" w14:paraId="35E5E1D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61D6E06" w14:textId="77777777" w:rsidR="00551AAB" w:rsidRDefault="00551AAB">
            <w:pPr>
              <w:rPr>
                <w:rFonts w:ascii="Arial" w:hAnsi="Arial" w:cs="Arial"/>
                <w:color w:val="000000"/>
                <w:sz w:val="18"/>
                <w:szCs w:val="18"/>
              </w:rPr>
            </w:pPr>
            <w:r>
              <w:rPr>
                <w:rFonts w:ascii="Arial" w:hAnsi="Arial" w:cs="Arial"/>
                <w:color w:val="000000"/>
                <w:sz w:val="18"/>
                <w:szCs w:val="18"/>
              </w:rPr>
              <w:t>Su et al. (2025)</w:t>
            </w:r>
          </w:p>
        </w:tc>
        <w:tc>
          <w:tcPr>
            <w:tcW w:w="1352" w:type="dxa"/>
            <w:tcBorders>
              <w:top w:val="nil"/>
              <w:left w:val="nil"/>
              <w:bottom w:val="single" w:sz="4" w:space="0" w:color="auto"/>
              <w:right w:val="single" w:sz="4" w:space="0" w:color="auto"/>
            </w:tcBorders>
            <w:noWrap/>
            <w:vAlign w:val="center"/>
            <w:hideMark/>
          </w:tcPr>
          <w:p w14:paraId="1212D85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25" w:type="dxa"/>
            <w:tcBorders>
              <w:top w:val="nil"/>
              <w:left w:val="nil"/>
              <w:bottom w:val="single" w:sz="4" w:space="0" w:color="auto"/>
              <w:right w:val="single" w:sz="4" w:space="0" w:color="auto"/>
            </w:tcBorders>
            <w:noWrap/>
            <w:vAlign w:val="center"/>
            <w:hideMark/>
          </w:tcPr>
          <w:p w14:paraId="78024B42"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0B0E1206" w14:textId="77777777" w:rsidR="00551AAB" w:rsidRDefault="00551AAB">
            <w:pPr>
              <w:rPr>
                <w:rFonts w:ascii="Arial" w:hAnsi="Arial" w:cs="Arial"/>
                <w:color w:val="000000"/>
                <w:sz w:val="18"/>
                <w:szCs w:val="18"/>
              </w:rPr>
            </w:pPr>
            <w:r>
              <w:rPr>
                <w:rFonts w:ascii="Arial" w:hAnsi="Arial" w:cs="Arial"/>
                <w:color w:val="000000"/>
                <w:sz w:val="18"/>
                <w:szCs w:val="18"/>
              </w:rPr>
              <w:t>NE + Experiment</w:t>
            </w:r>
          </w:p>
        </w:tc>
        <w:tc>
          <w:tcPr>
            <w:tcW w:w="1366" w:type="dxa"/>
            <w:tcBorders>
              <w:top w:val="nil"/>
              <w:left w:val="nil"/>
              <w:bottom w:val="single" w:sz="4" w:space="0" w:color="auto"/>
              <w:right w:val="single" w:sz="4" w:space="0" w:color="auto"/>
            </w:tcBorders>
            <w:noWrap/>
            <w:vAlign w:val="center"/>
            <w:hideMark/>
          </w:tcPr>
          <w:p w14:paraId="35D62B00"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4227" w:type="dxa"/>
            <w:tcBorders>
              <w:top w:val="nil"/>
              <w:left w:val="nil"/>
              <w:bottom w:val="single" w:sz="4" w:space="0" w:color="auto"/>
              <w:right w:val="single" w:sz="4" w:space="0" w:color="auto"/>
            </w:tcBorders>
            <w:noWrap/>
            <w:vAlign w:val="center"/>
            <w:hideMark/>
          </w:tcPr>
          <w:p w14:paraId="743C6907"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48" w:type="dxa"/>
            <w:tcBorders>
              <w:top w:val="nil"/>
              <w:left w:val="nil"/>
              <w:bottom w:val="single" w:sz="4" w:space="0" w:color="auto"/>
              <w:right w:val="single" w:sz="4" w:space="0" w:color="auto"/>
            </w:tcBorders>
            <w:noWrap/>
            <w:vAlign w:val="center"/>
            <w:hideMark/>
          </w:tcPr>
          <w:p w14:paraId="4C961D1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bl>
    <w:p w14:paraId="0DF43B33" w14:textId="77777777" w:rsidR="003B4A39" w:rsidRDefault="003B4A39" w:rsidP="00525402">
      <w:pPr>
        <w:pStyle w:val="TableFiguretitle"/>
        <w:rPr>
          <w:rFonts w:hint="eastAsia"/>
        </w:rPr>
      </w:pPr>
    </w:p>
    <w:p w14:paraId="36C49470" w14:textId="77777777" w:rsidR="003B4A39" w:rsidRPr="0022223D" w:rsidRDefault="003B4A39" w:rsidP="00525402">
      <w:pPr>
        <w:pStyle w:val="TableFiguretitle"/>
        <w:rPr>
          <w:rFonts w:hint="eastAsia"/>
        </w:rPr>
      </w:pPr>
    </w:p>
    <w:p w14:paraId="1E85E61C" w14:textId="332976A6" w:rsidR="00551AAB" w:rsidRPr="00D66C4E" w:rsidRDefault="00551AAB" w:rsidP="00D66C4E">
      <w:pPr>
        <w:pStyle w:val="TableFiguretitle"/>
        <w:rPr>
          <w:rFonts w:hint="eastAsia"/>
        </w:rPr>
      </w:pPr>
      <w:r w:rsidRPr="0022223D">
        <w:lastRenderedPageBreak/>
        <w:t xml:space="preserve">Table </w:t>
      </w:r>
      <w:r>
        <w:fldChar w:fldCharType="begin"/>
      </w:r>
      <w:r>
        <w:instrText xml:space="preserve"> SEQ Table \* ARABIC </w:instrText>
      </w:r>
      <w:r>
        <w:fldChar w:fldCharType="separate"/>
      </w:r>
      <w:r>
        <w:rPr>
          <w:noProof/>
        </w:rPr>
        <w:t>2</w:t>
      </w:r>
      <w:r>
        <w:fldChar w:fldCharType="end"/>
      </w:r>
      <w:r w:rsidRPr="0022223D">
        <w:t xml:space="preserve">. </w:t>
      </w:r>
      <w:r w:rsidR="00D66C4E" w:rsidRPr="00D66C4E">
        <w:t>Positioning the Current Study</w:t>
      </w:r>
      <w:r w:rsidR="00D66C4E">
        <w:rPr>
          <w:rFonts w:hint="eastAsia"/>
        </w:rPr>
        <w:t xml:space="preserve"> in Internal GenAI Empirical Research</w:t>
      </w:r>
      <w:r w:rsidR="00D66C4E" w:rsidRPr="00D66C4E">
        <w:t xml:space="preserve">: A Comparison with Su et al. (2025) </w:t>
      </w:r>
    </w:p>
    <w:tbl>
      <w:tblPr>
        <w:tblW w:w="5016" w:type="pct"/>
        <w:jc w:val="center"/>
        <w:tblLayout w:type="fixed"/>
        <w:tblCellMar>
          <w:left w:w="14" w:type="dxa"/>
          <w:right w:w="14" w:type="dxa"/>
        </w:tblCellMar>
        <w:tblLook w:val="04A0" w:firstRow="1" w:lastRow="0" w:firstColumn="1" w:lastColumn="0" w:noHBand="0" w:noVBand="1"/>
      </w:tblPr>
      <w:tblGrid>
        <w:gridCol w:w="985"/>
        <w:gridCol w:w="1620"/>
        <w:gridCol w:w="2430"/>
        <w:gridCol w:w="1080"/>
        <w:gridCol w:w="1710"/>
        <w:gridCol w:w="5166"/>
      </w:tblGrid>
      <w:tr w:rsidR="00551AAB" w14:paraId="0B67008F" w14:textId="77777777" w:rsidTr="00C24054">
        <w:trPr>
          <w:trHeight w:val="797"/>
          <w:jc w:val="center"/>
        </w:trPr>
        <w:tc>
          <w:tcPr>
            <w:tcW w:w="5035" w:type="dxa"/>
            <w:gridSpan w:val="3"/>
            <w:tcBorders>
              <w:top w:val="single" w:sz="4" w:space="0" w:color="auto"/>
              <w:left w:val="single" w:sz="4" w:space="0" w:color="auto"/>
              <w:bottom w:val="single" w:sz="4" w:space="0" w:color="auto"/>
              <w:right w:val="single" w:sz="4" w:space="0" w:color="000000"/>
            </w:tcBorders>
            <w:vAlign w:val="center"/>
            <w:hideMark/>
          </w:tcPr>
          <w:p w14:paraId="2E9604DC" w14:textId="77777777" w:rsidR="00551AAB" w:rsidRDefault="00551AAB">
            <w:pPr>
              <w:jc w:val="center"/>
              <w:rPr>
                <w:rFonts w:ascii="Arial" w:hAnsi="Arial" w:cs="Arial"/>
                <w:color w:val="000000"/>
                <w:sz w:val="18"/>
                <w:szCs w:val="18"/>
              </w:rPr>
            </w:pPr>
            <w:r>
              <w:rPr>
                <w:rFonts w:ascii="Arial" w:hAnsi="Arial" w:cs="Arial"/>
                <w:color w:val="000000"/>
                <w:sz w:val="18"/>
                <w:szCs w:val="18"/>
              </w:rPr>
              <w:t> </w:t>
            </w:r>
          </w:p>
        </w:tc>
        <w:tc>
          <w:tcPr>
            <w:tcW w:w="1080" w:type="dxa"/>
            <w:tcBorders>
              <w:top w:val="single" w:sz="4" w:space="0" w:color="auto"/>
              <w:left w:val="nil"/>
              <w:bottom w:val="single" w:sz="4" w:space="0" w:color="auto"/>
              <w:right w:val="single" w:sz="4" w:space="0" w:color="auto"/>
            </w:tcBorders>
            <w:vAlign w:val="center"/>
            <w:hideMark/>
          </w:tcPr>
          <w:p w14:paraId="4C453414" w14:textId="77777777" w:rsidR="00551AAB" w:rsidRDefault="00551AAB">
            <w:pPr>
              <w:jc w:val="center"/>
              <w:rPr>
                <w:rFonts w:ascii="Arial" w:hAnsi="Arial" w:cs="Arial"/>
                <w:b/>
                <w:bCs/>
                <w:color w:val="000000"/>
                <w:sz w:val="18"/>
                <w:szCs w:val="18"/>
              </w:rPr>
            </w:pPr>
            <w:r>
              <w:rPr>
                <w:rFonts w:ascii="Arial" w:hAnsi="Arial" w:cs="Arial"/>
                <w:b/>
                <w:bCs/>
                <w:color w:val="000000"/>
                <w:sz w:val="18"/>
                <w:szCs w:val="18"/>
              </w:rPr>
              <w:t xml:space="preserve">AI label v.s. </w:t>
            </w:r>
            <w:r>
              <w:rPr>
                <w:rFonts w:ascii="Arial" w:hAnsi="Arial" w:cs="Arial"/>
                <w:b/>
                <w:bCs/>
                <w:color w:val="000000"/>
                <w:sz w:val="18"/>
                <w:szCs w:val="18"/>
              </w:rPr>
              <w:br/>
              <w:t>AI content?</w:t>
            </w:r>
          </w:p>
        </w:tc>
        <w:tc>
          <w:tcPr>
            <w:tcW w:w="1710" w:type="dxa"/>
            <w:tcBorders>
              <w:top w:val="single" w:sz="4" w:space="0" w:color="auto"/>
              <w:left w:val="nil"/>
              <w:bottom w:val="single" w:sz="4" w:space="0" w:color="auto"/>
              <w:right w:val="single" w:sz="4" w:space="0" w:color="auto"/>
            </w:tcBorders>
            <w:vAlign w:val="center"/>
            <w:hideMark/>
          </w:tcPr>
          <w:p w14:paraId="15EBBA09" w14:textId="09769E91" w:rsidR="00551AAB" w:rsidRDefault="00551AAB">
            <w:pPr>
              <w:jc w:val="center"/>
              <w:rPr>
                <w:rFonts w:ascii="Arial" w:hAnsi="Arial" w:cs="Arial"/>
                <w:b/>
                <w:bCs/>
                <w:color w:val="000000"/>
                <w:sz w:val="18"/>
                <w:szCs w:val="18"/>
              </w:rPr>
            </w:pPr>
            <w:r>
              <w:rPr>
                <w:rFonts w:ascii="Arial" w:hAnsi="Arial" w:cs="Arial"/>
                <w:b/>
                <w:bCs/>
                <w:color w:val="000000"/>
                <w:sz w:val="18"/>
                <w:szCs w:val="18"/>
              </w:rPr>
              <w:t xml:space="preserve">How AI answer </w:t>
            </w:r>
            <w:r w:rsidR="00C24054">
              <w:rPr>
                <w:rFonts w:ascii="Arial" w:hAnsi="Arial" w:cs="Arial" w:hint="eastAsia"/>
                <w:b/>
                <w:bCs/>
                <w:color w:val="000000"/>
                <w:sz w:val="18"/>
                <w:szCs w:val="18"/>
              </w:rPr>
              <w:t xml:space="preserve">is </w:t>
            </w:r>
            <w:r>
              <w:rPr>
                <w:rFonts w:ascii="Arial" w:hAnsi="Arial" w:cs="Arial"/>
                <w:b/>
                <w:bCs/>
                <w:color w:val="000000"/>
                <w:sz w:val="18"/>
                <w:szCs w:val="18"/>
              </w:rPr>
              <w:t>provided</w:t>
            </w:r>
          </w:p>
        </w:tc>
        <w:tc>
          <w:tcPr>
            <w:tcW w:w="5166" w:type="dxa"/>
            <w:tcBorders>
              <w:top w:val="single" w:sz="4" w:space="0" w:color="auto"/>
              <w:left w:val="nil"/>
              <w:bottom w:val="single" w:sz="4" w:space="0" w:color="auto"/>
              <w:right w:val="single" w:sz="4" w:space="0" w:color="auto"/>
            </w:tcBorders>
            <w:vAlign w:val="center"/>
            <w:hideMark/>
          </w:tcPr>
          <w:p w14:paraId="0F4CABC9" w14:textId="77777777" w:rsidR="00551AAB" w:rsidRDefault="00551AAB">
            <w:pPr>
              <w:jc w:val="center"/>
              <w:rPr>
                <w:rFonts w:ascii="Arial" w:hAnsi="Arial" w:cs="Arial"/>
                <w:b/>
                <w:bCs/>
                <w:color w:val="000000"/>
                <w:sz w:val="18"/>
                <w:szCs w:val="18"/>
              </w:rPr>
            </w:pPr>
            <w:r>
              <w:rPr>
                <w:rFonts w:ascii="Arial" w:hAnsi="Arial" w:cs="Arial"/>
                <w:b/>
                <w:bCs/>
                <w:color w:val="000000"/>
                <w:sz w:val="18"/>
                <w:szCs w:val="18"/>
              </w:rPr>
              <w:t>Mechanism Identified</w:t>
            </w:r>
          </w:p>
        </w:tc>
      </w:tr>
      <w:tr w:rsidR="00551AAB" w14:paraId="13B6F35F" w14:textId="77777777" w:rsidTr="00C24054">
        <w:trPr>
          <w:trHeight w:val="491"/>
          <w:jc w:val="center"/>
        </w:trPr>
        <w:tc>
          <w:tcPr>
            <w:tcW w:w="985" w:type="dxa"/>
            <w:vMerge w:val="restart"/>
            <w:tcBorders>
              <w:top w:val="nil"/>
              <w:left w:val="single" w:sz="4" w:space="0" w:color="auto"/>
              <w:bottom w:val="single" w:sz="4" w:space="0" w:color="auto"/>
              <w:right w:val="single" w:sz="4" w:space="0" w:color="auto"/>
            </w:tcBorders>
            <w:vAlign w:val="center"/>
            <w:hideMark/>
          </w:tcPr>
          <w:p w14:paraId="098D2CD1" w14:textId="77777777" w:rsidR="00551AAB" w:rsidRDefault="00551AAB">
            <w:pPr>
              <w:jc w:val="center"/>
              <w:rPr>
                <w:rFonts w:ascii="Arial" w:hAnsi="Arial" w:cs="Arial"/>
                <w:color w:val="000000"/>
                <w:sz w:val="18"/>
                <w:szCs w:val="18"/>
              </w:rPr>
            </w:pPr>
            <w:r>
              <w:rPr>
                <w:rFonts w:ascii="Arial" w:hAnsi="Arial" w:cs="Arial"/>
                <w:color w:val="000000"/>
                <w:sz w:val="18"/>
                <w:szCs w:val="18"/>
              </w:rPr>
              <w:t>Su et al. (2025)</w:t>
            </w:r>
          </w:p>
        </w:tc>
        <w:tc>
          <w:tcPr>
            <w:tcW w:w="1620" w:type="dxa"/>
            <w:tcBorders>
              <w:top w:val="nil"/>
              <w:left w:val="nil"/>
              <w:bottom w:val="single" w:sz="4" w:space="0" w:color="auto"/>
              <w:right w:val="single" w:sz="4" w:space="0" w:color="auto"/>
            </w:tcBorders>
            <w:vAlign w:val="center"/>
            <w:hideMark/>
          </w:tcPr>
          <w:p w14:paraId="07FD109E"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w:t>
            </w:r>
          </w:p>
        </w:tc>
        <w:tc>
          <w:tcPr>
            <w:tcW w:w="2430" w:type="dxa"/>
            <w:tcBorders>
              <w:top w:val="nil"/>
              <w:left w:val="nil"/>
              <w:bottom w:val="single" w:sz="4" w:space="0" w:color="auto"/>
              <w:right w:val="single" w:sz="4" w:space="0" w:color="auto"/>
            </w:tcBorders>
            <w:vAlign w:val="center"/>
            <w:hideMark/>
          </w:tcPr>
          <w:p w14:paraId="127323D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80" w:type="dxa"/>
            <w:vMerge w:val="restart"/>
            <w:tcBorders>
              <w:top w:val="nil"/>
              <w:left w:val="single" w:sz="4" w:space="0" w:color="auto"/>
              <w:bottom w:val="single" w:sz="4" w:space="0" w:color="auto"/>
              <w:right w:val="single" w:sz="4" w:space="0" w:color="auto"/>
            </w:tcBorders>
            <w:vAlign w:val="center"/>
            <w:hideMark/>
          </w:tcPr>
          <w:p w14:paraId="6632A98C" w14:textId="77777777" w:rsidR="00551AAB" w:rsidRDefault="00551AAB">
            <w:pPr>
              <w:jc w:val="center"/>
              <w:rPr>
                <w:rFonts w:ascii="Arial" w:hAnsi="Arial" w:cs="Arial"/>
                <w:color w:val="000000"/>
                <w:sz w:val="18"/>
                <w:szCs w:val="18"/>
              </w:rPr>
            </w:pPr>
            <w:r>
              <w:rPr>
                <w:rFonts w:ascii="Arial" w:hAnsi="Arial" w:cs="Arial"/>
                <w:color w:val="000000"/>
                <w:sz w:val="18"/>
                <w:szCs w:val="18"/>
              </w:rPr>
              <w:t>N</w:t>
            </w:r>
          </w:p>
        </w:tc>
        <w:tc>
          <w:tcPr>
            <w:tcW w:w="1710" w:type="dxa"/>
            <w:vMerge w:val="restart"/>
            <w:tcBorders>
              <w:top w:val="nil"/>
              <w:left w:val="single" w:sz="4" w:space="0" w:color="auto"/>
              <w:bottom w:val="single" w:sz="4" w:space="0" w:color="auto"/>
              <w:right w:val="single" w:sz="4" w:space="0" w:color="auto"/>
            </w:tcBorders>
            <w:vAlign w:val="center"/>
            <w:hideMark/>
          </w:tcPr>
          <w:p w14:paraId="409F53C6" w14:textId="77777777" w:rsidR="00551AAB" w:rsidRDefault="00551AAB">
            <w:pPr>
              <w:jc w:val="center"/>
              <w:rPr>
                <w:rFonts w:ascii="Arial" w:hAnsi="Arial" w:cs="Arial"/>
                <w:color w:val="000000"/>
                <w:sz w:val="18"/>
                <w:szCs w:val="18"/>
              </w:rPr>
            </w:pPr>
            <w:r>
              <w:rPr>
                <w:rFonts w:ascii="Arial" w:hAnsi="Arial" w:cs="Arial"/>
                <w:color w:val="000000"/>
                <w:sz w:val="18"/>
                <w:szCs w:val="18"/>
              </w:rPr>
              <w:t xml:space="preserve">Provided to </w:t>
            </w:r>
            <w:r>
              <w:rPr>
                <w:rFonts w:ascii="Arial" w:hAnsi="Arial" w:cs="Arial"/>
                <w:b/>
                <w:bCs/>
                <w:color w:val="000000"/>
                <w:sz w:val="18"/>
                <w:szCs w:val="18"/>
              </w:rPr>
              <w:t>existing questions</w:t>
            </w:r>
            <w:r>
              <w:rPr>
                <w:rFonts w:ascii="Arial" w:hAnsi="Arial" w:cs="Arial"/>
                <w:color w:val="000000"/>
                <w:sz w:val="18"/>
                <w:szCs w:val="18"/>
              </w:rPr>
              <w:t xml:space="preserve"> through batch processing</w:t>
            </w:r>
          </w:p>
        </w:tc>
        <w:tc>
          <w:tcPr>
            <w:tcW w:w="5166" w:type="dxa"/>
            <w:vMerge w:val="restart"/>
            <w:tcBorders>
              <w:top w:val="nil"/>
              <w:left w:val="single" w:sz="4" w:space="0" w:color="auto"/>
              <w:bottom w:val="single" w:sz="4" w:space="0" w:color="auto"/>
              <w:right w:val="single" w:sz="4" w:space="0" w:color="auto"/>
            </w:tcBorders>
            <w:vAlign w:val="center"/>
            <w:hideMark/>
          </w:tcPr>
          <w:p w14:paraId="3B5DACB2" w14:textId="1DDB2A2B" w:rsidR="00551AAB" w:rsidRDefault="00551AAB">
            <w:pPr>
              <w:rPr>
                <w:rFonts w:ascii="Arial" w:hAnsi="Arial" w:cs="Arial"/>
                <w:color w:val="000000"/>
                <w:sz w:val="18"/>
                <w:szCs w:val="18"/>
              </w:rPr>
            </w:pPr>
            <w:r>
              <w:rPr>
                <w:rFonts w:ascii="Arial" w:hAnsi="Arial" w:cs="Arial"/>
                <w:color w:val="000000"/>
                <w:sz w:val="18"/>
                <w:szCs w:val="18"/>
              </w:rPr>
              <w:t>AI label effect → Boost contribution willing</w:t>
            </w:r>
            <w:r>
              <w:rPr>
                <w:rFonts w:ascii="Arial" w:hAnsi="Arial" w:cs="Arial"/>
                <w:color w:val="000000"/>
                <w:sz w:val="18"/>
                <w:szCs w:val="18"/>
              </w:rPr>
              <w:br/>
              <w:t xml:space="preserve">AI </w:t>
            </w:r>
            <w:r>
              <w:rPr>
                <w:rFonts w:ascii="Arial" w:hAnsi="Arial" w:cs="Arial" w:hint="eastAsia"/>
                <w:color w:val="000000"/>
                <w:sz w:val="18"/>
                <w:szCs w:val="18"/>
              </w:rPr>
              <w:t>c</w:t>
            </w:r>
            <w:r>
              <w:rPr>
                <w:rFonts w:ascii="Arial" w:hAnsi="Arial" w:cs="Arial"/>
                <w:color w:val="000000"/>
                <w:sz w:val="18"/>
                <w:szCs w:val="18"/>
              </w:rPr>
              <w:t>onformity → Increase human-AI similarity → Increase length</w:t>
            </w:r>
          </w:p>
        </w:tc>
      </w:tr>
      <w:tr w:rsidR="00551AAB" w14:paraId="277B95E4"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6CA33AA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4D0E333F"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 Domain</w:t>
            </w:r>
          </w:p>
        </w:tc>
        <w:tc>
          <w:tcPr>
            <w:tcW w:w="2430" w:type="dxa"/>
            <w:tcBorders>
              <w:top w:val="nil"/>
              <w:left w:val="nil"/>
              <w:bottom w:val="single" w:sz="4" w:space="0" w:color="auto"/>
              <w:right w:val="single" w:sz="4" w:space="0" w:color="auto"/>
            </w:tcBorders>
            <w:vAlign w:val="center"/>
            <w:hideMark/>
          </w:tcPr>
          <w:p w14:paraId="34D0C73D"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080" w:type="dxa"/>
            <w:vMerge/>
            <w:tcBorders>
              <w:top w:val="nil"/>
              <w:left w:val="single" w:sz="4" w:space="0" w:color="auto"/>
              <w:bottom w:val="single" w:sz="4" w:space="0" w:color="auto"/>
              <w:right w:val="single" w:sz="4" w:space="0" w:color="auto"/>
            </w:tcBorders>
            <w:vAlign w:val="center"/>
            <w:hideMark/>
          </w:tcPr>
          <w:p w14:paraId="48783059"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45E3A138"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48ACC7D8" w14:textId="77777777" w:rsidR="00551AAB" w:rsidRDefault="00551AAB">
            <w:pPr>
              <w:rPr>
                <w:rFonts w:ascii="Arial" w:hAnsi="Arial" w:cs="Arial"/>
                <w:color w:val="000000"/>
                <w:sz w:val="18"/>
                <w:szCs w:val="18"/>
              </w:rPr>
            </w:pPr>
          </w:p>
        </w:tc>
      </w:tr>
      <w:tr w:rsidR="00551AAB" w14:paraId="3A46D8D1"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4B321F4C"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5CE78DC9" w14:textId="77777777" w:rsidR="00551AAB" w:rsidRDefault="00551AAB">
            <w:pPr>
              <w:rPr>
                <w:rFonts w:ascii="Arial" w:hAnsi="Arial" w:cs="Arial"/>
                <w:b/>
                <w:bCs/>
                <w:color w:val="000000"/>
                <w:sz w:val="18"/>
                <w:szCs w:val="18"/>
              </w:rPr>
            </w:pPr>
            <w:r>
              <w:rPr>
                <w:rFonts w:ascii="Arial" w:hAnsi="Arial" w:cs="Arial"/>
                <w:b/>
                <w:bCs/>
                <w:color w:val="000000"/>
                <w:sz w:val="18"/>
                <w:szCs w:val="18"/>
              </w:rPr>
              <w:t>Research Design</w:t>
            </w:r>
          </w:p>
        </w:tc>
        <w:tc>
          <w:tcPr>
            <w:tcW w:w="2430" w:type="dxa"/>
            <w:tcBorders>
              <w:top w:val="nil"/>
              <w:left w:val="nil"/>
              <w:bottom w:val="single" w:sz="4" w:space="0" w:color="auto"/>
              <w:right w:val="single" w:sz="4" w:space="0" w:color="auto"/>
            </w:tcBorders>
            <w:vAlign w:val="center"/>
            <w:hideMark/>
          </w:tcPr>
          <w:p w14:paraId="3A37366E" w14:textId="77777777" w:rsidR="00551AAB" w:rsidRDefault="00551AAB">
            <w:pPr>
              <w:rPr>
                <w:rFonts w:ascii="Arial" w:hAnsi="Arial" w:cs="Arial"/>
                <w:color w:val="000000"/>
                <w:sz w:val="18"/>
                <w:szCs w:val="18"/>
              </w:rPr>
            </w:pPr>
            <w:r>
              <w:rPr>
                <w:rFonts w:ascii="Arial" w:hAnsi="Arial" w:cs="Arial"/>
                <w:color w:val="000000"/>
                <w:sz w:val="18"/>
                <w:szCs w:val="18"/>
              </w:rPr>
              <w:t>Natural Exp. + Experiment</w:t>
            </w:r>
          </w:p>
        </w:tc>
        <w:tc>
          <w:tcPr>
            <w:tcW w:w="1080" w:type="dxa"/>
            <w:vMerge/>
            <w:tcBorders>
              <w:top w:val="nil"/>
              <w:left w:val="single" w:sz="4" w:space="0" w:color="auto"/>
              <w:bottom w:val="single" w:sz="4" w:space="0" w:color="auto"/>
              <w:right w:val="single" w:sz="4" w:space="0" w:color="auto"/>
            </w:tcBorders>
            <w:vAlign w:val="center"/>
            <w:hideMark/>
          </w:tcPr>
          <w:p w14:paraId="732FEEB4"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10E559F1"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49B83144" w14:textId="77777777" w:rsidR="00551AAB" w:rsidRDefault="00551AAB">
            <w:pPr>
              <w:rPr>
                <w:rFonts w:ascii="Arial" w:hAnsi="Arial" w:cs="Arial"/>
                <w:color w:val="000000"/>
                <w:sz w:val="18"/>
                <w:szCs w:val="18"/>
              </w:rPr>
            </w:pPr>
          </w:p>
        </w:tc>
      </w:tr>
      <w:tr w:rsidR="00551AAB" w14:paraId="02CE3C81"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4AF89EF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3EF77027" w14:textId="77777777" w:rsidR="00551AAB" w:rsidRDefault="00551AAB">
            <w:pPr>
              <w:rPr>
                <w:rFonts w:ascii="Arial" w:hAnsi="Arial" w:cs="Arial"/>
                <w:b/>
                <w:bCs/>
                <w:color w:val="000000"/>
                <w:sz w:val="18"/>
                <w:szCs w:val="18"/>
              </w:rPr>
            </w:pPr>
            <w:r>
              <w:rPr>
                <w:rFonts w:ascii="Arial" w:hAnsi="Arial" w:cs="Arial"/>
                <w:b/>
                <w:bCs/>
                <w:color w:val="000000"/>
                <w:sz w:val="18"/>
                <w:szCs w:val="18"/>
              </w:rPr>
              <w:t>Unit of Analysis</w:t>
            </w:r>
          </w:p>
        </w:tc>
        <w:tc>
          <w:tcPr>
            <w:tcW w:w="2430" w:type="dxa"/>
            <w:tcBorders>
              <w:top w:val="nil"/>
              <w:left w:val="nil"/>
              <w:bottom w:val="single" w:sz="4" w:space="0" w:color="auto"/>
              <w:right w:val="single" w:sz="4" w:space="0" w:color="auto"/>
            </w:tcBorders>
            <w:vAlign w:val="center"/>
            <w:hideMark/>
          </w:tcPr>
          <w:p w14:paraId="35965CC3"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1080" w:type="dxa"/>
            <w:vMerge/>
            <w:tcBorders>
              <w:top w:val="nil"/>
              <w:left w:val="single" w:sz="4" w:space="0" w:color="auto"/>
              <w:bottom w:val="single" w:sz="4" w:space="0" w:color="auto"/>
              <w:right w:val="single" w:sz="4" w:space="0" w:color="auto"/>
            </w:tcBorders>
            <w:vAlign w:val="center"/>
            <w:hideMark/>
          </w:tcPr>
          <w:p w14:paraId="64718173"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71800618"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5776C772" w14:textId="77777777" w:rsidR="00551AAB" w:rsidRDefault="00551AAB">
            <w:pPr>
              <w:rPr>
                <w:rFonts w:ascii="Arial" w:hAnsi="Arial" w:cs="Arial"/>
                <w:color w:val="000000"/>
                <w:sz w:val="18"/>
                <w:szCs w:val="18"/>
              </w:rPr>
            </w:pPr>
          </w:p>
        </w:tc>
      </w:tr>
      <w:tr w:rsidR="00551AAB" w14:paraId="72A047CE"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3CF3DD6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7281AFA1" w14:textId="77777777" w:rsidR="00551AAB" w:rsidRDefault="00551AAB">
            <w:pPr>
              <w:rPr>
                <w:rFonts w:ascii="Arial" w:hAnsi="Arial" w:cs="Arial"/>
                <w:b/>
                <w:bCs/>
                <w:color w:val="000000"/>
                <w:sz w:val="18"/>
                <w:szCs w:val="18"/>
              </w:rPr>
            </w:pPr>
            <w:r>
              <w:rPr>
                <w:rFonts w:ascii="Arial" w:hAnsi="Arial" w:cs="Arial"/>
                <w:b/>
                <w:bCs/>
                <w:color w:val="000000"/>
                <w:sz w:val="18"/>
                <w:szCs w:val="18"/>
              </w:rPr>
              <w:t>Key Findings</w:t>
            </w:r>
          </w:p>
        </w:tc>
        <w:tc>
          <w:tcPr>
            <w:tcW w:w="2430" w:type="dxa"/>
            <w:tcBorders>
              <w:top w:val="nil"/>
              <w:left w:val="nil"/>
              <w:bottom w:val="single" w:sz="4" w:space="0" w:color="auto"/>
              <w:right w:val="single" w:sz="4" w:space="0" w:color="auto"/>
            </w:tcBorders>
            <w:vAlign w:val="center"/>
            <w:hideMark/>
          </w:tcPr>
          <w:p w14:paraId="743BA3F4"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80" w:type="dxa"/>
            <w:vMerge/>
            <w:tcBorders>
              <w:top w:val="nil"/>
              <w:left w:val="single" w:sz="4" w:space="0" w:color="auto"/>
              <w:bottom w:val="single" w:sz="4" w:space="0" w:color="auto"/>
              <w:right w:val="single" w:sz="4" w:space="0" w:color="auto"/>
            </w:tcBorders>
            <w:vAlign w:val="center"/>
            <w:hideMark/>
          </w:tcPr>
          <w:p w14:paraId="2F0DBA35"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CAD52C1"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604C853C" w14:textId="77777777" w:rsidR="00551AAB" w:rsidRDefault="00551AAB">
            <w:pPr>
              <w:rPr>
                <w:rFonts w:ascii="Arial" w:hAnsi="Arial" w:cs="Arial"/>
                <w:color w:val="000000"/>
                <w:sz w:val="18"/>
                <w:szCs w:val="18"/>
              </w:rPr>
            </w:pPr>
          </w:p>
        </w:tc>
      </w:tr>
      <w:tr w:rsidR="00551AAB" w14:paraId="1396CFCA" w14:textId="77777777" w:rsidTr="00C24054">
        <w:trPr>
          <w:trHeight w:val="491"/>
          <w:jc w:val="center"/>
        </w:trPr>
        <w:tc>
          <w:tcPr>
            <w:tcW w:w="985" w:type="dxa"/>
            <w:vMerge w:val="restart"/>
            <w:tcBorders>
              <w:top w:val="nil"/>
              <w:left w:val="single" w:sz="4" w:space="0" w:color="auto"/>
              <w:bottom w:val="single" w:sz="4" w:space="0" w:color="000000"/>
              <w:right w:val="single" w:sz="4" w:space="0" w:color="auto"/>
            </w:tcBorders>
            <w:vAlign w:val="center"/>
            <w:hideMark/>
          </w:tcPr>
          <w:p w14:paraId="09EF9117" w14:textId="77777777" w:rsidR="00551AAB" w:rsidRDefault="00551AAB">
            <w:pPr>
              <w:jc w:val="center"/>
              <w:rPr>
                <w:rFonts w:ascii="Arial" w:hAnsi="Arial" w:cs="Arial"/>
                <w:color w:val="000000"/>
                <w:sz w:val="18"/>
                <w:szCs w:val="18"/>
              </w:rPr>
            </w:pPr>
            <w:r>
              <w:rPr>
                <w:rFonts w:ascii="Arial" w:hAnsi="Arial" w:cs="Arial"/>
                <w:color w:val="000000"/>
                <w:sz w:val="18"/>
                <w:szCs w:val="18"/>
              </w:rPr>
              <w:t>Our Study (2026)</w:t>
            </w:r>
          </w:p>
        </w:tc>
        <w:tc>
          <w:tcPr>
            <w:tcW w:w="1620" w:type="dxa"/>
            <w:tcBorders>
              <w:top w:val="nil"/>
              <w:left w:val="nil"/>
              <w:bottom w:val="single" w:sz="4" w:space="0" w:color="auto"/>
              <w:right w:val="single" w:sz="4" w:space="0" w:color="auto"/>
            </w:tcBorders>
            <w:vAlign w:val="center"/>
            <w:hideMark/>
          </w:tcPr>
          <w:p w14:paraId="469DDE5F"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w:t>
            </w:r>
          </w:p>
        </w:tc>
        <w:tc>
          <w:tcPr>
            <w:tcW w:w="2430" w:type="dxa"/>
            <w:tcBorders>
              <w:top w:val="nil"/>
              <w:left w:val="nil"/>
              <w:bottom w:val="single" w:sz="4" w:space="0" w:color="auto"/>
              <w:right w:val="single" w:sz="4" w:space="0" w:color="auto"/>
            </w:tcBorders>
            <w:vAlign w:val="center"/>
            <w:hideMark/>
          </w:tcPr>
          <w:p w14:paraId="3168B323" w14:textId="77777777" w:rsidR="00551AAB" w:rsidRDefault="00551AAB">
            <w:pPr>
              <w:rPr>
                <w:rFonts w:ascii="Arial" w:hAnsi="Arial" w:cs="Arial"/>
                <w:color w:val="000000"/>
                <w:sz w:val="18"/>
                <w:szCs w:val="18"/>
              </w:rPr>
            </w:pPr>
            <w:r>
              <w:rPr>
                <w:rFonts w:ascii="Arial" w:hAnsi="Arial" w:cs="Arial"/>
                <w:color w:val="000000"/>
                <w:sz w:val="18"/>
                <w:szCs w:val="18"/>
              </w:rPr>
              <w:t>SegmentFault</w:t>
            </w:r>
          </w:p>
        </w:tc>
        <w:tc>
          <w:tcPr>
            <w:tcW w:w="1080" w:type="dxa"/>
            <w:vMerge w:val="restart"/>
            <w:tcBorders>
              <w:top w:val="nil"/>
              <w:left w:val="single" w:sz="4" w:space="0" w:color="auto"/>
              <w:bottom w:val="single" w:sz="4" w:space="0" w:color="auto"/>
              <w:right w:val="single" w:sz="4" w:space="0" w:color="auto"/>
            </w:tcBorders>
            <w:vAlign w:val="center"/>
            <w:hideMark/>
          </w:tcPr>
          <w:p w14:paraId="18AD0A47" w14:textId="77777777" w:rsidR="00551AAB" w:rsidRDefault="00551AAB">
            <w:pPr>
              <w:jc w:val="center"/>
              <w:rPr>
                <w:rFonts w:ascii="Arial" w:hAnsi="Arial" w:cs="Arial"/>
                <w:color w:val="000000"/>
                <w:sz w:val="18"/>
                <w:szCs w:val="18"/>
              </w:rPr>
            </w:pPr>
            <w:r>
              <w:rPr>
                <w:rFonts w:ascii="Arial" w:hAnsi="Arial" w:cs="Arial"/>
                <w:color w:val="000000"/>
                <w:sz w:val="18"/>
                <w:szCs w:val="18"/>
              </w:rPr>
              <w:t>Y</w:t>
            </w:r>
          </w:p>
        </w:tc>
        <w:tc>
          <w:tcPr>
            <w:tcW w:w="1710" w:type="dxa"/>
            <w:vMerge w:val="restart"/>
            <w:tcBorders>
              <w:top w:val="nil"/>
              <w:left w:val="single" w:sz="4" w:space="0" w:color="auto"/>
              <w:bottom w:val="single" w:sz="4" w:space="0" w:color="auto"/>
              <w:right w:val="single" w:sz="4" w:space="0" w:color="auto"/>
            </w:tcBorders>
            <w:vAlign w:val="center"/>
            <w:hideMark/>
          </w:tcPr>
          <w:p w14:paraId="417000FD" w14:textId="77777777" w:rsidR="00551AAB" w:rsidRDefault="00551AAB">
            <w:pPr>
              <w:jc w:val="center"/>
              <w:rPr>
                <w:rFonts w:ascii="Arial" w:hAnsi="Arial" w:cs="Arial"/>
                <w:color w:val="000000"/>
                <w:sz w:val="18"/>
                <w:szCs w:val="18"/>
              </w:rPr>
            </w:pPr>
            <w:r>
              <w:rPr>
                <w:rFonts w:ascii="Arial" w:hAnsi="Arial" w:cs="Arial"/>
                <w:b/>
                <w:bCs/>
                <w:color w:val="000000"/>
                <w:sz w:val="18"/>
                <w:szCs w:val="18"/>
              </w:rPr>
              <w:t>Randomly</w:t>
            </w:r>
            <w:r>
              <w:rPr>
                <w:rFonts w:ascii="Arial" w:hAnsi="Arial" w:cs="Arial"/>
                <w:color w:val="000000"/>
                <w:sz w:val="18"/>
                <w:szCs w:val="18"/>
              </w:rPr>
              <w:t xml:space="preserve"> provided to </w:t>
            </w:r>
            <w:r>
              <w:rPr>
                <w:rFonts w:ascii="Arial" w:hAnsi="Arial" w:cs="Arial"/>
                <w:b/>
                <w:bCs/>
                <w:color w:val="000000"/>
                <w:sz w:val="18"/>
                <w:szCs w:val="18"/>
              </w:rPr>
              <w:t>new questions</w:t>
            </w:r>
          </w:p>
        </w:tc>
        <w:tc>
          <w:tcPr>
            <w:tcW w:w="5166" w:type="dxa"/>
            <w:vMerge w:val="restart"/>
            <w:tcBorders>
              <w:top w:val="nil"/>
              <w:left w:val="single" w:sz="4" w:space="0" w:color="auto"/>
              <w:bottom w:val="single" w:sz="4" w:space="0" w:color="auto"/>
              <w:right w:val="single" w:sz="4" w:space="0" w:color="auto"/>
            </w:tcBorders>
            <w:vAlign w:val="center"/>
            <w:hideMark/>
          </w:tcPr>
          <w:p w14:paraId="00E2B06C" w14:textId="7914846C" w:rsidR="00551AAB" w:rsidRDefault="00551AAB">
            <w:pPr>
              <w:rPr>
                <w:rFonts w:ascii="Arial" w:hAnsi="Arial" w:cs="Arial"/>
                <w:color w:val="000000"/>
                <w:sz w:val="18"/>
                <w:szCs w:val="18"/>
              </w:rPr>
            </w:pPr>
            <w:r>
              <w:rPr>
                <w:rFonts w:ascii="Arial" w:hAnsi="Arial" w:cs="Arial"/>
                <w:color w:val="000000"/>
                <w:sz w:val="18"/>
                <w:szCs w:val="18"/>
              </w:rPr>
              <w:t>AI label → Weak competitor perception</w:t>
            </w:r>
            <w:r w:rsidR="00C24054">
              <w:rPr>
                <w:rFonts w:ascii="Arial" w:hAnsi="Arial" w:cs="Arial" w:hint="eastAsia"/>
                <w:color w:val="000000"/>
                <w:sz w:val="18"/>
                <w:szCs w:val="18"/>
              </w:rPr>
              <w:t xml:space="preserve"> </w:t>
            </w:r>
            <w:r w:rsidR="00C24054">
              <w:rPr>
                <w:rFonts w:ascii="Arial" w:hAnsi="Arial" w:cs="Arial"/>
                <w:color w:val="000000"/>
                <w:sz w:val="18"/>
                <w:szCs w:val="18"/>
              </w:rPr>
              <w:t xml:space="preserve">→ </w:t>
            </w:r>
            <w:r w:rsidR="00C24054">
              <w:rPr>
                <w:rFonts w:ascii="Arial" w:hAnsi="Arial" w:cs="Arial" w:hint="eastAsia"/>
                <w:color w:val="000000"/>
                <w:sz w:val="18"/>
                <w:szCs w:val="18"/>
              </w:rPr>
              <w:t>Boost</w:t>
            </w:r>
            <w:r w:rsidR="00C24054">
              <w:rPr>
                <w:rFonts w:ascii="Arial" w:hAnsi="Arial" w:cs="Arial"/>
                <w:color w:val="000000"/>
                <w:sz w:val="18"/>
                <w:szCs w:val="18"/>
              </w:rPr>
              <w:t xml:space="preserve"> contribution</w:t>
            </w:r>
            <w:r>
              <w:rPr>
                <w:rFonts w:ascii="Arial" w:hAnsi="Arial" w:cs="Arial"/>
                <w:color w:val="000000"/>
                <w:sz w:val="18"/>
                <w:szCs w:val="18"/>
              </w:rPr>
              <w:br/>
              <w:t xml:space="preserve">AI length → Signal comprehensiveness → Deter contribution </w:t>
            </w:r>
            <w:r>
              <w:rPr>
                <w:rFonts w:ascii="Arial" w:hAnsi="Arial" w:cs="Arial"/>
                <w:color w:val="000000"/>
                <w:sz w:val="18"/>
                <w:szCs w:val="18"/>
              </w:rPr>
              <w:br/>
              <w:t>AI quality → Make human differentiate → Boost quality</w:t>
            </w:r>
          </w:p>
        </w:tc>
      </w:tr>
      <w:tr w:rsidR="00551AAB" w14:paraId="32669B6B"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1BAE46D6"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07E0458B"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 Domain</w:t>
            </w:r>
          </w:p>
        </w:tc>
        <w:tc>
          <w:tcPr>
            <w:tcW w:w="2430" w:type="dxa"/>
            <w:tcBorders>
              <w:top w:val="nil"/>
              <w:left w:val="nil"/>
              <w:bottom w:val="single" w:sz="4" w:space="0" w:color="auto"/>
              <w:right w:val="single" w:sz="4" w:space="0" w:color="auto"/>
            </w:tcBorders>
            <w:vAlign w:val="center"/>
            <w:hideMark/>
          </w:tcPr>
          <w:p w14:paraId="41D88D65"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080" w:type="dxa"/>
            <w:vMerge/>
            <w:tcBorders>
              <w:top w:val="nil"/>
              <w:left w:val="single" w:sz="4" w:space="0" w:color="auto"/>
              <w:bottom w:val="single" w:sz="4" w:space="0" w:color="auto"/>
              <w:right w:val="single" w:sz="4" w:space="0" w:color="auto"/>
            </w:tcBorders>
            <w:vAlign w:val="center"/>
            <w:hideMark/>
          </w:tcPr>
          <w:p w14:paraId="2BB53E1C"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631C954E"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5A98C912" w14:textId="77777777" w:rsidR="00551AAB" w:rsidRDefault="00551AAB">
            <w:pPr>
              <w:rPr>
                <w:rFonts w:ascii="Arial" w:hAnsi="Arial" w:cs="Arial"/>
                <w:color w:val="000000"/>
                <w:sz w:val="18"/>
                <w:szCs w:val="18"/>
              </w:rPr>
            </w:pPr>
          </w:p>
        </w:tc>
      </w:tr>
      <w:tr w:rsidR="00551AAB" w14:paraId="26EB8D10"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25653695"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36EBBC62" w14:textId="77777777" w:rsidR="00551AAB" w:rsidRDefault="00551AAB">
            <w:pPr>
              <w:rPr>
                <w:rFonts w:ascii="Arial" w:hAnsi="Arial" w:cs="Arial"/>
                <w:b/>
                <w:bCs/>
                <w:color w:val="000000"/>
                <w:sz w:val="18"/>
                <w:szCs w:val="18"/>
              </w:rPr>
            </w:pPr>
            <w:r>
              <w:rPr>
                <w:rFonts w:ascii="Arial" w:hAnsi="Arial" w:cs="Arial"/>
                <w:b/>
                <w:bCs/>
                <w:color w:val="000000"/>
                <w:sz w:val="18"/>
                <w:szCs w:val="18"/>
              </w:rPr>
              <w:t>Research Design</w:t>
            </w:r>
          </w:p>
        </w:tc>
        <w:tc>
          <w:tcPr>
            <w:tcW w:w="2430" w:type="dxa"/>
            <w:tcBorders>
              <w:top w:val="nil"/>
              <w:left w:val="nil"/>
              <w:bottom w:val="single" w:sz="4" w:space="0" w:color="auto"/>
              <w:right w:val="single" w:sz="4" w:space="0" w:color="auto"/>
            </w:tcBorders>
            <w:vAlign w:val="center"/>
            <w:hideMark/>
          </w:tcPr>
          <w:p w14:paraId="0CA6D5AB" w14:textId="77777777" w:rsidR="00551AAB" w:rsidRDefault="00551AAB">
            <w:pPr>
              <w:rPr>
                <w:rFonts w:ascii="Arial" w:hAnsi="Arial" w:cs="Arial"/>
                <w:color w:val="000000"/>
                <w:sz w:val="18"/>
                <w:szCs w:val="18"/>
              </w:rPr>
            </w:pPr>
            <w:r>
              <w:rPr>
                <w:rFonts w:ascii="Arial" w:hAnsi="Arial" w:cs="Arial"/>
                <w:color w:val="000000"/>
                <w:sz w:val="18"/>
                <w:szCs w:val="18"/>
              </w:rPr>
              <w:t>Randomized Exp.</w:t>
            </w:r>
          </w:p>
        </w:tc>
        <w:tc>
          <w:tcPr>
            <w:tcW w:w="1080" w:type="dxa"/>
            <w:vMerge/>
            <w:tcBorders>
              <w:top w:val="nil"/>
              <w:left w:val="single" w:sz="4" w:space="0" w:color="auto"/>
              <w:bottom w:val="single" w:sz="4" w:space="0" w:color="auto"/>
              <w:right w:val="single" w:sz="4" w:space="0" w:color="auto"/>
            </w:tcBorders>
            <w:vAlign w:val="center"/>
            <w:hideMark/>
          </w:tcPr>
          <w:p w14:paraId="775FC155"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2F88CD45"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2E379F6B" w14:textId="77777777" w:rsidR="00551AAB" w:rsidRDefault="00551AAB">
            <w:pPr>
              <w:rPr>
                <w:rFonts w:ascii="Arial" w:hAnsi="Arial" w:cs="Arial"/>
                <w:color w:val="000000"/>
                <w:sz w:val="18"/>
                <w:szCs w:val="18"/>
              </w:rPr>
            </w:pPr>
          </w:p>
        </w:tc>
      </w:tr>
      <w:tr w:rsidR="00551AAB" w14:paraId="4D42B3A2"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358F5357"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567CF0BE" w14:textId="77777777" w:rsidR="00551AAB" w:rsidRDefault="00551AAB">
            <w:pPr>
              <w:rPr>
                <w:rFonts w:ascii="Arial" w:hAnsi="Arial" w:cs="Arial"/>
                <w:b/>
                <w:bCs/>
                <w:color w:val="000000"/>
                <w:sz w:val="18"/>
                <w:szCs w:val="18"/>
              </w:rPr>
            </w:pPr>
            <w:r>
              <w:rPr>
                <w:rFonts w:ascii="Arial" w:hAnsi="Arial" w:cs="Arial"/>
                <w:b/>
                <w:bCs/>
                <w:color w:val="000000"/>
                <w:sz w:val="18"/>
                <w:szCs w:val="18"/>
              </w:rPr>
              <w:t>Unit of Analysis</w:t>
            </w:r>
          </w:p>
        </w:tc>
        <w:tc>
          <w:tcPr>
            <w:tcW w:w="2430" w:type="dxa"/>
            <w:tcBorders>
              <w:top w:val="nil"/>
              <w:left w:val="nil"/>
              <w:bottom w:val="single" w:sz="4" w:space="0" w:color="auto"/>
              <w:right w:val="single" w:sz="4" w:space="0" w:color="auto"/>
            </w:tcBorders>
            <w:vAlign w:val="center"/>
            <w:hideMark/>
          </w:tcPr>
          <w:p w14:paraId="122C9573" w14:textId="77777777" w:rsidR="00551AAB" w:rsidRDefault="00551AAB">
            <w:pPr>
              <w:rPr>
                <w:rFonts w:ascii="Arial" w:hAnsi="Arial" w:cs="Arial"/>
                <w:color w:val="000000"/>
                <w:sz w:val="18"/>
                <w:szCs w:val="18"/>
              </w:rPr>
            </w:pPr>
            <w:r>
              <w:rPr>
                <w:rFonts w:ascii="Arial" w:hAnsi="Arial" w:cs="Arial"/>
                <w:color w:val="000000"/>
                <w:sz w:val="18"/>
                <w:szCs w:val="18"/>
              </w:rPr>
              <w:t>Question</w:t>
            </w:r>
          </w:p>
        </w:tc>
        <w:tc>
          <w:tcPr>
            <w:tcW w:w="1080" w:type="dxa"/>
            <w:vMerge/>
            <w:tcBorders>
              <w:top w:val="nil"/>
              <w:left w:val="single" w:sz="4" w:space="0" w:color="auto"/>
              <w:bottom w:val="single" w:sz="4" w:space="0" w:color="auto"/>
              <w:right w:val="single" w:sz="4" w:space="0" w:color="auto"/>
            </w:tcBorders>
            <w:vAlign w:val="center"/>
            <w:hideMark/>
          </w:tcPr>
          <w:p w14:paraId="536E09E2"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F7E0A47"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615D2433" w14:textId="77777777" w:rsidR="00551AAB" w:rsidRDefault="00551AAB">
            <w:pPr>
              <w:rPr>
                <w:rFonts w:ascii="Arial" w:hAnsi="Arial" w:cs="Arial"/>
                <w:color w:val="000000"/>
                <w:sz w:val="18"/>
                <w:szCs w:val="18"/>
              </w:rPr>
            </w:pPr>
          </w:p>
        </w:tc>
      </w:tr>
      <w:tr w:rsidR="00551AAB" w14:paraId="27C11AFA"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12F23867"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716A8621" w14:textId="77777777" w:rsidR="00551AAB" w:rsidRDefault="00551AAB">
            <w:pPr>
              <w:rPr>
                <w:rFonts w:ascii="Arial" w:hAnsi="Arial" w:cs="Arial"/>
                <w:b/>
                <w:bCs/>
                <w:color w:val="000000"/>
                <w:sz w:val="18"/>
                <w:szCs w:val="18"/>
              </w:rPr>
            </w:pPr>
            <w:r>
              <w:rPr>
                <w:rFonts w:ascii="Arial" w:hAnsi="Arial" w:cs="Arial"/>
                <w:b/>
                <w:bCs/>
                <w:color w:val="000000"/>
                <w:sz w:val="18"/>
                <w:szCs w:val="18"/>
              </w:rPr>
              <w:t>Key Findings</w:t>
            </w:r>
          </w:p>
        </w:tc>
        <w:tc>
          <w:tcPr>
            <w:tcW w:w="2430" w:type="dxa"/>
            <w:tcBorders>
              <w:top w:val="nil"/>
              <w:left w:val="nil"/>
              <w:bottom w:val="single" w:sz="4" w:space="0" w:color="auto"/>
              <w:right w:val="single" w:sz="4" w:space="0" w:color="auto"/>
            </w:tcBorders>
            <w:vAlign w:val="center"/>
            <w:hideMark/>
          </w:tcPr>
          <w:p w14:paraId="1EA8A177" w14:textId="77777777" w:rsidR="00551AAB" w:rsidRDefault="00551AAB">
            <w:pPr>
              <w:rPr>
                <w:rFonts w:ascii="Arial" w:hAnsi="Arial" w:cs="Arial"/>
                <w:color w:val="000000"/>
                <w:sz w:val="18"/>
                <w:szCs w:val="18"/>
              </w:rPr>
            </w:pPr>
            <w:r>
              <w:rPr>
                <w:rFonts w:ascii="Arial" w:hAnsi="Arial" w:cs="Arial"/>
                <w:color w:val="000000"/>
                <w:sz w:val="18"/>
                <w:szCs w:val="18"/>
              </w:rPr>
              <w:t>↓ Answers; ↑ Answers quality</w:t>
            </w:r>
          </w:p>
        </w:tc>
        <w:tc>
          <w:tcPr>
            <w:tcW w:w="1080" w:type="dxa"/>
            <w:vMerge/>
            <w:tcBorders>
              <w:top w:val="nil"/>
              <w:left w:val="single" w:sz="4" w:space="0" w:color="auto"/>
              <w:bottom w:val="single" w:sz="4" w:space="0" w:color="auto"/>
              <w:right w:val="single" w:sz="4" w:space="0" w:color="auto"/>
            </w:tcBorders>
            <w:vAlign w:val="center"/>
            <w:hideMark/>
          </w:tcPr>
          <w:p w14:paraId="46472746"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2BA887D"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3912F801" w14:textId="77777777" w:rsidR="00551AAB" w:rsidRDefault="00551AAB">
            <w:pPr>
              <w:rPr>
                <w:rFonts w:ascii="Arial" w:hAnsi="Arial" w:cs="Arial"/>
                <w:color w:val="000000"/>
                <w:sz w:val="18"/>
                <w:szCs w:val="18"/>
              </w:rPr>
            </w:pPr>
          </w:p>
        </w:tc>
      </w:tr>
    </w:tbl>
    <w:p w14:paraId="3B4BD5B8" w14:textId="77777777" w:rsidR="00551AAB" w:rsidRDefault="00551AAB" w:rsidP="00551AAB">
      <w:pPr>
        <w:pStyle w:val="TableFiguretitle"/>
        <w:rPr>
          <w:rFonts w:hint="eastAsia"/>
        </w:rPr>
      </w:pPr>
    </w:p>
    <w:p w14:paraId="1657AD19" w14:textId="77777777" w:rsidR="007470C5" w:rsidRPr="0022223D" w:rsidRDefault="007470C5" w:rsidP="00D26DA2">
      <w:pPr>
        <w:pStyle w:val="Notes"/>
        <w:rPr>
          <w:rFonts w:hint="eastAsia"/>
        </w:rPr>
        <w:sectPr w:rsidR="007470C5" w:rsidRPr="0022223D" w:rsidSect="00F40939">
          <w:pgSz w:w="15840" w:h="12240" w:orient="landscape" w:code="1"/>
          <w:pgMar w:top="1440" w:right="1440" w:bottom="1440" w:left="1440" w:header="720" w:footer="288" w:gutter="0"/>
          <w:cols w:space="720"/>
          <w:docGrid w:linePitch="299"/>
        </w:sectPr>
      </w:pPr>
    </w:p>
    <w:p w14:paraId="008666AD" w14:textId="1505E801"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AE3BC0">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rPr>
          <w:rFonts w:hint="eastAsia"/>
        </w:rPr>
      </w:pPr>
      <w:r>
        <w:rPr>
          <w:rFonts w:hint="eastAsia"/>
          <w:lang w:eastAsia="zh-CN"/>
        </w:rPr>
        <w:t xml:space="preserve">Comparing to </w:t>
      </w:r>
      <w:r>
        <w:rPr>
          <w:rFonts w:hint="eastAsia"/>
          <w:lang w:eastAsia="zh-CN"/>
        </w:rPr>
        <w:t>Internal</w:t>
      </w:r>
      <w:r>
        <w:rPr>
          <w:rFonts w:hint="eastAsia"/>
          <w:lang w:eastAsia="zh-CN"/>
        </w:rPr>
        <w:t xml:space="preserve"> GenAI Focused Research</w:t>
      </w:r>
    </w:p>
    <w:p w14:paraId="5EC0D52F" w14:textId="5E78495F"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AE3BC0">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DC106A">
        <w:rPr>
          <w:rFonts w:hint="eastAsia"/>
        </w:rPr>
        <w:t>three</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w:t>
      </w:r>
      <w:r w:rsidR="00093326" w:rsidRPr="00093326">
        <w:t>This heterogeneity fosters natural complementarities where AI provides factual baselines while humans contribute experiential insights. Quora</w:t>
      </w:r>
      <w:r w:rsidR="00AE3BC0">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09662FD0" w14:textId="34A35C9E" w:rsidR="00F17DBF" w:rsidRDefault="00F17DBF" w:rsidP="00F17DBF">
      <w:pPr>
        <w:pStyle w:val="Paragraph0"/>
      </w:pPr>
      <w:r w:rsidRPr="00F17DBF">
        <w:lastRenderedPageBreak/>
        <w:t>Third, Su et al. (2025) do not distinguish between the effect of the AI label and the effect of AI content on human contributions. Their design does not permit these two effects to be separated. Our study is specifically designed to isolate them. This separation yields a more precise account of how internal GenAI affects human behavior and provides an analytical framework for reconciling the divergent findings across studies. We develop this comparison in the conclusion.</w:t>
      </w:r>
    </w:p>
    <w:p w14:paraId="531AB84E" w14:textId="6A35613F" w:rsidR="00093326" w:rsidRPr="0022223D" w:rsidRDefault="00093326" w:rsidP="00093326">
      <w:pPr>
        <w:pStyle w:val="Paragraph0"/>
      </w:pPr>
      <w:r w:rsidRPr="0022223D">
        <w:t xml:space="preserve">These differences suggest that the effect of internal GenAI may be highly contingent on platform design, user composition, and implementation strategies. While </w:t>
      </w:r>
      <w:r w:rsidRPr="0022223D">
        <w:fldChar w:fldCharType="begin"/>
      </w:r>
      <w:r>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Pr>
          <w:rFonts w:hint="eastAsia"/>
        </w:rPr>
        <w:instrText xml:space="preserve">ipation in knowledge generation and dissemination, adding to the burgeoning body of work on how generative AI influences human knowledge sharing.  </w:instrText>
      </w:r>
      <w:r>
        <w:rPr>
          <w:rFonts w:hint="eastAsia"/>
        </w:rPr>
        <w:instrText>生成式人工智能（</w:instrText>
      </w:r>
      <w:r>
        <w:rPr>
          <w:rFonts w:hint="eastAsia"/>
        </w:rPr>
        <w:instrText>GI</w:instrText>
      </w:r>
      <w:r>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Pr>
          <w:rFonts w:hint="eastAsia"/>
        </w:rPr>
        <w:instrText xml:space="preserve"> </w:instrText>
      </w:r>
      <w:r>
        <w:rPr>
          <w:rFonts w:hint="eastAsia"/>
        </w:rPr>
        <w:instrText>我们的研究突显了整合生成式人工智能以激励人类参与知识创造和传播的潜力，进一步丰富了关于生成式人工智能如何影响人类知识共享的研究成果。</w:instrText>
      </w:r>
      <w:r>
        <w:rPr>
          <w:rFonts w:hint="eastAsia"/>
        </w:rPr>
        <w:instrText xml:space="preserve">","archive_location":"6 </w:instrText>
      </w:r>
      <w:r>
        <w:rPr>
          <w:rFonts w:ascii="Apple Color Emoji" w:hAnsi="Apple Color Emoji" w:cs="Apple Color Emoji"/>
        </w:rPr>
        <w:instrText>📊</w:instrText>
      </w:r>
      <w:r>
        <w:rPr>
          <w:rFonts w:hint="eastAsia"/>
        </w:rPr>
        <w:instrText>","DOI":"10.2139/ssrn.4628786","genre":"</w:instrText>
      </w:r>
      <w:r>
        <w:instrText>SSRN Scholarly Paper","language":"en","note":"</w:instrText>
      </w:r>
      <w:r>
        <w:rPr>
          <w:rFonts w:ascii="Apple Color Emoji" w:hAnsi="Apple Color Emoji" w:cs="Apple Color Emoji"/>
        </w:rPr>
        <w:instrText>🏷️</w:instrText>
      </w:r>
      <w:r>
        <w:instrText xml:space="preserve"> /reading</w:instrText>
      </w:r>
      <w:r>
        <w:rPr>
          <w:rFonts w:hint="eastAsia"/>
        </w:rPr>
        <w:instrText>、</w:instrText>
      </w:r>
      <w:r>
        <w:instrText>generative AI</w:instrText>
      </w:r>
      <w:r>
        <w:rPr>
          <w:rFonts w:hint="eastAsia"/>
        </w:rPr>
        <w:instrText>、</w:instrText>
      </w:r>
      <w:r>
        <w:instrText>natural experiment</w:instrText>
      </w:r>
      <w:r>
        <w:rPr>
          <w:rFonts w:hint="eastAsia"/>
        </w:rPr>
        <w:instrText>、</w:instrText>
      </w:r>
      <w:r>
        <w:instrText>knowledge sharing</w:instrText>
      </w:r>
      <w:r>
        <w:rPr>
          <w:rFonts w:hint="eastAsia"/>
        </w:rPr>
        <w:instrText>、</w:instrText>
      </w:r>
      <w:r>
        <w:instrText>Q&amp;A platform</w:instrText>
      </w:r>
      <w:r>
        <w:rPr>
          <w:rFonts w:hint="eastAsia"/>
        </w:rPr>
        <w:instrText>、</w:instrText>
      </w:r>
      <w:r>
        <w:instrText>randomized experiment</w:instrText>
      </w:r>
      <w:r>
        <w:rPr>
          <w:rFonts w:hint="eastAsia"/>
        </w:rPr>
        <w:instrText>、</w:instrText>
      </w:r>
      <w:r>
        <w:instrText xml:space="preserve">AI-human interaction","number":"4628786","publisher":"Social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AE3BC0">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rPr>
          <w:rFonts w:hint="eastAsia"/>
        </w:rPr>
      </w:pPr>
      <w:r>
        <w:rPr>
          <w:rFonts w:hint="eastAsia"/>
          <w:lang w:eastAsia="zh-CN"/>
        </w:rPr>
        <w:t xml:space="preserve">Comparing to </w:t>
      </w:r>
      <w:r>
        <w:rPr>
          <w:rFonts w:hint="eastAsia"/>
          <w:lang w:eastAsia="zh-CN"/>
        </w:rPr>
        <w:t>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w:t>
      </w:r>
      <w:r w:rsidRPr="00093326">
        <w:lastRenderedPageBreak/>
        <w:t xml:space="preserve">human answering behavior and the broader knowledge ecosystem? This question remains unanswered. </w:t>
      </w:r>
    </w:p>
    <w:p w14:paraId="2B72184B" w14:textId="302D53DE" w:rsidR="00093326" w:rsidRPr="0022223D" w:rsidRDefault="00093326" w:rsidP="00093326">
      <w:pPr>
        <w:pStyle w:val="Paragraph0"/>
      </w:pPr>
      <w:r w:rsidRPr="00093326">
        <w:t>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4" w:name="OLE_LINK8"/>
      <w:r w:rsidRPr="0022223D">
        <w:t>Theoretical Development</w:t>
      </w:r>
    </w:p>
    <w:p w14:paraId="5A379F07" w14:textId="363A82BE" w:rsidR="00F11598" w:rsidRPr="0022223D" w:rsidRDefault="004D12A4" w:rsidP="00073462">
      <w:pPr>
        <w:jc w:val="center"/>
      </w:pPr>
      <w:r w:rsidRPr="004D12A4">
        <w:rPr>
          <w:noProof/>
        </w:rPr>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D1EF0">
      <w:pPr>
        <w:spacing w:line="480" w:lineRule="auto"/>
        <w:jc w:val="center"/>
        <w:rPr>
          <w:rFonts w:eastAsiaTheme="minorEastAsia"/>
        </w:rPr>
      </w:pPr>
      <w:r w:rsidRPr="0022223D">
        <w:t xml:space="preserve">Figure </w:t>
      </w:r>
      <w:r w:rsidR="00300190">
        <w:t>2</w:t>
      </w:r>
      <w:r w:rsidRPr="0022223D">
        <w:t>.</w:t>
      </w:r>
      <w:r w:rsidR="003D40BF">
        <w:rPr>
          <w:rFonts w:eastAsiaTheme="minorEastAsia" w:hint="eastAsia"/>
        </w:rPr>
        <w:t xml:space="preserve"> </w:t>
      </w:r>
      <w:r w:rsidR="003D40BF">
        <w:rPr>
          <w:rFonts w:eastAsiaTheme="minorEastAsia"/>
        </w:rPr>
        <w:t>Conceptual Framework</w:t>
      </w:r>
    </w:p>
    <w:p w14:paraId="0700506B" w14:textId="4B190835" w:rsidR="00136E54" w:rsidRPr="004F0C5D" w:rsidRDefault="00136E54" w:rsidP="004F0C5D">
      <w:pPr>
        <w:pStyle w:val="Paragraph0"/>
        <w:rPr>
          <w:color w:val="000000"/>
          <w:szCs w:val="24"/>
        </w:rPr>
      </w:pPr>
      <w:bookmarkStart w:id="5" w:name="OLE_LINK2"/>
      <w:r>
        <w:lastRenderedPageBreak/>
        <w:t>Kahneman</w:t>
      </w:r>
      <w:r w:rsidR="00AE3BC0">
        <w:t>’</w:t>
      </w:r>
      <w:r>
        <w:t xml:space="preserve">s dual-process framework distinguishes between System 1, which operates automatically and effortlessly and is sensitive to affect and heuristic cues, and System 2, which is deliberate and effortful and is engaged only when the stakes are judged </w:t>
      </w:r>
      <w:r w:rsidR="00467FEB">
        <w:t>“</w:t>
      </w:r>
      <w:r>
        <w:t>sufficiently important</w:t>
      </w:r>
      <w:r w:rsidR="00467FEB">
        <w:t>”</w:t>
      </w:r>
      <w:r>
        <w:t xml:space="preserve"> to override the </w:t>
      </w:r>
      <w:r w:rsidR="00467FEB">
        <w:t>“</w:t>
      </w:r>
      <w:r>
        <w:t>law of least effort</w:t>
      </w:r>
      <w:r w:rsidR="00467FEB">
        <w:t>”</w:t>
      </w:r>
      <w:r>
        <w:t xml:space="preserve"> (Kahneman, 2011). </w:t>
      </w:r>
      <w:r w:rsidR="004F0C5D">
        <w:rPr>
          <w:color w:val="000000"/>
        </w:rPr>
        <w:t>We apply this framework to the human answerer</w:t>
      </w:r>
      <w:r w:rsidR="00AE3BC0">
        <w:rPr>
          <w:color w:val="000000"/>
        </w:rPr>
        <w:t>’</w:t>
      </w:r>
      <w:r w:rsidR="004F0C5D">
        <w:rPr>
          <w:color w:val="000000"/>
        </w:rPr>
        <w:t>s encounter with an AI</w:t>
      </w:r>
      <w:r w:rsidR="004D12A4">
        <w:rPr>
          <w:rFonts w:hint="eastAsia"/>
          <w:color w:val="000000"/>
        </w:rPr>
        <w:t>-</w:t>
      </w:r>
      <w:r w:rsidR="004F0C5D">
        <w:rPr>
          <w:color w:val="000000"/>
        </w:rPr>
        <w:t>generated answer</w:t>
      </w:r>
      <w:r w:rsidR="00D31AAA">
        <w:rPr>
          <w:rFonts w:hint="eastAsia"/>
          <w:color w:val="000000"/>
        </w:rPr>
        <w:t xml:space="preserve">, and </w:t>
      </w:r>
      <w:r w:rsidR="00D31AAA" w:rsidRPr="00D31AAA">
        <w:rPr>
          <w:color w:val="000000"/>
        </w:rPr>
        <w:t>Figure 2 renders this application structurally</w:t>
      </w:r>
      <w:r w:rsidR="004F0C5D">
        <w:rPr>
          <w:color w:val="000000"/>
        </w:rPr>
        <w:t xml:space="preserve">. </w:t>
      </w:r>
      <w:r w:rsidR="00D31AAA" w:rsidRPr="00D31AAA">
        <w:rPr>
          <w:color w:val="000000"/>
        </w:rPr>
        <w:t xml:space="preserve">The encounter is, at its core, a competitive episode. </w:t>
      </w:r>
      <w:r w:rsidR="004F0C5D">
        <w:rPr>
          <w:color w:val="000000"/>
        </w:rPr>
        <w:t>The human answerer observes that a question has already received an AI answer, and this observation places the human answerer in a rivalry with a new type of opponent, the AI answer, for a scarce resource: the limited attention and recognition of viewers (Simon, 1971).</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heuristic associations about AI competence. The second is AI answer length. The volume of a response is perceptible at a glance, and a long answer visually signals comprehensiveness before its content is inspected. The participation decision is therefore shaped by the AI label and by a rapid, length-based appraisal of coverage. Both forces operate within the </w:t>
      </w:r>
      <w:r w:rsidR="00590C2F">
        <w:rPr>
          <w:rFonts w:hint="eastAsia"/>
        </w:rPr>
        <w:t>f</w:t>
      </w:r>
      <w:r w:rsidR="00590C2F" w:rsidRPr="00590C2F">
        <w:t xml:space="preserve">ast </w:t>
      </w:r>
      <w:r w:rsidR="00590C2F">
        <w:rPr>
          <w:rFonts w:hint="eastAsia"/>
        </w:rPr>
        <w:t>p</w:t>
      </w:r>
      <w:r w:rsidR="00590C2F" w:rsidRPr="00590C2F">
        <w:t>rocessing stage.</w:t>
      </w:r>
    </w:p>
    <w:p w14:paraId="3584D4A3" w14:textId="77777777" w:rsidR="00590C2F" w:rsidRDefault="00590C2F" w:rsidP="00136E54">
      <w:pPr>
        <w:pStyle w:val="Paragraph0"/>
      </w:pPr>
      <w:r w:rsidRPr="00590C2F">
        <w:t xml:space="preserve">The </w:t>
      </w:r>
      <w:r>
        <w:rPr>
          <w:rFonts w:hint="eastAsia"/>
        </w:rPr>
        <w:t>s</w:t>
      </w:r>
      <w:r w:rsidRPr="00590C2F">
        <w:t xml:space="preserve">low </w:t>
      </w:r>
      <w:r>
        <w:rPr>
          <w:rFonts w:hint="eastAsia"/>
        </w:rPr>
        <w:t>p</w:t>
      </w:r>
      <w:r w:rsidRPr="00590C2F">
        <w:t xml:space="preserve">rocessing stage begins only after the answerer has decided to contribute. At this point the answerer must engage System 2 to read and evaluate the substantive quality of the AI answer before deciding how much effort to invest in a response. This second decision is complex rather than binary, and it is this decision that determines the quality of the answer eventually produced. A high-quality AI answer narrows the perceived space for meaningful incremental </w:t>
      </w:r>
      <w:r w:rsidRPr="00590C2F">
        <w:lastRenderedPageBreak/>
        <w:t xml:space="preserve">contribution and raises the bar the answerer feels compelled to clear. AI answer quality and answer quality are therefore linked through deliberate, effortful calibration. </w:t>
      </w:r>
    </w:p>
    <w:p w14:paraId="54D33C7B" w14:textId="60C7410B" w:rsidR="00686B13" w:rsidRDefault="00686B13" w:rsidP="00136E54">
      <w:pPr>
        <w:pStyle w:val="Paragraph0"/>
        <w:rPr>
          <w:rFonts w:hint="eastAsia"/>
        </w:rPr>
      </w:pPr>
      <w:r w:rsidRPr="00686B13">
        <w:t>In addition, we draw on the logic of competition dynamics theory (Chen, 1996) to better understand the decisions a human answerer makes under competition. Dual-process theory remains our primary account. It specifies which mode of processing governs each decision and why the answerer decides as they do. Competition dynamics is a separate lens that offers further insight and supporting evidence on the competitive appraisal behind these decisions.</w:t>
      </w:r>
    </w:p>
    <w:p w14:paraId="39DD25BD" w14:textId="335FAD8F" w:rsidR="00590C2F" w:rsidRDefault="00590C2F" w:rsidP="00136E54">
      <w:pPr>
        <w:pStyle w:val="Paragraph0"/>
      </w:pPr>
      <w:r>
        <w:rPr>
          <w:rFonts w:hint="eastAsia"/>
        </w:rPr>
        <w:t xml:space="preserve">We theoretically raise 4 hypotheses. </w:t>
      </w:r>
      <w:r w:rsidRPr="00590C2F">
        <w:t xml:space="preserve">H1 and H2 address the </w:t>
      </w:r>
      <w:r>
        <w:rPr>
          <w:rFonts w:hint="eastAsia"/>
        </w:rPr>
        <w:t>first decision</w:t>
      </w:r>
      <w:r w:rsidRPr="00590C2F">
        <w:t xml:space="preserve">, answerer participation. H3 and H4 address the </w:t>
      </w:r>
      <w:r>
        <w:rPr>
          <w:rFonts w:hint="eastAsia"/>
        </w:rPr>
        <w:t>second decision</w:t>
      </w:r>
      <w:r w:rsidRPr="00590C2F">
        <w:t xml:space="preserve">, </w:t>
      </w:r>
      <w:r>
        <w:t>the quality of the contribution once it is made</w:t>
      </w:r>
      <w:r w:rsidRPr="00590C2F">
        <w:t>.</w:t>
      </w:r>
    </w:p>
    <w:p w14:paraId="4A968B64" w14:textId="1F029083" w:rsidR="003D40BF" w:rsidRPr="00EF5784" w:rsidRDefault="00D63752" w:rsidP="00EF5784">
      <w:pPr>
        <w:pStyle w:val="Heading2"/>
        <w:rPr>
          <w:rFonts w:hint="eastAsia"/>
          <w:b w:val="0"/>
          <w:bCs/>
        </w:rPr>
      </w:pPr>
      <w:r w:rsidRPr="00D63752">
        <w:t>AI Label and Contribution</w:t>
      </w:r>
      <w:r w:rsidR="00B55978" w:rsidRPr="00D63752">
        <w:rPr>
          <w:b w:val="0"/>
          <w:bCs/>
        </w:rPr>
        <w:t xml:space="preserve"> </w:t>
      </w:r>
    </w:p>
    <w:p w14:paraId="5235122D" w14:textId="4A3155EA" w:rsidR="0062502D" w:rsidRDefault="00C542A7" w:rsidP="00594555">
      <w:pPr>
        <w:pStyle w:val="Paragraph0"/>
      </w:pPr>
      <w:bookmarkStart w:id="6" w:name="OLE_LINK3"/>
      <w:bookmarkStart w:id="7"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Pr="00C542A7">
        <w:t xml:space="preserve"> observe that </w:t>
      </w:r>
      <w:r w:rsidR="00F53B25" w:rsidRPr="00C542A7">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6"/>
    <w:p w14:paraId="2E4770DC" w14:textId="61552C45" w:rsidR="00A5029E" w:rsidRDefault="00A5029E" w:rsidP="00C542A7">
      <w:pPr>
        <w:pStyle w:val="Paragraph0"/>
      </w:pPr>
      <w:r w:rsidRPr="00A5029E">
        <w:t xml:space="preserve">The routine assessment triggered by the label draws on the prevailing narrative about AI capability at the time of our study, and the content of this narrative deserves precision.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on genuine technical problems, </w:t>
      </w:r>
      <w:r w:rsidRPr="00A5029E">
        <w:lastRenderedPageBreak/>
        <w:t>where correctness depends on precise reasoning rather than fluent prose.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Through the availability heuristic (Tversky &amp; Kahneman, 1973), the routine assessment retrieves this domain-specific impression. The answerer expects that the AI is unlikely to solve the particular technical problem at hand.</w:t>
      </w:r>
    </w:p>
    <w:p w14:paraId="4DC30907" w14:textId="3EA40DFF" w:rsidR="00A5029E" w:rsidRDefault="00A5029E" w:rsidP="00C542A7">
      <w:pPr>
        <w:pStyle w:val="Paragraph0"/>
      </w:pPr>
      <w:r w:rsidRPr="00A5029E">
        <w:t>A second source reinforces this expectation. Our answerers are domain experts, and experts are prone to overconfidence, because they tend to substitute confidence in their own skill for a careful assessment of task difficulty (Kahneman, 2011). The answerer</w:t>
      </w:r>
      <w:r w:rsidR="00AE3BC0">
        <w:t>’</w:t>
      </w:r>
      <w:r w:rsidRPr="00A5029E">
        <w:t>s confidence is therefore twofold. One part is a domain-specific doubt about the AI</w:t>
      </w:r>
      <w:r w:rsidR="00AE3BC0">
        <w:t>’</w:t>
      </w:r>
      <w:r w:rsidRPr="00A5029E">
        <w:t>s competence on technical questions. The other part is a belief in the answerer</w:t>
      </w:r>
      <w:r w:rsidR="00AE3BC0">
        <w:t>’</w:t>
      </w:r>
      <w:r w:rsidRPr="00A5029E">
        <w:t>s own ability to produce something better. These two beliefs jointly support the judgment of an incapable competitor. Neither belief requires the answerer to hold that AI is generally incompetent, and this distinction matters for the surprise mechanism we develop in H4.</w:t>
      </w:r>
    </w:p>
    <w:p w14:paraId="0600677B" w14:textId="4EF64B26" w:rsidR="00A5029E" w:rsidRDefault="00A5029E" w:rsidP="00A5029E">
      <w:pPr>
        <w:pStyle w:val="Paragraph0"/>
        <w:rPr>
          <w:rFonts w:hint="eastAsia"/>
        </w:rPr>
      </w:pPr>
      <w:r w:rsidRPr="00A5029E">
        <w:t>The label thus produces two negative reactions at once. One is a diffuse sense of threat that follows from the AI</w:t>
      </w:r>
      <w:r w:rsidR="00AE3BC0">
        <w:t>’</w:t>
      </w:r>
      <w:r w:rsidRPr="00A5029E">
        <w:t>s status as a competitor</w:t>
      </w:r>
      <w:r>
        <w:rPr>
          <w:rFonts w:hint="eastAsia"/>
        </w:rPr>
        <w:t xml:space="preserve"> </w:t>
      </w:r>
      <w:r w:rsidRPr="00A5029E">
        <w:t>for the limited attention and recognition of viewers, because the mere presence of a rival in a competitive interaction is enough to generate threat independent of any information about the rival</w:t>
      </w:r>
      <w:r w:rsidR="00AE3BC0">
        <w:t>’</w:t>
      </w:r>
      <w:r w:rsidRPr="00A5029E">
        <w:t>s actual strength (Chen, 1996). The other is disdain that follows from the belief that this particular competitor is weak on this particular task.</w:t>
      </w:r>
      <w:bookmarkStart w:id="8" w:name="OLE_LINK4"/>
    </w:p>
    <w:p w14:paraId="0CFE74FF" w14:textId="6ABD4D7C" w:rsidR="00A5029E" w:rsidRDefault="00C542A7" w:rsidP="004C7134">
      <w:pPr>
        <w:pStyle w:val="Paragraph0"/>
      </w:pPr>
      <w:r w:rsidRPr="00C542A7">
        <w:t>System 1 generates what Kahneman (2011) terms exaggerated emotional coherence</w:t>
      </w:r>
      <w:r w:rsidR="00544ACE">
        <w:rPr>
          <w:rFonts w:hint="eastAsia"/>
        </w:rPr>
        <w:t>.</w:t>
      </w:r>
      <w:r w:rsidR="00544ACE" w:rsidRPr="00544ACE">
        <w:t xml:space="preserve"> When System 1 encounters a cue that produces an initial affective response, it does not treat that response as partial or provisional. It extends the initial affect into a confident, global judgment </w:t>
      </w:r>
      <w:r w:rsidR="00544ACE" w:rsidRPr="00544ACE">
        <w:lastRenderedPageBreak/>
        <w:t>about the object that produced it.</w:t>
      </w:r>
      <w:r w:rsidR="00D37B94" w:rsidRPr="00D37B94">
        <w:t xml:space="preserve"> </w:t>
      </w:r>
      <w:r w:rsidR="00D37B94">
        <w:rPr>
          <w:rFonts w:hint="eastAsia"/>
        </w:rPr>
        <w:t xml:space="preserve">This </w:t>
      </w:r>
      <w:r w:rsidR="00D37B94" w:rsidRPr="00D37B94">
        <w:t>unconscious alteration of judgments</w:t>
      </w:r>
      <w:r w:rsidR="00D37B94" w:rsidRPr="00D37B94">
        <w:t xml:space="preserve"> </w:t>
      </w:r>
      <w:r w:rsidR="00D37B94">
        <w:rPr>
          <w:rFonts w:hint="eastAsia"/>
        </w:rPr>
        <w:t>is called t</w:t>
      </w:r>
      <w:r w:rsidR="00D37B94" w:rsidRPr="00D37B94">
        <w:t>he halo effect</w:t>
      </w:r>
      <w:r w:rsidR="00D37B94">
        <w:rPr>
          <w:rFonts w:hint="eastAsia"/>
        </w:rPr>
        <w:t xml:space="preserve"> </w:t>
      </w:r>
      <w:r w:rsidR="00D37B94">
        <w:fldChar w:fldCharType="begin"/>
      </w:r>
      <w:r w:rsidR="00D37B94">
        <w:instrText xml:space="preserve"> ADDIN ZOTERO_ITEM CSL_CITATION {"citationID":"TZ3dONgs","properties":{"unsorted":false,"formattedCitation":"(Nisbett &amp; Wilson, 1977)","plainCitation":"(Nisbett &amp; Wilson, 1977)","noteIndex":0},"citationItems":[{"id":169193,"uris":["http://zotero.org/users/8905122/items/YLUAZZ7P"],"itemData":{"id":169193,"type":"article-journal","abstract":"Staged 2 different videotaped interviews with the same individual—a college instructor who spoke English with a European accent. In one of the interviews the instructor was warm and friendly, in the other, cold and distant. 118 undergraduates were asked to evaluate the instructor. Ss who saw the warm instructor rated his appearance, mannerisms, and accent as appealing, whereas those who saw the cold instructor rated these attributes as irritating. Results indicate that global evaluations of a person can induce altered evaluations of the person's attributes, even when there is sufficient information to allow for independent assessments of them. Furthermore, Ss were unaware of this influence of global evaluations on ratings of attributes. In fact, Ss who saw the cold instructor actually believed that the direction of influence was opposite to the true direction. They reported that their dislike of the instructor had no effect on their rating of his attributes but that their dislike of his attributes had lowered their global evaluations of him. (PsycInfo Database Record (c) 2025 APA, all rights reserved)","archive_location":"1466 </w:instrText>
      </w:r>
      <w:r w:rsidR="00D37B94">
        <w:rPr>
          <w:rFonts w:ascii="Apple Color Emoji" w:hAnsi="Apple Color Emoji" w:cs="Apple Color Emoji"/>
        </w:rPr>
        <w:instrText>📊</w:instrText>
      </w:r>
      <w:r w:rsidR="00D37B94">
        <w:instrText>","call-number":"1","container-title":"Journal of Personality and Social Psychology","DOI":"10.1037/0022-3514.35.4.250","ISSN":"1939-1315","issue":"4","language":"en","note":"</w:instrText>
      </w:r>
      <w:r w:rsidR="00D37B94">
        <w:rPr>
          <w:rFonts w:ascii="Apple Color Emoji" w:hAnsi="Apple Color Emoji" w:cs="Apple Color Emoji"/>
        </w:rPr>
        <w:instrText>🏷️</w:instrText>
      </w:r>
      <w:r w:rsidR="00D37B94">
        <w:instrText xml:space="preserve"> /unread</w:instrText>
      </w:r>
      <w:r w:rsidR="00D37B94">
        <w:rPr>
          <w:rFonts w:hint="eastAsia"/>
        </w:rPr>
        <w:instrText>、</w:instrText>
      </w:r>
      <w:r w:rsidR="00D37B94">
        <w:instrText>Social Perception</w:instrText>
      </w:r>
      <w:r w:rsidR="00D37B94">
        <w:rPr>
          <w:rFonts w:hint="eastAsia"/>
        </w:rPr>
        <w:instrText>、</w:instrText>
      </w:r>
      <w:r w:rsidR="00D37B94">
        <w:instrText xml:space="preserve">Personality Traits","page":"250-256","publisher":"American Psychological Association","publisher-place":"US","source":"6.8 (Q1)","title":"The halo effect: Evidence for unconscious alteration of judgments","title-short":"The halo effect","volume":"35","author":[{"family":"Nisbett","given":"Richard E."},{"family":"Wilson","given":"Timothy D."}],"issued":{"date-parts":[["1977"]]}}}],"schema":"https://github.com/citation-style-language/schema/raw/master/csl-citation.json"} </w:instrText>
      </w:r>
      <w:r w:rsidR="00D37B94">
        <w:fldChar w:fldCharType="separate"/>
      </w:r>
      <w:r w:rsidR="00D37B94">
        <w:rPr>
          <w:noProof/>
        </w:rPr>
        <w:t>(Nisbett &amp; Wilson, 1977)</w:t>
      </w:r>
      <w:r w:rsidR="00D37B94">
        <w:fldChar w:fldCharType="end"/>
      </w:r>
      <w:r w:rsidR="00D37B94" w:rsidRPr="00D37B94">
        <w:t>.</w:t>
      </w:r>
      <w:r w:rsidR="00544ACE" w:rsidRPr="00544ACE">
        <w:t xml:space="preserve"> </w:t>
      </w:r>
      <w:r w:rsidR="004C7134">
        <w:t>Applied to our setting, this mechanism takes the combined negative affect generated by the AI</w:t>
      </w:r>
      <w:r w:rsidR="00544ACE">
        <w:rPr>
          <w:rFonts w:hint="eastAsia"/>
        </w:rPr>
        <w:t xml:space="preserve"> label</w:t>
      </w:r>
      <w:r w:rsidR="004C7134">
        <w:t>, and converts this affect into a single, coherent judgment about the AI</w:t>
      </w:r>
      <w:r w:rsidR="00AE3BC0">
        <w:t>’</w:t>
      </w:r>
      <w:r w:rsidR="004C7134">
        <w:t>s capability. The AI is not merely disliked. It is judged incapable. It is this converted judgment about capability, rather than the raw affect itself, that shapes the answerer</w:t>
      </w:r>
      <w:r w:rsidR="00AE3BC0">
        <w:t>’</w:t>
      </w:r>
      <w:r w:rsidR="004C7134">
        <w:t xml:space="preserve">s subsequent decision of whether to contribute. </w:t>
      </w:r>
    </w:p>
    <w:p w14:paraId="46BC2E45" w14:textId="2667BE9C" w:rsidR="004C7134" w:rsidRDefault="004C7134" w:rsidP="004C7134">
      <w:pPr>
        <w:pStyle w:val="Paragraph0"/>
        <w:rPr>
          <w:szCs w:val="24"/>
        </w:rPr>
      </w:pPr>
      <w:r>
        <w:t>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Outperforming an AI judged incapable removes the earlier threat of substitution, because a superior human answer demonstrates that the AI has not actually replaced the answerer</w:t>
      </w:r>
      <w:r w:rsidR="00AE3BC0">
        <w:t>’</w:t>
      </w:r>
      <w:r>
        <w:t xml:space="preserve">s value to the community. Producing a manifestly better answer also confirms the disdain the answerer already feels, and this confirmation is itself rewarding, because it validates a judgment the answerer had already reached. 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8"/>
    <w:p w14:paraId="766FD536" w14:textId="522EEE61" w:rsidR="00B55978" w:rsidRPr="00686B13" w:rsidRDefault="00A5029E" w:rsidP="00686B13">
      <w:pPr>
        <w:pStyle w:val="Paragraph0"/>
        <w:rPr>
          <w:rFonts w:hint="eastAsia"/>
          <w:b/>
          <w:bCs/>
          <w:szCs w:val="24"/>
        </w:rPr>
      </w:pPr>
      <w:r w:rsidRPr="00A5029E">
        <w:rPr>
          <w:szCs w:val="24"/>
        </w:rPr>
        <w:t xml:space="preserve">Competition dynamics theory offers a complementary account that reaches the same prediction. In a technical Q&amp;A community, human users and the AI both aim to provide the best solution under the same technical topic, and this shared arena creates high market commonality. High market commonality raises the tension and awareness between competitors and draws actors into the competitive interaction (Chen, 1996). </w:t>
      </w:r>
      <w:r w:rsidR="00686B13" w:rsidRPr="00686B13">
        <w:rPr>
          <w:szCs w:val="24"/>
        </w:rPr>
        <w:t xml:space="preserve">Once engaged, the answerer compares the </w:t>
      </w:r>
      <w:r w:rsidR="00686B13" w:rsidRPr="00686B13">
        <w:rPr>
          <w:szCs w:val="24"/>
        </w:rPr>
        <w:lastRenderedPageBreak/>
        <w:t>AI</w:t>
      </w:r>
      <w:r w:rsidR="00AE3BC0">
        <w:rPr>
          <w:szCs w:val="24"/>
        </w:rPr>
        <w:t>’</w:t>
      </w:r>
      <w:r w:rsidR="00686B13" w:rsidRPr="00686B13">
        <w:rPr>
          <w:szCs w:val="24"/>
        </w:rPr>
        <w:t>s answering ability with their own</w:t>
      </w:r>
      <w:r w:rsidR="00686B13">
        <w:rPr>
          <w:rFonts w:hint="eastAsia"/>
          <w:szCs w:val="24"/>
        </w:rPr>
        <w:t xml:space="preserve"> to determine resource similarity, which here in our context is </w:t>
      </w:r>
      <w:r w:rsidR="00686B13" w:rsidRPr="00686B13">
        <w:rPr>
          <w:szCs w:val="24"/>
        </w:rPr>
        <w:t xml:space="preserve">whether the AI can provide content that the answerer cannot. The simple AI label signals low resource similarity, </w:t>
      </w:r>
      <w:r w:rsidR="00686B13">
        <w:rPr>
          <w:rFonts w:hint="eastAsia"/>
          <w:szCs w:val="24"/>
        </w:rPr>
        <w:t xml:space="preserve">meaning the </w:t>
      </w:r>
      <w:r w:rsidR="00686B13" w:rsidRPr="00686B13">
        <w:rPr>
          <w:szCs w:val="24"/>
        </w:rPr>
        <w:t>answerer infers that the AI</w:t>
      </w:r>
      <w:r w:rsidR="00AE3BC0">
        <w:rPr>
          <w:szCs w:val="24"/>
        </w:rPr>
        <w:t>’</w:t>
      </w:r>
      <w:r w:rsidR="00686B13" w:rsidRPr="00686B13">
        <w:rPr>
          <w:szCs w:val="24"/>
        </w:rPr>
        <w:t>s output falls within their own competence</w:t>
      </w:r>
      <w:r w:rsidR="00686B13">
        <w:rPr>
          <w:rFonts w:hint="eastAsia"/>
          <w:szCs w:val="24"/>
        </w:rPr>
        <w:t xml:space="preserve">, and </w:t>
      </w:r>
      <w:r w:rsidR="00686B13" w:rsidRPr="00686B13">
        <w:rPr>
          <w:szCs w:val="24"/>
        </w:rPr>
        <w:t>the answerer can further supply what the AI cannot</w:t>
      </w:r>
      <w:r w:rsidRPr="00A5029E">
        <w:rPr>
          <w:szCs w:val="24"/>
        </w:rPr>
        <w:t xml:space="preserve">. When the </w:t>
      </w:r>
      <w:r w:rsidR="00686B13">
        <w:rPr>
          <w:rFonts w:hint="eastAsia"/>
          <w:szCs w:val="24"/>
        </w:rPr>
        <w:t>competitor</w:t>
      </w:r>
      <w:r w:rsidRPr="00A5029E">
        <w:rPr>
          <w:szCs w:val="24"/>
        </w:rPr>
        <w:t xml:space="preserve"> appears weak, the risk of being defeated after entry is low, and the motivation to enter the competition and contribute is strong.</w:t>
      </w:r>
      <w:r w:rsidR="00686B13" w:rsidRPr="00686B13">
        <w:rPr>
          <w:rFonts w:hint="eastAsia"/>
        </w:rPr>
        <w:t xml:space="preserve"> </w:t>
      </w:r>
      <w:r w:rsidR="00686B13">
        <w:rPr>
          <w:rFonts w:hint="eastAsia"/>
        </w:rPr>
        <w:t>Therefore, we hypothesize that:</w:t>
      </w:r>
    </w:p>
    <w:p w14:paraId="2212FAB5" w14:textId="0E062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an AI label increases the </w:t>
      </w:r>
      <w:r w:rsidRPr="00686B13">
        <w:rPr>
          <w:rFonts w:hint="eastAsia"/>
          <w:b/>
          <w:bCs/>
          <w:i/>
          <w:iCs/>
        </w:rPr>
        <w:t>human answer contribution</w:t>
      </w:r>
      <w:r w:rsidRPr="00686B13">
        <w:rPr>
          <w:b/>
          <w:bCs/>
          <w:i/>
          <w:iCs/>
        </w:rPr>
        <w:t>.</w:t>
      </w:r>
    </w:p>
    <w:p w14:paraId="74315BF9" w14:textId="3DF9F52B" w:rsidR="00D63752" w:rsidRPr="00D63752" w:rsidRDefault="00D63752" w:rsidP="00D63752">
      <w:pPr>
        <w:pStyle w:val="Heading2"/>
        <w:rPr>
          <w:b w:val="0"/>
          <w:bCs/>
        </w:rPr>
      </w:pPr>
      <w:r w:rsidRPr="00D63752">
        <w:rPr>
          <w:rStyle w:val="Strong"/>
          <w:b/>
          <w:bCs w:val="0"/>
          <w:color w:val="000000"/>
        </w:rPr>
        <w:t>AI Answer Length and Contribution</w:t>
      </w:r>
      <w:bookmarkStart w:id="9" w:name="OLE_LINK7"/>
      <w:r w:rsidRPr="00D63752">
        <w:rPr>
          <w:b w:val="0"/>
          <w:bCs/>
        </w:rPr>
        <w:t xml:space="preserve"> </w:t>
      </w:r>
    </w:p>
    <w:bookmarkEnd w:id="9"/>
    <w:p w14:paraId="11D00881" w14:textId="7058C65F" w:rsidR="00C542A7" w:rsidRDefault="00C542A7" w:rsidP="00D63752">
      <w:pPr>
        <w:pStyle w:val="Paragraph0"/>
      </w:pPr>
      <w:r w:rsidRPr="00C542A7">
        <w:t>Once the answerer</w:t>
      </w:r>
      <w:r w:rsidR="00AE3BC0">
        <w:t>’</w:t>
      </w:r>
      <w:r w:rsidRPr="00C542A7">
        <w:t>s gaze moves beyond the label to the visible surface features of the AI answer, a second signal becomes available before any reading of content occurs. This signal is the physical length of the competitor</w:t>
      </w:r>
      <w:r w:rsidR="00AE3BC0">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7633ADD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 to assess dimension, the actual competitive strength of the rival</w:t>
      </w:r>
      <w:r w:rsidR="00E7239E">
        <w:rPr>
          <w:rFonts w:hint="eastAsia"/>
        </w:rPr>
        <w:t xml:space="preserve"> </w:t>
      </w:r>
      <w:r w:rsidR="00E7239E">
        <w:fldChar w:fldCharType="begin"/>
      </w:r>
      <w:r w:rsidR="00E7239E">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7239E">
        <w:rPr>
          <w:rFonts w:ascii="Apple Color Emoji" w:hAnsi="Apple Color Emoji" w:cs="Apple Color Emoji"/>
        </w:rPr>
        <w:instrText>🏷️</w:instrText>
      </w:r>
      <w:r w:rsidR="00E7239E">
        <w:instrText xml:space="preserve"> /reading","title":"Thinking, fast and slow","author":[{"family":"Kahneman","given":"Daniel"}],"issued":{"date-parts":[["2011"]]}}},{"id":181530,"uris":["http://zotero.org/users/8905122/items/NJCVAUXG"],"itemData":{"id":181530,"type":"article-journal","container-title":"Heuristics and biases: The psychology of intuitive judgment","DOI":"10.1017/CBO9780511808098.004","issue":"49-81","note":"</w:instrText>
      </w:r>
      <w:r w:rsidR="00E7239E">
        <w:rPr>
          <w:rFonts w:ascii="Apple Color Emoji" w:hAnsi="Apple Color Emoji" w:cs="Apple Color Emoji"/>
        </w:rPr>
        <w:instrText>🏷️</w:instrText>
      </w:r>
      <w:r w:rsidR="00E7239E">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on the basis of </w:t>
      </w:r>
      <w:r w:rsidR="00E77D6A">
        <w:rPr>
          <w:rFonts w:hint="eastAsia"/>
        </w:rPr>
        <w:t>AI</w:t>
      </w:r>
      <w:r>
        <w:t xml:space="preserve"> label alone.</w:t>
      </w:r>
    </w:p>
    <w:p w14:paraId="33453961" w14:textId="21DDC8F8" w:rsidR="00D63752" w:rsidRDefault="00D63752" w:rsidP="00D63752">
      <w:pPr>
        <w:pStyle w:val="Paragraph0"/>
      </w:pPr>
      <w:r>
        <w:t xml:space="preserve">This </w:t>
      </w:r>
      <w:r w:rsidR="00F93419" w:rsidRPr="00F93419">
        <w:t xml:space="preserve">new impression </w:t>
      </w:r>
      <w:r>
        <w:t xml:space="preserve">alters the cost-benefit balance of entering the competition established in H1. As the perceived competitive intensity of the incumbent rises with answer length, the perceived cost of contributing also rises, because outperforming an apparently substantial rival </w:t>
      </w:r>
      <w:r>
        <w:lastRenderedPageBreak/>
        <w:t xml:space="preserve">now requires more effort. Once this cost exceeds the perceived benefit of contributing, System 1 reverses its earlier </w:t>
      </w:r>
      <w:r w:rsidR="000206AB">
        <w:rPr>
          <w:rFonts w:hint="eastAsia"/>
        </w:rPr>
        <w:t>judgment</w:t>
      </w:r>
      <w:r>
        <w:t xml:space="preserve"> and begins to discourage entry into a competition it had previously encouraged. This reversal occurs entirely within System 1. It substitutes one fast, heuristic</w:t>
      </w:r>
      <w:r w:rsidR="000206AB">
        <w:rPr>
          <w:rFonts w:hint="eastAsia"/>
        </w:rPr>
        <w:t>-</w:t>
      </w:r>
      <w:r>
        <w:t>based signal, length, for another, the</w:t>
      </w:r>
      <w:r>
        <w:rPr>
          <w:rFonts w:hint="eastAsia"/>
        </w:rPr>
        <w:t xml:space="preserve"> AI</w:t>
      </w:r>
      <w:r>
        <w:t xml:space="preserve"> label, without invoking deliberate evaluation of content quality. We describe this as a same-system reversal. The directional change in the predicted effect reflects a shift in which surface cue dominates judgment, not a shift in the underlying cognitive route. This succession of signals, first the label and then length, produces the net </w:t>
      </w:r>
      <w:r>
        <w:rPr>
          <w:rFonts w:hint="eastAsia"/>
        </w:rPr>
        <w:t xml:space="preserve">deterrence </w:t>
      </w:r>
      <w:r>
        <w:t>effect of AI on human contribution that is central to our empirical setting.</w:t>
      </w:r>
    </w:p>
    <w:p w14:paraId="4AD9DE5C" w14:textId="570B5F80"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rival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5FF3668C" w:rsidR="00984445" w:rsidRPr="00984445" w:rsidRDefault="00C542A7" w:rsidP="00984445">
      <w:pPr>
        <w:pStyle w:val="Paragraph0"/>
      </w:pPr>
      <w:r w:rsidRPr="00C542A7">
        <w:t xml:space="preserve">The negative affect and the incapable competitor judgment formed when the answerer first encountered the AI label do not disappear once the answerer decides to contribute. </w:t>
      </w:r>
      <w:r w:rsidR="00984445" w:rsidRPr="00984445">
        <w:t xml:space="preserve">Affect generated by System 1 persists as a background mood that continues to influence cognition after the judgment that produced it has been reached (Kahneman, 2011). This persistence interacts with the law of least effort in a direct way. If the answerer continues to believe, on the basis of the earlier judgment, that the AI is an incapable competitor, then only a minimal amount of effort is required to produce an answer that surpasses it. System 1 favors the level of effort that is just </w:t>
      </w:r>
      <w:r w:rsidR="00984445" w:rsidRPr="00984445">
        <w:lastRenderedPageBreak/>
        <w:t>sufficient to meet a goal, and here the goal is set low by the belief that the competitor is weak. The answerer therefore invests less effort in composing the answer, and the resulting answer quality is lower.</w:t>
      </w:r>
    </w:p>
    <w:p w14:paraId="146A3A7F" w14:textId="7663DC6B" w:rsidR="00984445" w:rsidRDefault="00C542A7" w:rsidP="00984445">
      <w:pPr>
        <w:pStyle w:val="Paragraph0"/>
      </w:pPr>
      <w:r w:rsidRPr="00C542A7">
        <w:t xml:space="preserve">What is more, the </w:t>
      </w:r>
      <w:r w:rsidR="00F93419">
        <w:rPr>
          <w:rFonts w:hint="eastAsia"/>
        </w:rPr>
        <w:t xml:space="preserve">weak competitor </w:t>
      </w:r>
      <w:r w:rsidRPr="00C542A7">
        <w:t xml:space="preserve">judgment formed at the moment of encountering the AI label anchors the level of effort the answerer subsequently invests. Anchoring effects are notably resistant to deliberate correction. </w:t>
      </w:r>
      <w:r w:rsidR="00B3495F" w:rsidRPr="00B3495F">
        <w:t>Even when an individual is aware that an anchor is influencing judgment, adjustment away from it tends to be insufficient (Kahneman, 2011).</w:t>
      </w:r>
      <w:r w:rsidR="00B3495F">
        <w:rPr>
          <w:rFonts w:hint="eastAsia"/>
        </w:rPr>
        <w:t xml:space="preserve"> In our context, e</w:t>
      </w:r>
      <w:r w:rsidR="00984445" w:rsidRPr="00984445">
        <w:t>ven after the answerer begins to draft an answer, and even while glancing at parts of the AI</w:t>
      </w:r>
      <w:r w:rsidR="00AE3BC0">
        <w:t>’</w:t>
      </w:r>
      <w:r w:rsidR="00984445" w:rsidRPr="00984445">
        <w:t xml:space="preserve">s content in the process, anchoring prevents sufficient adjustment away from this initial reference point. The early judgment that </w:t>
      </w:r>
      <w:r w:rsidR="00F93419">
        <w:rPr>
          <w:rFonts w:hint="eastAsia"/>
        </w:rPr>
        <w:t>AI is a weak competitor</w:t>
      </w:r>
      <w:r w:rsidR="00984445" w:rsidRPr="00984445">
        <w:t xml:space="preserve"> continues to constrain the final level of effort the answerer supplies. This anchoring mechanism reinforces, rather than operates independently of, the effect described above.</w:t>
      </w:r>
    </w:p>
    <w:p w14:paraId="0D23E7D0" w14:textId="08A5A210" w:rsidR="00F93419" w:rsidRPr="00686B13" w:rsidRDefault="00F93419" w:rsidP="00984445">
      <w:pPr>
        <w:pStyle w:val="Paragraph0"/>
        <w:rPr>
          <w:rFonts w:hint="eastAsia"/>
          <w:b/>
          <w:bCs/>
        </w:rPr>
      </w:pPr>
      <w:r w:rsidRPr="00F93419">
        <w:t>Competition dynamics theory adds a complementary consideration, and the relevant point is that the intensity of a competitive response depends on the rival</w:t>
      </w:r>
      <w:r w:rsidR="00AE3BC0">
        <w:t>’</w:t>
      </w:r>
      <w:r w:rsidRPr="00F93419">
        <w:t>s investment. Research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AE3BC0">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20BE343F" w:rsidR="00DA0B60" w:rsidRPr="00686B13" w:rsidRDefault="00984445" w:rsidP="00984445">
      <w:pPr>
        <w:pStyle w:val="Paragraph0"/>
        <w:rPr>
          <w:b/>
          <w:bCs/>
          <w:i/>
          <w:iCs/>
        </w:rPr>
      </w:pPr>
      <w:r w:rsidRPr="00686B13">
        <w:rPr>
          <w:b/>
          <w:bCs/>
          <w:i/>
          <w:iCs/>
        </w:rPr>
        <w:t xml:space="preserve">H3: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at a glance. It is disclosed only through deliberate, effortful </w:t>
      </w:r>
      <w:r>
        <w:lastRenderedPageBreak/>
        <w:t xml:space="preserve">reading and evaluation of content. This is a genuinely slow signal that requires System 2 engagement. </w:t>
      </w:r>
    </w:p>
    <w:p w14:paraId="33BE6396" w14:textId="3A86E119" w:rsidR="00F93419" w:rsidRDefault="00C20EE8" w:rsidP="00C20EE8">
      <w:pPr>
        <w:pStyle w:val="Paragraph0"/>
        <w:rPr>
          <w:rFonts w:hint="eastAsia"/>
        </w:rPr>
      </w:pPr>
      <w:r>
        <w:t>Deliberate inspection may reveal that the AI competitor</w:t>
      </w:r>
      <w:r w:rsidR="00AE3BC0">
        <w:t>’</w:t>
      </w:r>
      <w:r>
        <w:t xml:space="preserve">s answer is in fact of high quality. This discovery violates the expectation of an incapable rival that was established earlier through the availability heuristic based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(Kahneman, 2011). The force of this override grows when the competitive stakes touch on the answerer</w:t>
      </w:r>
      <w:r w:rsidR="00AE3BC0">
        <w:t>’</w:t>
      </w:r>
      <w:r>
        <w:t>s professional identity and standing within the community, rather than on reputational trivia alone. Identity</w:t>
      </w:r>
      <w:r w:rsidR="008B64ED">
        <w:rPr>
          <w:rFonts w:hint="eastAsia"/>
        </w:rPr>
        <w:t>-</w:t>
      </w:r>
      <w:r>
        <w:t xml:space="preserve">relevant threats of this kind are </w:t>
      </w:r>
      <w:r w:rsidR="00467FEB">
        <w:t>“</w:t>
      </w:r>
      <w:r>
        <w:t>sufficiently important</w:t>
      </w:r>
      <w:r w:rsidR="00467FEB">
        <w:t>”</w:t>
      </w:r>
      <w:r>
        <w:t xml:space="preserve"> to justify the full deployment of deliberate processing that the law of least effort would otherwise prevent.</w:t>
      </w:r>
      <w:r w:rsidR="00F93419">
        <w:rPr>
          <w:rFonts w:hint="eastAsia"/>
        </w:rPr>
        <w:t xml:space="preserve"> </w:t>
      </w:r>
    </w:p>
    <w:p w14:paraId="4FE47192" w14:textId="67877EA0" w:rsidR="00F93419" w:rsidRDefault="00F93419" w:rsidP="00256364">
      <w:pPr>
        <w:pStyle w:val="Paragraph0"/>
        <w:rPr>
          <w:rFonts w:hint="eastAsia"/>
        </w:rPr>
      </w:pPr>
      <w:r w:rsidRPr="00F93419">
        <w:t>At this stage the logic of competition dynamics becomes central rather than complementary. When the answerer reads the AI answer carefully and finds it of high quality, the answerer perceives that the rival has already made a high level of investment. A high-quality answer signals a strong competitor and a high-stakes contest. In competitive interactions, the effort a rival invests is a reference point for the effort an actor is willing to invest in return, and strong rival investment justifies the escalation of one</w:t>
      </w:r>
      <w:r w:rsidR="00AE3BC0">
        <w:t>’</w:t>
      </w:r>
      <w:r w:rsidRPr="00F93419">
        <w:t xml:space="preserve">s own commitment </w:t>
      </w:r>
      <w:r>
        <w:rPr>
          <w:szCs w:val="24"/>
        </w:rPr>
        <w:fldChar w:fldCharType="begin"/>
      </w:r>
      <w:r>
        <w:rPr>
          <w:szCs w:val="24"/>
        </w:rPr>
        <w:instrText xml:space="preserve"> ADDIN ZOTERO_ITEM CSL_CITATION {"citationID":"hkepch13","properties":{"unsorted":false,"formattedCitation":"(Hsieh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Raising the strength of one competitor also raises the level of performance the other must reach to remain valuable to the audience (Chen, 1996). A high-quality AI answer therefore resets the standard the answerer must meet to still be recognized as a worthwhile contributor. If the answerer intends to compete for the position of best solution, the answerer must match or exceed the rival</w:t>
      </w:r>
      <w:r w:rsidR="00AE3BC0">
        <w:t>’</w:t>
      </w:r>
      <w:r w:rsidRPr="00F93419">
        <w:t xml:space="preserve">s investment. Under the stimulus of a strong rival, the motivation to compete rises </w:t>
      </w:r>
      <w:r w:rsidRPr="00F93419">
        <w:lastRenderedPageBreak/>
        <w:t>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4"/>
    <w:bookmarkEnd w:id="5"/>
    <w:bookmarkEnd w:id="7"/>
    <w:p w14:paraId="7604CED5" w14:textId="4D45E0C0" w:rsidR="00D66C4E" w:rsidRDefault="00D66C4E">
      <w:pPr>
        <w:spacing w:after="120"/>
        <w:jc w:val="both"/>
        <w:rPr>
          <w:rFonts w:eastAsiaTheme="minorEastAsia"/>
          <w:szCs w:val="22"/>
        </w:rPr>
      </w:pPr>
      <w:r>
        <w:br w:type="page"/>
      </w:r>
    </w:p>
    <w:p w14:paraId="4BFFE7C8" w14:textId="77777777" w:rsidR="0014752F" w:rsidRPr="00261E78" w:rsidRDefault="0014752F" w:rsidP="0014752F">
      <w:pPr>
        <w:pStyle w:val="Heading1"/>
      </w:pPr>
      <w:r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3"/>
      </w:r>
      <w:r w:rsidRPr="00261E78">
        <w:t xml:space="preserve"> It constitutes an essential resource for Chinese developers, programmers, and IT engineers who seek knowledge, solutions, and collaboration opportunities.</w:t>
      </w:r>
    </w:p>
    <w:p w14:paraId="426E28DF" w14:textId="4787EE23" w:rsidR="0014752F" w:rsidRPr="00261E78" w:rsidRDefault="0014752F" w:rsidP="0014752F">
      <w:pPr>
        <w:pStyle w:val="Paragraph0"/>
      </w:pPr>
      <w:r w:rsidRPr="00261E78">
        <w:t>SegmentFault</w:t>
      </w:r>
      <w:r w:rsidR="00AE3BC0">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4"/>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5"/>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6"/>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77777777" w:rsidR="0014752F" w:rsidRPr="00261E78" w:rsidRDefault="0014752F" w:rsidP="0014752F">
      <w:pPr>
        <w:pStyle w:val="TableFiguretitle"/>
      </w:pPr>
      <w:bookmarkStart w:id="10" w:name="_Ref177392623"/>
      <w:r w:rsidRPr="00261E78">
        <w:t xml:space="preserve">Figure </w:t>
      </w:r>
      <w:r>
        <w:fldChar w:fldCharType="begin"/>
      </w:r>
      <w:r>
        <w:instrText xml:space="preserve"> SEQ Figure \* ARABIC </w:instrText>
      </w:r>
      <w:r>
        <w:fldChar w:fldCharType="separate"/>
      </w:r>
      <w:r w:rsidRPr="00261E78">
        <w:t>2</w:t>
      </w:r>
      <w:r>
        <w:fldChar w:fldCharType="end"/>
      </w:r>
      <w:bookmarkEnd w:id="10"/>
      <w:r w:rsidRPr="00261E78">
        <w:t>. Illustration of treatment and control questions</w:t>
      </w:r>
    </w:p>
    <w:p w14:paraId="3B0C3EE6" w14:textId="77777777" w:rsidR="0014752F" w:rsidRPr="00261E78" w:rsidRDefault="0014752F" w:rsidP="0014752F">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6301007E" w14:textId="77777777" w:rsidR="0014752F" w:rsidRPr="00261E78" w:rsidRDefault="0014752F" w:rsidP="0014752F">
      <w:pPr>
        <w:pStyle w:val="Heading2"/>
      </w:pPr>
      <w:r w:rsidRPr="00261E78">
        <w:rPr>
          <w:lang w:eastAsia="zh-CN"/>
        </w:rPr>
        <w:t>Summary Statistics</w:t>
      </w:r>
      <w:r w:rsidRPr="00261E78">
        <w:fldChar w:fldCharType="begin"/>
      </w:r>
      <w:r w:rsidRPr="00261E78">
        <w:instrText xml:space="preserve"> REF _Ref177391744 \h </w:instrText>
      </w:r>
      <w:r w:rsidRPr="00261E78">
        <w:fldChar w:fldCharType="separate"/>
      </w:r>
    </w:p>
    <w:p w14:paraId="387CC641" w14:textId="77777777" w:rsidR="0014752F" w:rsidRPr="00261E78" w:rsidRDefault="0014752F" w:rsidP="0014752F">
      <w:pPr>
        <w:pStyle w:val="Paragraph0"/>
      </w:pPr>
      <w:r w:rsidRPr="00261E78">
        <w:t>Table 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7"/>
      </w:r>
      <w:r w:rsidRPr="00261E78">
        <w:t xml:space="preserve"> This average roughly corresponds to 10 questions, each receiving about 2 upvotes.</w:t>
      </w:r>
    </w:p>
    <w:p w14:paraId="35EB0A76" w14:textId="77777777" w:rsidR="0014752F" w:rsidRPr="00261E78" w:rsidRDefault="0014752F" w:rsidP="0014752F">
      <w:pPr>
        <w:pStyle w:val="TableFiguretitle"/>
      </w:pPr>
      <w:bookmarkStart w:id="11" w:name="_Ref177391744"/>
      <w:r w:rsidRPr="00261E78">
        <w:t xml:space="preserve">Table </w:t>
      </w:r>
      <w:r>
        <w:fldChar w:fldCharType="begin"/>
      </w:r>
      <w:r>
        <w:instrText xml:space="preserve"> SEQ Table \* ARABIC </w:instrText>
      </w:r>
      <w:r>
        <w:fldChar w:fldCharType="separate"/>
      </w:r>
      <w:r w:rsidRPr="00261E78">
        <w:t>2</w:t>
      </w:r>
      <w:r>
        <w:fldChar w:fldCharType="end"/>
      </w:r>
      <w:bookmarkEnd w:id="1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77777777"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Pr="00261E78">
        <w:instrText xml:space="preserve"> ADDIN ZOTERO_ITEM CSL_CITATION {"citationID":"yhiAlR2h","properties":{"formattedCitation":"(Austin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261E78">
        <w:rPr>
          <w:rFonts w:ascii="Apple Color Emoji" w:hAnsi="Apple Color Emoji" w:cs="Apple Color Emoji"/>
        </w:rPr>
        <w:instrText>📊</w:instrText>
      </w:r>
      <w:r w:rsidRPr="00261E78">
        <w:instrText>","call-number":"3","container-title":"Statistics in Medicine","DOI":"10.1002/sim.3697","ISSN":"0277-6715","issue":"25","journalAbbreviation":"Statistics in Medicine","language":"en","note":"</w:instrText>
      </w:r>
      <w:r w:rsidRPr="00261E78">
        <w:rPr>
          <w:rFonts w:ascii="Apple Color Emoji" w:hAnsi="Apple Color Emoji" w:cs="Apple Color Emoji"/>
        </w:rPr>
        <w:instrText>🏷️</w:instrText>
      </w:r>
      <w:r w:rsidRPr="00261E78">
        <w:instrText xml:space="preserve"> /reading</w:instrText>
      </w:r>
      <w:r w:rsidRPr="00261E78">
        <w:instrText>、</w:instrText>
      </w:r>
      <w:r w:rsidRPr="00261E78">
        <w:instrText>Female</w:instrText>
      </w:r>
      <w:r w:rsidRPr="00261E78">
        <w:instrText>、</w:instrText>
      </w:r>
      <w:r w:rsidRPr="00261E78">
        <w:instrText>Humans</w:instrText>
      </w:r>
      <w:r w:rsidRPr="00261E78">
        <w:instrText>、</w:instrText>
      </w:r>
      <w:r w:rsidRPr="00261E78">
        <w:instrText>Male</w:instrText>
      </w:r>
      <w:r w:rsidRPr="00261E78">
        <w:instrText>、</w:instrText>
      </w:r>
      <w:r w:rsidRPr="00261E78">
        <w:instrText>Middle Aged</w:instrText>
      </w:r>
      <w:r w:rsidRPr="00261E78">
        <w:instrText>、</w:instrText>
      </w:r>
      <w:r w:rsidRPr="00261E78">
        <w:instrText>Aged</w:instrText>
      </w:r>
      <w:r w:rsidRPr="00261E78">
        <w:instrText>、</w:instrText>
      </w:r>
      <w:r w:rsidRPr="00261E78">
        <w:instrText>Biometry</w:instrText>
      </w:r>
      <w:r w:rsidRPr="00261E78">
        <w:instrText>、</w:instrText>
      </w:r>
      <w:r w:rsidRPr="00261E78">
        <w:instrText>Computer Simulation</w:instrText>
      </w:r>
      <w:r w:rsidRPr="00261E78">
        <w:instrText>、</w:instrText>
      </w:r>
      <w:r w:rsidRPr="00261E78">
        <w:instrText>Hydroxymethylglutaryl-CoA Reductase Inhibitors</w:instrText>
      </w:r>
      <w:r w:rsidRPr="00261E78">
        <w:instrText>、</w:instrText>
      </w:r>
      <w:r w:rsidRPr="00261E78">
        <w:instrText>Models, Statistical</w:instrText>
      </w:r>
      <w:r w:rsidRPr="00261E78">
        <w:instrText>、</w:instrText>
      </w:r>
      <w:r w:rsidRPr="00261E78">
        <w:instrText>Myocardial Infarction</w:instrText>
      </w:r>
      <w:r w:rsidRPr="00261E78">
        <w:instrText>、</w:instrText>
      </w:r>
      <w:r w:rsidRPr="00261E78">
        <w:instrText xml:space="preserve">Propensity Score","page":"3083-3107","source":"1.8 (Q1)","title":"Balance diagnostics for comparing the distribution of baseline covariates between treatment groups in propensity‐score matched samples","volume":"28","author":[{"family":"Austin","given":"Peter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Pr="00261E78">
        <w:instrText xml:space="preserve"> ADDIN ZOTERO_ITEM CSL_CITATION {"citationID":"9eYFuWIu","properties":{"formattedCitation":"(Li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Pr="00261E78">
        <w:instrText>【摘要翻译】本文探讨了大型语言模型（</w:instrText>
      </w:r>
      <w:r w:rsidRPr="00261E78">
        <w:instrText>LLMs</w:instrText>
      </w:r>
      <w:r w:rsidRPr="00261E78">
        <w:instrText>）在市场研究中替代人类参与者的潜力。这种</w:instrText>
      </w:r>
      <w:r w:rsidRPr="00261E78">
        <w:instrText>LLM</w:instrText>
      </w:r>
      <w:r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Pr="00261E78">
        <w:instrText>LLM</w:instrText>
      </w:r>
      <w:r w:rsidRPr="00261E78">
        <w:instrText>生成的数据集之间的一致率达到</w:instrText>
      </w:r>
      <w:r w:rsidRPr="00261E78">
        <w:instrText>75%</w:instrText>
      </w:r>
      <w:r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Pr="00261E78">
        <w:instrText>LLM</w:instrText>
      </w:r>
      <w:r w:rsidRPr="00261E78">
        <w:instrText>的市场研究将适用于回答基于人口统计变量或上下文变化的更微妙的问题，这些问题对于人类受访者来说将是极其昂贵或不可行的。</w:instrText>
      </w:r>
      <w:r w:rsidRPr="00261E78">
        <w:instrText xml:space="preserve">","archive_location":"5 </w:instrText>
      </w:r>
      <w:r w:rsidRPr="00261E78">
        <w:rPr>
          <w:rFonts w:ascii="Apple Color Emoji" w:hAnsi="Apple Color Emoji" w:cs="Apple Color Emoji"/>
        </w:rPr>
        <w:instrText>📊</w:instrText>
      </w:r>
      <w:r w:rsidRPr="00261E78">
        <w:instrText>","call-number":"2","container-title":"Marketing Science","DOI":"10.1287/mksc.2023.0454","ISSN":"0732-2399","issue":"2","journalAbbreviation":"Market. Sci.","language":"en","note":"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natural language processing</w:instrText>
      </w:r>
      <w:r w:rsidRPr="00261E78">
        <w:instrText>、</w:instrText>
      </w:r>
      <w:r w:rsidRPr="00261E78">
        <w:instrText>artificial Intelligence</w:instrText>
      </w:r>
      <w:r w:rsidRPr="00261E78">
        <w:instrText>、</w:instrText>
      </w:r>
      <w:r w:rsidRPr="00261E78">
        <w:instrText>language model</w:instrText>
      </w:r>
      <w:r w:rsidRPr="00261E78">
        <w:instrText>、</w:instrText>
      </w:r>
      <w:r w:rsidRPr="00261E78">
        <w:instrText>market research</w:instrText>
      </w:r>
      <w:r w:rsidRPr="00261E78">
        <w:instrText>、</w:instrText>
      </w:r>
      <w:r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rPr>
          <w:rFonts w:hint="eastAsia"/>
        </w:rPr>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rFonts w:hint="eastAsia"/>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Pr>
        <w:rPr>
          <w:rFonts w:hint="eastAsia"/>
        </w:rPr>
      </w:pPr>
    </w:p>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14752F"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1D627B08" w:rsidR="0083015A" w:rsidRPr="0083015A" w:rsidRDefault="0014752F" w:rsidP="0014752F">
      <w:pPr>
        <w:pStyle w:val="Paragraph0"/>
        <w:ind w:firstLine="0"/>
        <w:rPr>
          <w:rFonts w:hint="eastAsia"/>
        </w:rPr>
      </w:pPr>
      <w:r w:rsidRPr="0014752F">
        <w:t xml:space="preserve">where </w:t>
      </w:r>
      <w:r w:rsidRPr="0014752F">
        <w:rPr>
          <w:i/>
          <w:iCs/>
        </w:rPr>
        <w:t>i</w:t>
      </w:r>
      <w:r w:rsidRPr="0014752F">
        <w:t xml:space="preserve"> indexes questions, </w:t>
      </w:r>
      <w:r>
        <w:rPr>
          <w:rFonts w:hint="eastAsia"/>
        </w:rPr>
        <w:t>【</w:t>
      </w:r>
      <w:r>
        <w:rPr>
          <w:rFonts w:hint="eastAsia"/>
        </w:rPr>
        <w:t>Y</w:t>
      </w:r>
      <w:r>
        <w:rPr>
          <w:rFonts w:hint="eastAsia"/>
        </w:rPr>
        <w:t>是两个要说清楚】</w:t>
      </w:r>
      <w:r w:rsidRPr="0014752F">
        <w:rPr>
          <w:rFonts w:hint="eastAsia"/>
        </w:rPr>
        <w:t>a</w:t>
      </w:r>
      <w:r w:rsidRPr="0014752F">
        <w:t xml:space="preserve">nswerNumi is the logarithm of human answers received by question i,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6F74FD63" w14:textId="37BDB6E3" w:rsidR="0083015A" w:rsidRDefault="0014752F" w:rsidP="00D66C4E">
      <w:pPr>
        <w:pStyle w:val="Heading1"/>
      </w:pPr>
      <w:r>
        <w:rPr>
          <w:rFonts w:hint="eastAsia"/>
        </w:rPr>
        <w:t>Results</w:t>
      </w:r>
    </w:p>
    <w:p w14:paraId="0C875BF5" w14:textId="699A6D70" w:rsidR="0014752F" w:rsidRDefault="0014752F" w:rsidP="0014752F">
      <w:pPr>
        <w:pStyle w:val="Heading2"/>
        <w:rPr>
          <w:lang w:eastAsia="zh-CN"/>
        </w:rPr>
      </w:pPr>
      <w:r>
        <w:rPr>
          <w:rFonts w:hint="eastAsia"/>
          <w:lang w:eastAsia="zh-CN"/>
        </w:rPr>
        <w:t>Main Results</w:t>
      </w:r>
    </w:p>
    <w:p w14:paraId="3927747E" w14:textId="364D33EA" w:rsidR="0014752F" w:rsidRDefault="00A20131" w:rsidP="00A20131">
      <w:pPr>
        <w:pStyle w:val="Paragraph0"/>
      </w:pPr>
      <w:r w:rsidRPr="00A20131">
        <w:t>Table 3 presents our main findings on AI-generated answers</w:t>
      </w:r>
      <w:r w:rsidR="00AE3BC0">
        <w:t>’</w:t>
      </w:r>
      <w:r w:rsidRPr="00A20131">
        <w:t xml:space="preserve"> impact on participation.</w:t>
      </w:r>
    </w:p>
    <w:p w14:paraId="432E2949" w14:textId="72186504"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sidRPr="00A20131">
        <w:rPr>
          <w:color w:val="000000"/>
        </w:rPr>
        <w:t xml:space="preserve">Table 1 reports the main results. Column 1 shows that, without separating the label from the content of the AI answer, the pooled effect of AI on answer supply is negative and significant (-0.046, p&lt;0.01). This pooled estimate combines two forces that work in opposite directions. Column 2 separates them by adding the interaction terms. The standalone effect of </w:t>
      </w:r>
      <m:oMath>
        <m:r>
          <w:rPr>
            <w:rFonts w:ascii="Cambria Math" w:hAnsi="Cambria Math"/>
          </w:rPr>
          <w:lastRenderedPageBreak/>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A20131">
        <w:rPr>
          <w:color w:val="000000"/>
        </w:rPr>
        <w:t>becomes positive and significant (0.226, p&lt;0.05), while the interaction with answer length is negative and significant (-0.045, p&lt;0.05). The interaction with answer quality is small and not significant (-0.038).</w:t>
      </w:r>
    </w:p>
    <w:p w14:paraId="5CF2AF22" w14:textId="636B8478" w:rsidR="00A20131" w:rsidRDefault="00A20131" w:rsidP="00A20131">
      <w:pPr>
        <w:pStyle w:val="Paragraph0"/>
        <w:rPr>
          <w:color w:val="000000"/>
        </w:rPr>
      </w:pPr>
      <w:r w:rsidRPr="00A20131">
        <w:rPr>
          <w:color w:val="000000"/>
        </w:rPr>
        <w:t>The pattern is consistent with our framework. Holding the properties of the first answer at their baseline, the presence of an AI label increases the number of answers a question attracts. This is the direct implication of users treating AI as a weak competitor, as defined in Section 3.1. The label invites human contribution rather than deterring it. The negative interaction with length indicates that longer AI answers erode this positive effect, so that the pooled coefficient in Column 1 turns negative once the two forces are combined.</w:t>
      </w:r>
    </w:p>
    <w:p w14:paraId="49347FFC" w14:textId="39390BA4" w:rsidR="00797DC6" w:rsidRDefault="00797DC6" w:rsidP="00797DC6">
      <w:pPr>
        <w:pStyle w:val="TableFiguretitle"/>
        <w:rPr>
          <w:rFonts w:hint="eastAsia"/>
        </w:rPr>
      </w:pPr>
      <w:r w:rsidRPr="00797DC6">
        <w:t>Table 1.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7777777" w:rsidR="00797DC6" w:rsidRDefault="00797DC6">
            <w:pPr>
              <w:jc w:val="center"/>
              <w:rPr>
                <w:color w:val="000000"/>
                <w:sz w:val="20"/>
                <w:szCs w:val="20"/>
              </w:rPr>
            </w:pPr>
            <w:r>
              <w:rPr>
                <w:color w:val="000000"/>
                <w:sz w:val="20"/>
                <w:szCs w:val="20"/>
              </w:rPr>
              <w:t>First 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Default="00797DC6">
            <w:pPr>
              <w:jc w:val="center"/>
              <w:rPr>
                <w:color w:val="000000"/>
                <w:sz w:val="20"/>
                <w:szCs w:val="20"/>
              </w:rPr>
            </w:pPr>
            <w:r>
              <w:rPr>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Default="00797DC6">
            <w:pPr>
              <w:jc w:val="center"/>
              <w:rPr>
                <w:color w:val="000000"/>
                <w:sz w:val="20"/>
                <w:szCs w:val="20"/>
              </w:rPr>
            </w:pPr>
            <w:r>
              <w:rPr>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Default="00797DC6">
            <w:pPr>
              <w:jc w:val="center"/>
              <w:rPr>
                <w:color w:val="000000"/>
                <w:sz w:val="20"/>
                <w:szCs w:val="20"/>
              </w:rPr>
            </w:pPr>
            <w:r>
              <w:rPr>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Default="00797DC6">
            <w:pPr>
              <w:jc w:val="center"/>
              <w:rPr>
                <w:color w:val="000000"/>
                <w:sz w:val="20"/>
                <w:szCs w:val="20"/>
              </w:rPr>
            </w:pPr>
            <w:r>
              <w:rPr>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Default="00797DC6">
            <w:pPr>
              <w:jc w:val="center"/>
              <w:rPr>
                <w:color w:val="000000"/>
                <w:sz w:val="20"/>
                <w:szCs w:val="20"/>
              </w:rPr>
            </w:pPr>
            <w:r>
              <w:rPr>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Default="00797DC6">
            <w:pPr>
              <w:jc w:val="center"/>
              <w:rPr>
                <w:color w:val="000000"/>
                <w:sz w:val="20"/>
                <w:szCs w:val="20"/>
              </w:rPr>
            </w:pPr>
            <w:r>
              <w:rPr>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0ECCC9B1" w14:textId="105E7433" w:rsidR="00797DC6" w:rsidRPr="0014752F" w:rsidRDefault="00797DC6" w:rsidP="002B076A">
      <w:pPr>
        <w:pStyle w:val="Paragraph0"/>
        <w:rPr>
          <w:rFonts w:hint="eastAsia"/>
        </w:rPr>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Column 4 adds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is negative and marginally sized but not significant at conventional levels (-0.120, p&lt;0.1), which is directionally consistent with a small quality-reducing effect of the label itself. The interaction with answer quality is positive and </w:t>
      </w:r>
      <w:r>
        <w:lastRenderedPageBreak/>
        <w:t>highly significant (0.350, p&lt;0.01). Human contribution quality rises with the quality of the AI answer. When AI sets a higher benchmark in the competition, human contributors respond with higher quality answers.</w:t>
      </w:r>
    </w:p>
    <w:p w14:paraId="53CBCA04" w14:textId="77777777" w:rsidR="00C816AB" w:rsidRPr="00261E78" w:rsidRDefault="00C816AB" w:rsidP="00C816AB">
      <w:pPr>
        <w:pStyle w:val="Heading2"/>
        <w:rPr>
          <w:rFonts w:eastAsiaTheme="minorEastAsia"/>
          <w:lang w:eastAsia="zh-CN"/>
        </w:rPr>
      </w:pPr>
      <w:bookmarkStart w:id="12" w:name="_Hlk176369668"/>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77777777"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Pr="00261E78">
        <w:instrText xml:space="preserve"> ADDIN ZOTERO_ITEM CSL_CITATION {"citationID":"d8BXs4h7","properties":{"formattedCitation":"(Chen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Pr="00261E78">
        <w:rPr>
          <w:rFonts w:ascii="Apple Color Emoji" w:hAnsi="Apple Color Emoji" w:cs="Apple Color Emoji"/>
        </w:rPr>
        <w:instrText>📊</w:instrText>
      </w:r>
      <w:r w:rsidRPr="00261E78">
        <w:instrText>","call-number":"1","container-title":"The Quarterly Journal of Economics","DOI":"10.1093/qje/qjad054","ISSN":"0033-5533","issue":"2","journalAbbreviation":"Q J Econ","language":"en","note":"</w:instrText>
      </w:r>
      <w:r w:rsidRPr="00261E78">
        <w:rPr>
          <w:rFonts w:ascii="Apple Color Emoji" w:hAnsi="Apple Color Emoji" w:cs="Apple Color Emoji"/>
        </w:rPr>
        <w:instrText>🏷️</w:instrText>
      </w:r>
      <w:r w:rsidRPr="00261E78">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rsidRPr="00261E78">
        <w:t>. We verify robustness using alternative specifications in Tables 4 and 5.</w:t>
      </w:r>
    </w:p>
    <w:p w14:paraId="0A6AF3A3" w14:textId="77777777" w:rsidR="00C816AB" w:rsidRDefault="00C816AB" w:rsidP="00C816AB">
      <w:pPr>
        <w:pStyle w:val="Paragraph0"/>
      </w:pPr>
      <w:r w:rsidRPr="00261E78">
        <w:rPr>
          <w:b/>
          <w:bCs/>
        </w:rPr>
        <w:t>Answer Supply</w:t>
      </w:r>
      <w:r w:rsidRPr="00261E78">
        <w:t xml:space="preserve">. Table 4 examines </w:t>
      </w:r>
      <w:r>
        <w:t xml:space="preserve">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50DB061" w:rsidR="00C816AB" w:rsidRPr="00C816AB" w:rsidRDefault="00C816AB" w:rsidP="00C816AB">
      <w:pPr>
        <w:pStyle w:val="Paragraph0"/>
        <w:rPr>
          <w:rFonts w:hint="eastAsia"/>
          <w:color w:val="000000"/>
          <w:szCs w:val="24"/>
        </w:rPr>
      </w:pPr>
      <w:r>
        <w:rPr>
          <w:color w:val="000000"/>
        </w:rPr>
        <w:t xml:space="preserve">The results are stable across all specifications.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Pr>
          <w:color w:val="000000"/>
        </w:rPr>
        <w:t>is positive and significant throughout, ranging from 0.206 (p&lt;0.05) in the OLS models to 0.579 (p&lt;0.05 or better) in the count models. The interaction with answer length is negative and significant in every column. The interaction with answer quality is not significant in any specification, consistent with the main results. Adding the questioner random effect in Column 2 leaves the estimates essentially unchanged.</w:t>
      </w:r>
    </w:p>
    <w:p w14:paraId="2EDD5F52" w14:textId="77777777" w:rsidR="00C816AB" w:rsidRPr="00261E78" w:rsidRDefault="00C816AB" w:rsidP="00C816AB">
      <w:pPr>
        <w:pStyle w:val="TableFiguretitle"/>
      </w:pPr>
      <w:bookmarkStart w:id="13" w:name="_Ref210225085"/>
      <w:r w:rsidRPr="00261E78">
        <w:t xml:space="preserve">Table </w:t>
      </w:r>
      <w:r>
        <w:fldChar w:fldCharType="begin"/>
      </w:r>
      <w:r>
        <w:instrText xml:space="preserve"> SEQ Table \* ARABIC </w:instrText>
      </w:r>
      <w:r>
        <w:fldChar w:fldCharType="separate"/>
      </w:r>
      <w:r w:rsidRPr="00261E78">
        <w:t>4</w:t>
      </w:r>
      <w:r>
        <w:fldChar w:fldCharType="end"/>
      </w:r>
      <w:bookmarkEnd w:id="13"/>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lastRenderedPageBreak/>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428B5DD8" w:rsidR="00C816AB" w:rsidRPr="0049432D" w:rsidRDefault="0049432D" w:rsidP="0049432D">
      <w:pPr>
        <w:pStyle w:val="Paragraph0"/>
      </w:pPr>
      <w:r>
        <w:rPr>
          <w:rFonts w:hint="eastAsia"/>
          <w:b/>
          <w:bCs/>
        </w:rPr>
        <w:t>Human Answer Quality</w:t>
      </w:r>
      <w:r w:rsidR="00C816AB" w:rsidRPr="00261E78">
        <w:t xml:space="preserve">. </w:t>
      </w:r>
      <w:r>
        <w:t xml:space="preserve">Table 8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remains</w:t>
      </w:r>
      <w:r>
        <w:rPr>
          <w:rFonts w:hint="eastAsia"/>
        </w:rPr>
        <w:t xml:space="preserve"> </w:t>
      </w:r>
      <w:r>
        <w:t xml:space="preserve">negative and significant. </w:t>
      </w:r>
      <w:r>
        <w:rPr>
          <w:rFonts w:hint="eastAsia"/>
        </w:rPr>
        <w:t>【这里应该是</w:t>
      </w:r>
      <w:r>
        <w:rPr>
          <w:rFonts w:hint="eastAsia"/>
        </w:rPr>
        <w:t>Column2</w:t>
      </w:r>
      <w:r>
        <w:rPr>
          <w:rFonts w:hint="eastAsia"/>
        </w:rPr>
        <w:t>变得更加显著了一点，但是我们还是保守地按照不显著来汇报。】</w:t>
      </w:r>
      <w:r>
        <w:t>The random effect does not alter the conclusion.</w:t>
      </w:r>
      <w:r w:rsidR="00C816AB" w:rsidRPr="00865650">
        <w:t xml:space="preserve"> </w:t>
      </w:r>
    </w:p>
    <w:p w14:paraId="68E7FBF4" w14:textId="219F1134" w:rsidR="00C816AB" w:rsidRPr="00261E78" w:rsidRDefault="00C816AB" w:rsidP="00C816AB">
      <w:pPr>
        <w:pStyle w:val="TableFiguretitle"/>
      </w:pPr>
      <w:bookmarkStart w:id="14" w:name="_Ref210225098"/>
      <w:r w:rsidRPr="00261E78">
        <w:t xml:space="preserve">Table </w:t>
      </w:r>
      <w:r>
        <w:fldChar w:fldCharType="begin"/>
      </w:r>
      <w:r>
        <w:instrText xml:space="preserve"> SEQ Table \* ARABIC </w:instrText>
      </w:r>
      <w:r>
        <w:fldChar w:fldCharType="separate"/>
      </w:r>
      <w:r w:rsidRPr="00261E78">
        <w:t>5</w:t>
      </w:r>
      <w:r>
        <w:fldChar w:fldCharType="end"/>
      </w:r>
      <w:bookmarkEnd w:id="14"/>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lastRenderedPageBreak/>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rPr>
          <w:rFonts w:hint="eastAsia"/>
        </w:rPr>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18E38F0A" w:rsidR="00374352" w:rsidRPr="00374352" w:rsidRDefault="00C816AB" w:rsidP="00374352">
      <w:pPr>
        <w:pStyle w:val="Paragraph0"/>
        <w:rPr>
          <w:rFonts w:hint="eastAsia"/>
          <w:color w:val="000000"/>
        </w:rPr>
      </w:pPr>
      <w:r w:rsidRPr="00261E78">
        <w:t xml:space="preserve">Table 6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74352">
        <w:rPr>
          <w:color w:val="000000"/>
        </w:rPr>
        <w:t xml:space="preserve">is positive and significant in every column, and the interaction with answer length is negative and significant in the main windows. The interaction with answer quality is not significant throughout. </w:t>
      </w:r>
    </w:p>
    <w:p w14:paraId="4A052D97" w14:textId="1D2E09A6"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w:t>
      </w:r>
      <w:r w:rsidR="00374352">
        <w:rPr>
          <w:rFonts w:hint="eastAsia"/>
        </w:rPr>
        <w:t>40</w:t>
      </w:r>
      <w:r w:rsidRPr="00261E78">
        <w:t>, p &gt; 0.10), which is likely due to insufficient statistical power. The 60-day and 90-day windows (Columns 6-7, N=1,607 and 2,413) provide adequate samples and reveal significant negative effects (β = -0.0</w:t>
      </w:r>
      <w:r w:rsidR="00374352">
        <w:rPr>
          <w:rFonts w:hint="eastAsia"/>
        </w:rPr>
        <w:t>50 and -0.045,</w:t>
      </w:r>
      <w:r w:rsidRPr="00261E78">
        <w:t xml:space="preserve"> p &lt; 0.01).</w:t>
      </w:r>
    </w:p>
    <w:p w14:paraId="43B2CC94" w14:textId="77777777" w:rsidR="00C816AB" w:rsidRPr="00261E78" w:rsidRDefault="00C816AB" w:rsidP="00C816AB">
      <w:pPr>
        <w:pStyle w:val="TableFiguretitle"/>
      </w:pPr>
      <w:bookmarkStart w:id="15" w:name="_Ref210248973"/>
      <w:r w:rsidRPr="00261E78">
        <w:t xml:space="preserve">Table </w:t>
      </w:r>
      <w:r>
        <w:fldChar w:fldCharType="begin"/>
      </w:r>
      <w:r>
        <w:instrText xml:space="preserve"> SEQ Table \* ARABIC </w:instrText>
      </w:r>
      <w:r>
        <w:fldChar w:fldCharType="separate"/>
      </w:r>
      <w:r w:rsidRPr="00261E78">
        <w:t>6</w:t>
      </w:r>
      <w:r>
        <w:fldChar w:fldCharType="end"/>
      </w:r>
      <w:bookmarkEnd w:id="15"/>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F7D6B4D" w:rsidR="00374352" w:rsidRDefault="00374352" w:rsidP="00374352">
      <w:pPr>
        <w:pStyle w:val="Paragraph0"/>
        <w:rPr>
          <w:szCs w:val="24"/>
        </w:rPr>
      </w:pPr>
      <w:r>
        <w:t xml:space="preserve">We apply the same check to the quality outcome. Table 10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and answer quality remains positive and highly significant across all three subsamples (0.368, 0.406, and 0.364, p&lt;0.001). The conclusion for human answer quality does not depend on the length of the observation window.</w:t>
      </w:r>
    </w:p>
    <w:p w14:paraId="4E5407A4" w14:textId="77777777" w:rsidR="00374352" w:rsidRDefault="00374352" w:rsidP="00374352">
      <w:pPr>
        <w:pStyle w:val="TableFiguretitle"/>
      </w:pPr>
      <w:r w:rsidRPr="00374352">
        <w:t>Table 10.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rPr>
          <w:rFonts w:hint="eastAsia"/>
        </w:rPr>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15751620"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w:t>
      </w:r>
      <w:r w:rsidRPr="00261E78">
        <w:lastRenderedPageBreak/>
        <w:t xml:space="preserve">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AE3BC0">
        <w:t>’</w:t>
      </w:r>
      <w:r w:rsidRPr="00261E78">
        <w:t>s own treatment status—a fundamental condition for valid causal inference in randomized experiments.</w:t>
      </w:r>
    </w:p>
    <w:p w14:paraId="38067A40" w14:textId="77777777"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five-month before the introduction of AI-generated answers (May 2023-September 2023). </w:t>
      </w:r>
      <w:r>
        <w:t>The two groups are both questions without AI answers and are directly comparable</w:t>
      </w:r>
      <w:r w:rsidRPr="00261E78">
        <w:t xml:space="preserve">. </w:t>
      </w:r>
      <w:r>
        <w:t xml:space="preserve">Since </w:t>
      </w:r>
      <w:r>
        <w:t xml:space="preserve">pre-experiment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appliable to</w:t>
      </w:r>
      <w:r w:rsidRPr="00261E78">
        <w:t xml:space="preserve"> the two groups </w:t>
      </w:r>
      <w:r>
        <w:t>on two different time slots)</w:t>
      </w:r>
      <w:r w:rsidRPr="00261E78">
        <w:t>.</w:t>
      </w:r>
    </w:p>
    <w:p w14:paraId="6B8CCACE" w14:textId="40BC5A3A" w:rsidR="00C816AB" w:rsidRPr="00261E78" w:rsidRDefault="00C816AB" w:rsidP="00C816AB">
      <w:pPr>
        <w:pStyle w:val="Paragraph0"/>
      </w:pPr>
      <w:r w:rsidRPr="00261E78">
        <w:t>If spillover effects exist, control questions during the experiment period should show different outcomes compared to similar questions from the pre-AI period, as the control questions would be indirectly affected by AI answers to treated questions. Table 7 shows no significant differences between our control group and pre-AI data for either dependent variable, suggesting spillover is not a concern. This likely results from the platform</w:t>
      </w:r>
      <w:r w:rsidR="00AE3BC0">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77777777" w:rsidR="00C816AB" w:rsidRPr="00261E78" w:rsidRDefault="00C816AB" w:rsidP="00C816AB">
      <w:pPr>
        <w:pStyle w:val="TableFiguretitle"/>
      </w:pPr>
      <w:bookmarkStart w:id="16" w:name="_Ref194764278"/>
      <w:r w:rsidRPr="00261E78">
        <w:t xml:space="preserve">Table </w:t>
      </w:r>
      <w:r>
        <w:fldChar w:fldCharType="begin"/>
      </w:r>
      <w:r>
        <w:instrText xml:space="preserve"> SEQ Table \* ARABIC </w:instrText>
      </w:r>
      <w:r>
        <w:fldChar w:fldCharType="separate"/>
      </w:r>
      <w:r w:rsidRPr="00261E78">
        <w:t>7</w:t>
      </w:r>
      <w:r>
        <w:fldChar w:fldCharType="end"/>
      </w:r>
      <w:bookmarkEnd w:id="16"/>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77777777" w:rsidR="00C816AB" w:rsidRPr="00261E78" w:rsidRDefault="00C816AB" w:rsidP="00C816AB">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Pr="00261E78">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Pr="00261E78">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Pr="00261E78">
        <w:instrText>R</w:instrText>
      </w:r>
      <w:r w:rsidRPr="00261E78">
        <w:instrText>平方运动。我发展了一个形式上的有界论证。我展示了两个验证练习，并讨论了在经济学文献中的应用。本文的补充材料可以在网上找到。</w:instrText>
      </w:r>
      <w:r w:rsidRPr="00261E78">
        <w:instrText>","call-number":"2","container-title":"Journal of Business &amp; Economic Statistics","DOI":"10.1080/07350015.2016.1227711","ISSN":"0735-0015","issue":"2","journalAbbreviation":"J. Bus. Econom. Statist.","language":"en","note":"</w:instrText>
      </w:r>
      <w:r w:rsidRPr="00261E78">
        <w:rPr>
          <w:rFonts w:ascii="Apple Color Emoji" w:hAnsi="Apple Color Emoji" w:cs="Apple Color Emoji"/>
        </w:rPr>
        <w:instrText>🏷️</w:instrText>
      </w:r>
      <w:r w:rsidRPr="00261E78">
        <w:instrText xml:space="preserve"> </w:instrText>
      </w:r>
      <w:r w:rsidRPr="00261E78">
        <w:rPr>
          <w:rFonts w:ascii="Apple Color Emoji" w:hAnsi="Apple Color Emoji" w:cs="Apple Color Emoji"/>
        </w:rPr>
        <w:instrText>📒</w:instrText>
      </w:r>
      <w:r w:rsidRPr="00261E78">
        <w:instrText>、</w:instrText>
      </w:r>
      <w:r w:rsidRPr="00261E78">
        <w:instrText>/reading</w:instrText>
      </w:r>
      <w:r w:rsidRPr="00261E78">
        <w:instrText>、</w:instrText>
      </w:r>
      <w:r w:rsidRPr="00261E78">
        <w:instrText>Coefficient stability</w:instrText>
      </w:r>
      <w:r w:rsidRPr="00261E78">
        <w:instrText>、</w:instrText>
      </w:r>
      <w:r w:rsidRPr="00261E78">
        <w:instrText>Omitted variable bias</w:instrText>
      </w:r>
      <w:r w:rsidRPr="00261E78">
        <w:instrText>、</w:instrText>
      </w:r>
      <w:r w:rsidRPr="00261E78">
        <w:instrText xml:space="preserve">Selection","page":"187-204","source":"3 (Q1)","title":"Unobservable selection and coefficient stability: Theory and evidence","title-short":"Unobservable selection and coefficient stability","volume":"37","author":[{"family":"Oster","given":"Emily"}],"issued":{"date-parts":[["2019",4,3]]}}}],"schema":"https://github.com/citation-style-language/schema/raw/master/csl-citation.json"}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77777777" w:rsidR="00C816AB" w:rsidRPr="00261E78" w:rsidRDefault="00C816AB" w:rsidP="00C816AB">
      <w:pPr>
        <w:pStyle w:val="Paragraph0"/>
      </w:pPr>
      <w:r w:rsidRPr="00261E78">
        <w:t xml:space="preserve">Table 8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unobservables would need to be dramatically more </w:t>
      </w:r>
      <w:r w:rsidRPr="00261E78">
        <w:lastRenderedPageBreak/>
        <w:t>important than observables to explain away our findings. These results provide strong evidence for the quality of random assignment and robustness of our main conclusions.</w:t>
      </w:r>
    </w:p>
    <w:p w14:paraId="1555AAAF" w14:textId="77777777" w:rsidR="00C816AB" w:rsidRPr="00261E78" w:rsidRDefault="00C816AB" w:rsidP="00C816AB">
      <w:pPr>
        <w:pStyle w:val="TableFiguretitle"/>
      </w:pPr>
      <w:bookmarkStart w:id="17" w:name="_Ref194135100"/>
      <w:bookmarkStart w:id="18" w:name="_Ref177392144"/>
      <w:r w:rsidRPr="00261E78">
        <w:t xml:space="preserve">Table </w:t>
      </w:r>
      <w:r>
        <w:fldChar w:fldCharType="begin"/>
      </w:r>
      <w:r>
        <w:instrText xml:space="preserve"> SEQ Table \* ARABIC </w:instrText>
      </w:r>
      <w:r>
        <w:fldChar w:fldCharType="separate"/>
      </w:r>
      <w:r w:rsidRPr="00261E78">
        <w:t>8</w:t>
      </w:r>
      <w:r>
        <w:fldChar w:fldCharType="end"/>
      </w:r>
      <w:bookmarkEnd w:id="17"/>
      <w:r w:rsidRPr="00261E78">
        <w:t xml:space="preserve">. </w:t>
      </w:r>
      <w:bookmarkEnd w:id="18"/>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C816AB"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C816AB"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rPr>
          <w:rFonts w:hint="eastAsia"/>
        </w:rPr>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2"/>
    </w:p>
    <w:p w14:paraId="201B9CFE" w14:textId="0CDDA8C0" w:rsidR="0014752F" w:rsidRPr="0014752F" w:rsidRDefault="0014752F" w:rsidP="0014752F">
      <w:pPr>
        <w:pStyle w:val="Heading2"/>
        <w:rPr>
          <w:rFonts w:hint="eastAsia"/>
        </w:rPr>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7C0081D6" w:rsidR="00797DC6" w:rsidRDefault="00797DC6" w:rsidP="00797DC6">
      <w:pPr>
        <w:pStyle w:val="Heading3"/>
        <w:rPr>
          <w:lang w:eastAsia="zh-CN"/>
        </w:rPr>
      </w:pPr>
      <w:r w:rsidRPr="00797DC6">
        <w:t>AI as a weak competitor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rPr>
          <w:rFonts w:hint="eastAsia"/>
        </w:rPr>
      </w:pPr>
      <w:r>
        <w:t>Our account for the positive label effect is that users perceive AI as a weak competitor and are therefore willing to answer. We test this account in two ways.</w:t>
      </w:r>
    </w:p>
    <w:p w14:paraId="573A1FBD" w14:textId="77777777"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 score, with details in the Appendix, and we split the sample at the median difficulty.</w:t>
      </w:r>
    </w:p>
    <w:p w14:paraId="46B11DB0" w14:textId="20A0DF3B" w:rsidR="00797DC6" w:rsidRDefault="00797DC6" w:rsidP="00797DC6">
      <w:pPr>
        <w:pStyle w:val="Paragraph0"/>
      </w:pPr>
      <w:r>
        <w:t xml:space="preserve">Table 2 confirms this prediction. On difficult questions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is positive and significant (0.304, p&lt;0.01), and the interaction with answer length is negative and significant (-0.058, p&lt;0.001). On easy questions the standalone effect is near zero and not </w:t>
      </w:r>
      <w:r>
        <w:lastRenderedPageBreak/>
        <w:t>significant (0.029). The label motivates contribution precisely where a weak competitor still leaves a gap to fill.</w:t>
      </w:r>
    </w:p>
    <w:p w14:paraId="3D8645DD" w14:textId="65D25EAF" w:rsidR="00C1485A" w:rsidRPr="00C1485A" w:rsidRDefault="00C1485A" w:rsidP="00C1485A">
      <w:pPr>
        <w:pStyle w:val="TableFiguretitle"/>
        <w:rPr>
          <w:rFonts w:hint="eastAsia"/>
          <w:sz w:val="24"/>
          <w:szCs w:val="24"/>
        </w:rPr>
      </w:pPr>
      <w:r>
        <w:t>Table 2.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77777777" w:rsidR="00C1485A" w:rsidRPr="00C1485A" w:rsidRDefault="00C1485A" w:rsidP="00C1485A">
      <w:pPr>
        <w:pStyle w:val="Paragraph0"/>
      </w:pPr>
      <w:r w:rsidRPr="00C1485A">
        <w:rPr>
          <w:b/>
          <w:bCs/>
        </w:rPr>
        <w:t>Test 2: subsequent answers.</w:t>
      </w:r>
      <w:r w:rsidRPr="00C1485A">
        <w:t xml:space="preserve"> A second implication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6D239BD0" w:rsidR="00C1485A" w:rsidRPr="00C1485A" w:rsidRDefault="00C1485A" w:rsidP="00C1485A">
      <w:pPr>
        <w:pStyle w:val="Paragraph0"/>
      </w:pPr>
      <w:r w:rsidRPr="00C1485A">
        <w:t xml:space="preserve">Table 3 supports the prediction.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is positive and highly significant (0.684, p&lt;0.001). Compared to a human first answer, an AI first answer draws substantially more later contributions. The interaction with the length of the first answer is again negative and significant (-0.058, p&lt;0.05), consistent with the length effect documented in the main results.</w:t>
      </w:r>
    </w:p>
    <w:p w14:paraId="6601081D" w14:textId="77777777" w:rsidR="00C1485A" w:rsidRPr="00C1485A" w:rsidRDefault="00C1485A" w:rsidP="00C1485A">
      <w:pPr>
        <w:pStyle w:val="TableFiguretitle"/>
      </w:pPr>
      <w:r w:rsidRPr="00C1485A">
        <w:t>Table 3. Effect on subsequent answers (H1 Test 2)</w:t>
      </w:r>
    </w:p>
    <w:tbl>
      <w:tblPr>
        <w:tblW w:w="5000" w:type="pct"/>
        <w:jc w:val="center"/>
        <w:tblLayout w:type="fixed"/>
        <w:tblLook w:val="04A0" w:firstRow="1" w:lastRow="0" w:firstColumn="1" w:lastColumn="0" w:noHBand="0" w:noVBand="1"/>
      </w:tblPr>
      <w:tblGrid>
        <w:gridCol w:w="5006"/>
        <w:gridCol w:w="2190"/>
        <w:gridCol w:w="2164"/>
      </w:tblGrid>
      <w:tr w:rsidR="00C1485A" w14:paraId="4FE718E3" w14:textId="77777777" w:rsidTr="00C1485A">
        <w:trPr>
          <w:trHeight w:val="320"/>
          <w:jc w:val="center"/>
        </w:trPr>
        <w:tc>
          <w:tcPr>
            <w:tcW w:w="5006" w:type="dxa"/>
            <w:tcBorders>
              <w:top w:val="single" w:sz="4" w:space="0" w:color="auto"/>
              <w:left w:val="nil"/>
              <w:bottom w:val="nil"/>
              <w:right w:val="nil"/>
            </w:tcBorders>
            <w:noWrap/>
            <w:hideMark/>
          </w:tcPr>
          <w:p w14:paraId="2DFF46E4" w14:textId="77777777" w:rsidR="00C1485A" w:rsidRDefault="00C1485A">
            <w:pPr>
              <w:rPr>
                <w:rFonts w:ascii="Georgia" w:hAnsi="Georgia"/>
                <w:color w:val="000000"/>
                <w:sz w:val="20"/>
                <w:szCs w:val="20"/>
              </w:rPr>
            </w:pPr>
            <w:r>
              <w:rPr>
                <w:rFonts w:ascii="Georgia" w:hAnsi="Georgia"/>
                <w:color w:val="000000"/>
                <w:sz w:val="20"/>
                <w:szCs w:val="20"/>
              </w:rPr>
              <w:t> </w:t>
            </w:r>
          </w:p>
        </w:tc>
        <w:tc>
          <w:tcPr>
            <w:tcW w:w="2190" w:type="dxa"/>
            <w:tcBorders>
              <w:top w:val="single" w:sz="4" w:space="0" w:color="auto"/>
              <w:left w:val="nil"/>
              <w:bottom w:val="nil"/>
              <w:right w:val="nil"/>
            </w:tcBorders>
            <w:noWrap/>
            <w:hideMark/>
          </w:tcPr>
          <w:p w14:paraId="354F555F" w14:textId="77777777" w:rsidR="00C1485A" w:rsidRDefault="00C1485A">
            <w:pPr>
              <w:jc w:val="center"/>
              <w:rPr>
                <w:color w:val="000000"/>
                <w:sz w:val="20"/>
                <w:szCs w:val="20"/>
              </w:rPr>
            </w:pPr>
            <w:r>
              <w:rPr>
                <w:color w:val="000000"/>
                <w:sz w:val="20"/>
                <w:szCs w:val="20"/>
              </w:rPr>
              <w:t>(1)</w:t>
            </w:r>
          </w:p>
        </w:tc>
        <w:tc>
          <w:tcPr>
            <w:tcW w:w="2164" w:type="dxa"/>
            <w:tcBorders>
              <w:top w:val="single" w:sz="4" w:space="0" w:color="auto"/>
              <w:left w:val="nil"/>
              <w:bottom w:val="nil"/>
              <w:right w:val="nil"/>
            </w:tcBorders>
            <w:noWrap/>
            <w:hideMark/>
          </w:tcPr>
          <w:p w14:paraId="3F8AEE5C" w14:textId="77777777" w:rsidR="00C1485A" w:rsidRDefault="00C1485A">
            <w:pPr>
              <w:jc w:val="center"/>
              <w:rPr>
                <w:color w:val="000000"/>
                <w:sz w:val="20"/>
                <w:szCs w:val="20"/>
              </w:rPr>
            </w:pPr>
            <w:r>
              <w:rPr>
                <w:color w:val="000000"/>
                <w:sz w:val="20"/>
                <w:szCs w:val="20"/>
              </w:rPr>
              <w:t>(2)</w:t>
            </w:r>
          </w:p>
        </w:tc>
      </w:tr>
      <w:tr w:rsidR="00C1485A" w14:paraId="572880E5" w14:textId="77777777" w:rsidTr="00C1485A">
        <w:trPr>
          <w:trHeight w:val="320"/>
          <w:jc w:val="center"/>
        </w:trPr>
        <w:tc>
          <w:tcPr>
            <w:tcW w:w="5006" w:type="dxa"/>
            <w:tcBorders>
              <w:top w:val="nil"/>
              <w:left w:val="nil"/>
              <w:bottom w:val="nil"/>
              <w:right w:val="nil"/>
            </w:tcBorders>
            <w:noWrap/>
            <w:hideMark/>
          </w:tcPr>
          <w:p w14:paraId="6FB291A8"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354" w:type="dxa"/>
            <w:gridSpan w:val="2"/>
            <w:tcBorders>
              <w:top w:val="nil"/>
              <w:left w:val="nil"/>
              <w:bottom w:val="single" w:sz="4" w:space="0" w:color="auto"/>
              <w:right w:val="nil"/>
            </w:tcBorders>
            <w:hideMark/>
          </w:tcPr>
          <w:p w14:paraId="308AC807" w14:textId="77777777" w:rsidR="00C1485A" w:rsidRDefault="00C1485A">
            <w:pPr>
              <w:jc w:val="center"/>
              <w:rPr>
                <w:color w:val="000000"/>
                <w:sz w:val="20"/>
                <w:szCs w:val="20"/>
              </w:rPr>
            </w:pPr>
            <w:r>
              <w:rPr>
                <w:color w:val="000000"/>
                <w:sz w:val="20"/>
                <w:szCs w:val="20"/>
              </w:rPr>
              <w:t>Log(other answer number in 7 days)</w:t>
            </w:r>
          </w:p>
        </w:tc>
      </w:tr>
      <w:tr w:rsidR="00C1485A" w14:paraId="1DE28C4A" w14:textId="77777777" w:rsidTr="00C1485A">
        <w:trPr>
          <w:trHeight w:val="320"/>
          <w:jc w:val="center"/>
        </w:trPr>
        <w:tc>
          <w:tcPr>
            <w:tcW w:w="5006" w:type="dxa"/>
            <w:vMerge w:val="restart"/>
            <w:tcBorders>
              <w:top w:val="nil"/>
              <w:left w:val="nil"/>
              <w:bottom w:val="nil"/>
              <w:right w:val="nil"/>
            </w:tcBorders>
            <w:noWrap/>
            <w:hideMark/>
          </w:tcPr>
          <w:p w14:paraId="47E5AE8D"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190" w:type="dxa"/>
            <w:tcBorders>
              <w:top w:val="nil"/>
              <w:left w:val="nil"/>
              <w:bottom w:val="nil"/>
              <w:right w:val="nil"/>
            </w:tcBorders>
            <w:noWrap/>
            <w:hideMark/>
          </w:tcPr>
          <w:p w14:paraId="51663D80" w14:textId="77777777" w:rsidR="00C1485A" w:rsidRDefault="00C1485A">
            <w:pPr>
              <w:jc w:val="center"/>
              <w:rPr>
                <w:b/>
                <w:bCs/>
                <w:color w:val="000000"/>
                <w:sz w:val="20"/>
                <w:szCs w:val="20"/>
              </w:rPr>
            </w:pPr>
            <w:r>
              <w:rPr>
                <w:b/>
                <w:bCs/>
                <w:color w:val="000000"/>
                <w:sz w:val="20"/>
                <w:szCs w:val="20"/>
              </w:rPr>
              <w:t>0.347 ***</w:t>
            </w:r>
          </w:p>
        </w:tc>
        <w:tc>
          <w:tcPr>
            <w:tcW w:w="2164" w:type="dxa"/>
            <w:tcBorders>
              <w:top w:val="nil"/>
              <w:left w:val="nil"/>
              <w:bottom w:val="nil"/>
              <w:right w:val="nil"/>
            </w:tcBorders>
            <w:noWrap/>
            <w:hideMark/>
          </w:tcPr>
          <w:p w14:paraId="5A522F04" w14:textId="77777777" w:rsidR="00C1485A" w:rsidRDefault="00C1485A">
            <w:pPr>
              <w:jc w:val="center"/>
              <w:rPr>
                <w:color w:val="000000"/>
                <w:sz w:val="20"/>
                <w:szCs w:val="20"/>
              </w:rPr>
            </w:pPr>
            <w:r>
              <w:rPr>
                <w:color w:val="000000"/>
                <w:sz w:val="20"/>
                <w:szCs w:val="20"/>
              </w:rPr>
              <w:t>0.684 ***</w:t>
            </w:r>
          </w:p>
        </w:tc>
      </w:tr>
      <w:tr w:rsidR="00C1485A" w14:paraId="336F6C73" w14:textId="77777777" w:rsidTr="00C1485A">
        <w:trPr>
          <w:trHeight w:val="320"/>
          <w:jc w:val="center"/>
        </w:trPr>
        <w:tc>
          <w:tcPr>
            <w:tcW w:w="5006" w:type="dxa"/>
            <w:vMerge/>
            <w:tcBorders>
              <w:top w:val="nil"/>
              <w:left w:val="nil"/>
              <w:bottom w:val="nil"/>
              <w:right w:val="nil"/>
            </w:tcBorders>
            <w:hideMark/>
          </w:tcPr>
          <w:p w14:paraId="172CB293"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28CB7404" w14:textId="77777777" w:rsidR="00C1485A" w:rsidRDefault="00C1485A">
            <w:pPr>
              <w:jc w:val="center"/>
              <w:rPr>
                <w:b/>
                <w:bCs/>
                <w:color w:val="000000"/>
                <w:sz w:val="20"/>
                <w:szCs w:val="20"/>
              </w:rPr>
            </w:pPr>
            <w:r>
              <w:rPr>
                <w:b/>
                <w:bCs/>
                <w:color w:val="000000"/>
                <w:sz w:val="20"/>
                <w:szCs w:val="20"/>
              </w:rPr>
              <w:t>(0.016)</w:t>
            </w:r>
          </w:p>
        </w:tc>
        <w:tc>
          <w:tcPr>
            <w:tcW w:w="2164" w:type="dxa"/>
            <w:tcBorders>
              <w:top w:val="nil"/>
              <w:left w:val="nil"/>
              <w:bottom w:val="nil"/>
              <w:right w:val="nil"/>
            </w:tcBorders>
            <w:noWrap/>
            <w:hideMark/>
          </w:tcPr>
          <w:p w14:paraId="202E834A" w14:textId="77777777" w:rsidR="00C1485A" w:rsidRDefault="00C1485A">
            <w:pPr>
              <w:jc w:val="center"/>
              <w:rPr>
                <w:color w:val="000000"/>
                <w:sz w:val="20"/>
                <w:szCs w:val="20"/>
              </w:rPr>
            </w:pPr>
            <w:r>
              <w:rPr>
                <w:color w:val="000000"/>
                <w:sz w:val="20"/>
                <w:szCs w:val="20"/>
              </w:rPr>
              <w:t>(0.139)</w:t>
            </w:r>
          </w:p>
        </w:tc>
      </w:tr>
      <w:tr w:rsidR="00C1485A" w14:paraId="3CEB516B" w14:textId="77777777" w:rsidTr="00C1485A">
        <w:trPr>
          <w:trHeight w:val="320"/>
          <w:jc w:val="center"/>
        </w:trPr>
        <w:tc>
          <w:tcPr>
            <w:tcW w:w="5006" w:type="dxa"/>
            <w:vMerge w:val="restart"/>
            <w:tcBorders>
              <w:top w:val="nil"/>
              <w:left w:val="nil"/>
              <w:bottom w:val="nil"/>
              <w:right w:val="nil"/>
            </w:tcBorders>
            <w:noWrap/>
            <w:hideMark/>
          </w:tcPr>
          <w:p w14:paraId="54A044F4" w14:textId="77777777" w:rsidR="00C1485A" w:rsidRDefault="00C1485A">
            <w:pPr>
              <w:rPr>
                <w:i/>
                <w:iCs/>
                <w:color w:val="000000"/>
                <w:sz w:val="20"/>
                <w:szCs w:val="20"/>
              </w:rPr>
            </w:pPr>
            <w:r>
              <w:rPr>
                <w:i/>
                <w:iCs/>
                <w:color w:val="000000"/>
                <w:sz w:val="20"/>
                <w:szCs w:val="20"/>
              </w:rPr>
              <w:lastRenderedPageBreak/>
              <w:t>AnswerLength1Ans</w:t>
            </w:r>
            <w:r>
              <w:rPr>
                <w:i/>
                <w:iCs/>
                <w:color w:val="000000"/>
                <w:sz w:val="20"/>
                <w:szCs w:val="20"/>
                <w:vertAlign w:val="subscript"/>
              </w:rPr>
              <w:t>i</w:t>
            </w:r>
          </w:p>
        </w:tc>
        <w:tc>
          <w:tcPr>
            <w:tcW w:w="2190" w:type="dxa"/>
            <w:tcBorders>
              <w:top w:val="nil"/>
              <w:left w:val="nil"/>
              <w:bottom w:val="nil"/>
              <w:right w:val="nil"/>
            </w:tcBorders>
            <w:noWrap/>
            <w:hideMark/>
          </w:tcPr>
          <w:p w14:paraId="238221EE"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525C6068" w14:textId="77777777" w:rsidR="00C1485A" w:rsidRDefault="00C1485A">
            <w:pPr>
              <w:jc w:val="center"/>
              <w:rPr>
                <w:color w:val="000000"/>
                <w:sz w:val="20"/>
                <w:szCs w:val="20"/>
              </w:rPr>
            </w:pPr>
            <w:r>
              <w:rPr>
                <w:color w:val="000000"/>
                <w:sz w:val="20"/>
                <w:szCs w:val="20"/>
              </w:rPr>
              <w:t>-0.026 *</w:t>
            </w:r>
          </w:p>
        </w:tc>
      </w:tr>
      <w:tr w:rsidR="00C1485A" w14:paraId="53ED795D" w14:textId="77777777" w:rsidTr="00C1485A">
        <w:trPr>
          <w:trHeight w:val="320"/>
          <w:jc w:val="center"/>
        </w:trPr>
        <w:tc>
          <w:tcPr>
            <w:tcW w:w="5006" w:type="dxa"/>
            <w:vMerge/>
            <w:tcBorders>
              <w:top w:val="nil"/>
              <w:left w:val="nil"/>
              <w:bottom w:val="nil"/>
              <w:right w:val="nil"/>
            </w:tcBorders>
            <w:hideMark/>
          </w:tcPr>
          <w:p w14:paraId="2A9F5555"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3D996117"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402E8693" w14:textId="77777777" w:rsidR="00C1485A" w:rsidRDefault="00C1485A">
            <w:pPr>
              <w:jc w:val="center"/>
              <w:rPr>
                <w:color w:val="000000"/>
                <w:sz w:val="20"/>
                <w:szCs w:val="20"/>
              </w:rPr>
            </w:pPr>
            <w:r>
              <w:rPr>
                <w:color w:val="000000"/>
                <w:sz w:val="20"/>
                <w:szCs w:val="20"/>
              </w:rPr>
              <w:t>(0.010)</w:t>
            </w:r>
          </w:p>
        </w:tc>
      </w:tr>
      <w:tr w:rsidR="00C1485A" w14:paraId="01328A93" w14:textId="77777777" w:rsidTr="00C1485A">
        <w:trPr>
          <w:trHeight w:val="320"/>
          <w:jc w:val="center"/>
        </w:trPr>
        <w:tc>
          <w:tcPr>
            <w:tcW w:w="5006" w:type="dxa"/>
            <w:vMerge w:val="restart"/>
            <w:tcBorders>
              <w:top w:val="nil"/>
              <w:left w:val="nil"/>
              <w:bottom w:val="nil"/>
              <w:right w:val="nil"/>
            </w:tcBorders>
            <w:noWrap/>
            <w:hideMark/>
          </w:tcPr>
          <w:p w14:paraId="5855B4F5" w14:textId="77777777" w:rsidR="00C1485A" w:rsidRDefault="00C1485A">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2190" w:type="dxa"/>
            <w:tcBorders>
              <w:top w:val="nil"/>
              <w:left w:val="nil"/>
              <w:bottom w:val="nil"/>
              <w:right w:val="nil"/>
            </w:tcBorders>
            <w:noWrap/>
            <w:hideMark/>
          </w:tcPr>
          <w:p w14:paraId="6B0C027A"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46C7FC9A" w14:textId="77777777" w:rsidR="00C1485A" w:rsidRDefault="00C1485A">
            <w:pPr>
              <w:jc w:val="center"/>
              <w:rPr>
                <w:color w:val="000000"/>
                <w:sz w:val="20"/>
                <w:szCs w:val="20"/>
              </w:rPr>
            </w:pPr>
            <w:r>
              <w:rPr>
                <w:color w:val="000000"/>
                <w:sz w:val="20"/>
                <w:szCs w:val="20"/>
              </w:rPr>
              <w:t>-0.025</w:t>
            </w:r>
          </w:p>
        </w:tc>
      </w:tr>
      <w:tr w:rsidR="00C1485A" w14:paraId="2D9F49A3" w14:textId="77777777" w:rsidTr="00C1485A">
        <w:trPr>
          <w:trHeight w:val="320"/>
          <w:jc w:val="center"/>
        </w:trPr>
        <w:tc>
          <w:tcPr>
            <w:tcW w:w="5006" w:type="dxa"/>
            <w:vMerge/>
            <w:tcBorders>
              <w:top w:val="nil"/>
              <w:left w:val="nil"/>
              <w:bottom w:val="nil"/>
              <w:right w:val="nil"/>
            </w:tcBorders>
            <w:hideMark/>
          </w:tcPr>
          <w:p w14:paraId="0AFAC8BA"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51F33833"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7ABFDD72" w14:textId="77777777" w:rsidR="00C1485A" w:rsidRDefault="00C1485A">
            <w:pPr>
              <w:jc w:val="center"/>
              <w:rPr>
                <w:color w:val="000000"/>
                <w:sz w:val="20"/>
                <w:szCs w:val="20"/>
              </w:rPr>
            </w:pPr>
            <w:r>
              <w:rPr>
                <w:color w:val="000000"/>
                <w:sz w:val="20"/>
                <w:szCs w:val="20"/>
              </w:rPr>
              <w:t>(0.071)</w:t>
            </w:r>
          </w:p>
        </w:tc>
      </w:tr>
      <w:tr w:rsidR="00C1485A" w14:paraId="34A2E093" w14:textId="77777777" w:rsidTr="00C1485A">
        <w:trPr>
          <w:trHeight w:val="320"/>
          <w:jc w:val="center"/>
        </w:trPr>
        <w:tc>
          <w:tcPr>
            <w:tcW w:w="5006" w:type="dxa"/>
            <w:vMerge w:val="restart"/>
            <w:tcBorders>
              <w:top w:val="nil"/>
              <w:left w:val="nil"/>
              <w:bottom w:val="nil"/>
              <w:right w:val="nil"/>
            </w:tcBorders>
            <w:noWrap/>
            <w:hideMark/>
          </w:tcPr>
          <w:p w14:paraId="52D8C95B" w14:textId="77777777" w:rsidR="00C1485A" w:rsidRDefault="00C1485A">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2190" w:type="dxa"/>
            <w:tcBorders>
              <w:top w:val="nil"/>
              <w:left w:val="nil"/>
              <w:bottom w:val="nil"/>
              <w:right w:val="nil"/>
            </w:tcBorders>
            <w:noWrap/>
            <w:hideMark/>
          </w:tcPr>
          <w:p w14:paraId="61B18B69"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733E35CD" w14:textId="77777777" w:rsidR="00C1485A" w:rsidRDefault="00C1485A">
            <w:pPr>
              <w:jc w:val="center"/>
              <w:rPr>
                <w:color w:val="000000"/>
                <w:sz w:val="20"/>
                <w:szCs w:val="20"/>
              </w:rPr>
            </w:pPr>
            <w:r>
              <w:rPr>
                <w:color w:val="000000"/>
                <w:sz w:val="20"/>
                <w:szCs w:val="20"/>
              </w:rPr>
              <w:t>-0.058 *</w:t>
            </w:r>
          </w:p>
        </w:tc>
      </w:tr>
      <w:tr w:rsidR="00C1485A" w14:paraId="437CEB53" w14:textId="77777777" w:rsidTr="00C1485A">
        <w:trPr>
          <w:trHeight w:val="320"/>
          <w:jc w:val="center"/>
        </w:trPr>
        <w:tc>
          <w:tcPr>
            <w:tcW w:w="5006" w:type="dxa"/>
            <w:vMerge/>
            <w:tcBorders>
              <w:top w:val="nil"/>
              <w:left w:val="nil"/>
              <w:bottom w:val="nil"/>
              <w:right w:val="nil"/>
            </w:tcBorders>
            <w:hideMark/>
          </w:tcPr>
          <w:p w14:paraId="678E3ED7"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570DBD55"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4525500D" w14:textId="77777777" w:rsidR="00C1485A" w:rsidRDefault="00C1485A">
            <w:pPr>
              <w:jc w:val="center"/>
              <w:rPr>
                <w:color w:val="000000"/>
                <w:sz w:val="20"/>
                <w:szCs w:val="20"/>
              </w:rPr>
            </w:pPr>
            <w:r>
              <w:rPr>
                <w:color w:val="000000"/>
                <w:sz w:val="20"/>
                <w:szCs w:val="20"/>
              </w:rPr>
              <w:t>(0.024)</w:t>
            </w:r>
          </w:p>
        </w:tc>
      </w:tr>
      <w:tr w:rsidR="00C1485A" w14:paraId="69C80BF3" w14:textId="77777777" w:rsidTr="00C1485A">
        <w:trPr>
          <w:trHeight w:val="320"/>
          <w:jc w:val="center"/>
        </w:trPr>
        <w:tc>
          <w:tcPr>
            <w:tcW w:w="5006" w:type="dxa"/>
            <w:vMerge w:val="restart"/>
            <w:tcBorders>
              <w:top w:val="nil"/>
              <w:left w:val="nil"/>
              <w:bottom w:val="nil"/>
              <w:right w:val="nil"/>
            </w:tcBorders>
            <w:noWrap/>
            <w:hideMark/>
          </w:tcPr>
          <w:p w14:paraId="2A5C9882" w14:textId="77777777" w:rsidR="00C1485A" w:rsidRDefault="00C1485A">
            <w:pPr>
              <w:rPr>
                <w:i/>
                <w:iCs/>
                <w:color w:val="000000"/>
                <w:sz w:val="20"/>
                <w:szCs w:val="20"/>
              </w:rPr>
            </w:pPr>
            <w:r>
              <w:rPr>
                <w:i/>
                <w:iCs/>
                <w:color w:val="000000"/>
                <w:sz w:val="20"/>
                <w:szCs w:val="20"/>
              </w:rPr>
              <w:t>AIi * AnswerQuality1Ansi</w:t>
            </w:r>
          </w:p>
        </w:tc>
        <w:tc>
          <w:tcPr>
            <w:tcW w:w="2190" w:type="dxa"/>
            <w:tcBorders>
              <w:top w:val="nil"/>
              <w:left w:val="nil"/>
              <w:bottom w:val="nil"/>
              <w:right w:val="nil"/>
            </w:tcBorders>
            <w:noWrap/>
            <w:hideMark/>
          </w:tcPr>
          <w:p w14:paraId="3D538666"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4857C25C" w14:textId="77777777" w:rsidR="00C1485A" w:rsidRDefault="00C1485A">
            <w:pPr>
              <w:jc w:val="center"/>
              <w:rPr>
                <w:color w:val="000000"/>
                <w:sz w:val="20"/>
                <w:szCs w:val="20"/>
              </w:rPr>
            </w:pPr>
            <w:r>
              <w:rPr>
                <w:color w:val="000000"/>
                <w:sz w:val="20"/>
                <w:szCs w:val="20"/>
              </w:rPr>
              <w:t>-0.033</w:t>
            </w:r>
          </w:p>
        </w:tc>
      </w:tr>
      <w:tr w:rsidR="00C1485A" w14:paraId="1737D129" w14:textId="77777777" w:rsidTr="00C1485A">
        <w:trPr>
          <w:trHeight w:val="320"/>
          <w:jc w:val="center"/>
        </w:trPr>
        <w:tc>
          <w:tcPr>
            <w:tcW w:w="5006" w:type="dxa"/>
            <w:vMerge/>
            <w:tcBorders>
              <w:top w:val="nil"/>
              <w:left w:val="nil"/>
              <w:bottom w:val="nil"/>
              <w:right w:val="nil"/>
            </w:tcBorders>
            <w:hideMark/>
          </w:tcPr>
          <w:p w14:paraId="3A7F62E3" w14:textId="77777777" w:rsidR="00C1485A" w:rsidRDefault="00C1485A">
            <w:pPr>
              <w:rPr>
                <w:i/>
                <w:iCs/>
                <w:color w:val="000000"/>
                <w:sz w:val="20"/>
                <w:szCs w:val="20"/>
              </w:rPr>
            </w:pPr>
          </w:p>
        </w:tc>
        <w:tc>
          <w:tcPr>
            <w:tcW w:w="2190" w:type="dxa"/>
            <w:tcBorders>
              <w:top w:val="nil"/>
              <w:left w:val="nil"/>
              <w:bottom w:val="single" w:sz="4" w:space="0" w:color="auto"/>
              <w:right w:val="nil"/>
            </w:tcBorders>
            <w:noWrap/>
            <w:hideMark/>
          </w:tcPr>
          <w:p w14:paraId="440170BC" w14:textId="77777777" w:rsidR="00C1485A" w:rsidRDefault="00C1485A">
            <w:pPr>
              <w:jc w:val="center"/>
              <w:rPr>
                <w:color w:val="000000"/>
                <w:sz w:val="20"/>
                <w:szCs w:val="20"/>
              </w:rPr>
            </w:pPr>
            <w:r>
              <w:rPr>
                <w:color w:val="000000"/>
                <w:sz w:val="20"/>
                <w:szCs w:val="20"/>
              </w:rPr>
              <w:t> </w:t>
            </w:r>
          </w:p>
        </w:tc>
        <w:tc>
          <w:tcPr>
            <w:tcW w:w="2164" w:type="dxa"/>
            <w:tcBorders>
              <w:top w:val="nil"/>
              <w:left w:val="nil"/>
              <w:bottom w:val="single" w:sz="4" w:space="0" w:color="auto"/>
              <w:right w:val="nil"/>
            </w:tcBorders>
            <w:noWrap/>
            <w:hideMark/>
          </w:tcPr>
          <w:p w14:paraId="064EC713" w14:textId="77777777" w:rsidR="00C1485A" w:rsidRDefault="00C1485A">
            <w:pPr>
              <w:jc w:val="center"/>
              <w:rPr>
                <w:color w:val="000000"/>
                <w:sz w:val="20"/>
                <w:szCs w:val="20"/>
              </w:rPr>
            </w:pPr>
            <w:r>
              <w:rPr>
                <w:color w:val="000000"/>
                <w:sz w:val="20"/>
                <w:szCs w:val="20"/>
              </w:rPr>
              <w:t>(0.105)</w:t>
            </w:r>
          </w:p>
        </w:tc>
      </w:tr>
      <w:tr w:rsidR="00C1485A" w14:paraId="1B0D5844" w14:textId="77777777" w:rsidTr="00C1485A">
        <w:trPr>
          <w:trHeight w:val="320"/>
          <w:jc w:val="center"/>
        </w:trPr>
        <w:tc>
          <w:tcPr>
            <w:tcW w:w="5006" w:type="dxa"/>
            <w:tcBorders>
              <w:top w:val="nil"/>
              <w:left w:val="nil"/>
              <w:bottom w:val="nil"/>
              <w:right w:val="nil"/>
            </w:tcBorders>
            <w:noWrap/>
            <w:hideMark/>
          </w:tcPr>
          <w:p w14:paraId="535FE0A5" w14:textId="77777777" w:rsidR="00C1485A" w:rsidRDefault="00C1485A">
            <w:pPr>
              <w:rPr>
                <w:color w:val="000000"/>
                <w:sz w:val="20"/>
                <w:szCs w:val="20"/>
              </w:rPr>
            </w:pPr>
            <w:r>
              <w:rPr>
                <w:color w:val="000000"/>
                <w:sz w:val="20"/>
                <w:szCs w:val="20"/>
              </w:rPr>
              <w:t>question controls</w:t>
            </w:r>
          </w:p>
        </w:tc>
        <w:tc>
          <w:tcPr>
            <w:tcW w:w="2190" w:type="dxa"/>
            <w:tcBorders>
              <w:top w:val="nil"/>
              <w:left w:val="nil"/>
              <w:bottom w:val="nil"/>
              <w:right w:val="nil"/>
            </w:tcBorders>
            <w:noWrap/>
            <w:hideMark/>
          </w:tcPr>
          <w:p w14:paraId="2039F01C"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69BD37AA" w14:textId="77777777" w:rsidR="00C1485A" w:rsidRDefault="00C1485A">
            <w:pPr>
              <w:jc w:val="center"/>
              <w:rPr>
                <w:color w:val="000000"/>
                <w:sz w:val="20"/>
                <w:szCs w:val="20"/>
              </w:rPr>
            </w:pPr>
            <w:r>
              <w:rPr>
                <w:color w:val="000000"/>
                <w:sz w:val="20"/>
                <w:szCs w:val="20"/>
              </w:rPr>
              <w:t>√</w:t>
            </w:r>
          </w:p>
        </w:tc>
      </w:tr>
      <w:tr w:rsidR="00C1485A" w14:paraId="5F7D8F35" w14:textId="77777777" w:rsidTr="00C1485A">
        <w:trPr>
          <w:trHeight w:val="320"/>
          <w:jc w:val="center"/>
        </w:trPr>
        <w:tc>
          <w:tcPr>
            <w:tcW w:w="5006" w:type="dxa"/>
            <w:tcBorders>
              <w:top w:val="nil"/>
              <w:left w:val="nil"/>
              <w:bottom w:val="nil"/>
              <w:right w:val="nil"/>
            </w:tcBorders>
            <w:noWrap/>
            <w:hideMark/>
          </w:tcPr>
          <w:p w14:paraId="69FFE492" w14:textId="77777777" w:rsidR="00C1485A" w:rsidRDefault="00C1485A">
            <w:pPr>
              <w:rPr>
                <w:color w:val="000000"/>
                <w:sz w:val="20"/>
                <w:szCs w:val="20"/>
              </w:rPr>
            </w:pPr>
            <w:r>
              <w:rPr>
                <w:color w:val="000000"/>
                <w:sz w:val="20"/>
                <w:szCs w:val="20"/>
              </w:rPr>
              <w:t>questioner controls</w:t>
            </w:r>
          </w:p>
        </w:tc>
        <w:tc>
          <w:tcPr>
            <w:tcW w:w="2190" w:type="dxa"/>
            <w:tcBorders>
              <w:top w:val="nil"/>
              <w:left w:val="nil"/>
              <w:bottom w:val="nil"/>
              <w:right w:val="nil"/>
            </w:tcBorders>
            <w:noWrap/>
            <w:hideMark/>
          </w:tcPr>
          <w:p w14:paraId="18F093E7"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6066B6BE" w14:textId="77777777" w:rsidR="00C1485A" w:rsidRDefault="00C1485A">
            <w:pPr>
              <w:jc w:val="center"/>
              <w:rPr>
                <w:color w:val="000000"/>
                <w:sz w:val="20"/>
                <w:szCs w:val="20"/>
              </w:rPr>
            </w:pPr>
            <w:r>
              <w:rPr>
                <w:color w:val="000000"/>
                <w:sz w:val="20"/>
                <w:szCs w:val="20"/>
              </w:rPr>
              <w:t>√</w:t>
            </w:r>
          </w:p>
        </w:tc>
      </w:tr>
      <w:tr w:rsidR="00C1485A" w14:paraId="4CBB1691" w14:textId="77777777" w:rsidTr="00C1485A">
        <w:trPr>
          <w:trHeight w:val="320"/>
          <w:jc w:val="center"/>
        </w:trPr>
        <w:tc>
          <w:tcPr>
            <w:tcW w:w="5006" w:type="dxa"/>
            <w:tcBorders>
              <w:top w:val="nil"/>
              <w:left w:val="nil"/>
              <w:bottom w:val="nil"/>
              <w:right w:val="nil"/>
            </w:tcBorders>
            <w:noWrap/>
            <w:hideMark/>
          </w:tcPr>
          <w:p w14:paraId="6EEBCB94" w14:textId="77777777" w:rsidR="00C1485A" w:rsidRDefault="00C1485A">
            <w:pPr>
              <w:rPr>
                <w:color w:val="000000"/>
                <w:sz w:val="20"/>
                <w:szCs w:val="20"/>
              </w:rPr>
            </w:pPr>
            <w:r>
              <w:rPr>
                <w:color w:val="000000"/>
                <w:sz w:val="20"/>
                <w:szCs w:val="20"/>
              </w:rPr>
              <w:t>question timing FE</w:t>
            </w:r>
          </w:p>
        </w:tc>
        <w:tc>
          <w:tcPr>
            <w:tcW w:w="2190" w:type="dxa"/>
            <w:tcBorders>
              <w:top w:val="nil"/>
              <w:left w:val="nil"/>
              <w:bottom w:val="nil"/>
              <w:right w:val="nil"/>
            </w:tcBorders>
            <w:noWrap/>
            <w:hideMark/>
          </w:tcPr>
          <w:p w14:paraId="66EDD91C"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4DAEFA09" w14:textId="77777777" w:rsidR="00C1485A" w:rsidRDefault="00C1485A">
            <w:pPr>
              <w:jc w:val="center"/>
              <w:rPr>
                <w:color w:val="000000"/>
                <w:sz w:val="20"/>
                <w:szCs w:val="20"/>
              </w:rPr>
            </w:pPr>
            <w:r>
              <w:rPr>
                <w:color w:val="000000"/>
                <w:sz w:val="20"/>
                <w:szCs w:val="20"/>
              </w:rPr>
              <w:t>√</w:t>
            </w:r>
          </w:p>
        </w:tc>
      </w:tr>
      <w:tr w:rsidR="00C1485A" w14:paraId="5DF5C388" w14:textId="77777777" w:rsidTr="00C1485A">
        <w:trPr>
          <w:trHeight w:val="320"/>
          <w:jc w:val="center"/>
        </w:trPr>
        <w:tc>
          <w:tcPr>
            <w:tcW w:w="5006" w:type="dxa"/>
            <w:tcBorders>
              <w:top w:val="nil"/>
              <w:left w:val="nil"/>
              <w:bottom w:val="single" w:sz="4" w:space="0" w:color="auto"/>
              <w:right w:val="nil"/>
            </w:tcBorders>
            <w:noWrap/>
            <w:hideMark/>
          </w:tcPr>
          <w:p w14:paraId="405D96B6" w14:textId="77777777" w:rsidR="00C1485A" w:rsidRDefault="00C1485A">
            <w:pPr>
              <w:rPr>
                <w:color w:val="000000"/>
                <w:sz w:val="20"/>
                <w:szCs w:val="20"/>
              </w:rPr>
            </w:pPr>
            <w:r>
              <w:rPr>
                <w:color w:val="000000"/>
                <w:sz w:val="20"/>
                <w:szCs w:val="20"/>
              </w:rPr>
              <w:t>N</w:t>
            </w:r>
          </w:p>
        </w:tc>
        <w:tc>
          <w:tcPr>
            <w:tcW w:w="2190" w:type="dxa"/>
            <w:tcBorders>
              <w:top w:val="nil"/>
              <w:left w:val="nil"/>
              <w:bottom w:val="single" w:sz="4" w:space="0" w:color="auto"/>
              <w:right w:val="nil"/>
            </w:tcBorders>
            <w:noWrap/>
            <w:hideMark/>
          </w:tcPr>
          <w:p w14:paraId="616B9C62" w14:textId="77777777" w:rsidR="00C1485A" w:rsidRDefault="00C1485A">
            <w:pPr>
              <w:jc w:val="center"/>
              <w:rPr>
                <w:color w:val="000000"/>
                <w:sz w:val="20"/>
                <w:szCs w:val="20"/>
              </w:rPr>
            </w:pPr>
            <w:r>
              <w:rPr>
                <w:color w:val="000000"/>
                <w:sz w:val="20"/>
                <w:szCs w:val="20"/>
              </w:rPr>
              <w:t>3,613</w:t>
            </w:r>
          </w:p>
        </w:tc>
        <w:tc>
          <w:tcPr>
            <w:tcW w:w="2164" w:type="dxa"/>
            <w:tcBorders>
              <w:top w:val="nil"/>
              <w:left w:val="nil"/>
              <w:bottom w:val="single" w:sz="4" w:space="0" w:color="auto"/>
              <w:right w:val="nil"/>
            </w:tcBorders>
            <w:noWrap/>
            <w:hideMark/>
          </w:tcPr>
          <w:p w14:paraId="785B3463" w14:textId="77777777" w:rsidR="00C1485A" w:rsidRDefault="00C1485A">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rPr>
          <w:rFonts w:hint="eastAsia"/>
        </w:rPr>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rPr>
          <w:rFonts w:hint="eastAsia"/>
        </w:rPr>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78CDEB6F" w:rsidR="00797DC6" w:rsidRPr="00C1485A" w:rsidRDefault="00C1485A" w:rsidP="00C1485A">
      <w:pPr>
        <w:pStyle w:val="Paragraph0"/>
        <w:rPr>
          <w:rFonts w:eastAsia="Times New Roman"/>
          <w:color w:val="000000"/>
          <w:szCs w:val="24"/>
        </w:rPr>
      </w:pPr>
      <w:r>
        <w:t xml:space="preserve">We test these against each other in Table 4.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6624D7BF" w:rsidR="00C1485A" w:rsidRPr="00C1485A" w:rsidRDefault="00C1485A" w:rsidP="00C1485A">
      <w:pPr>
        <w:pStyle w:val="TableFiguretitle"/>
        <w:rPr>
          <w:rFonts w:hint="eastAsia"/>
        </w:rPr>
      </w:pPr>
      <w:r>
        <w:t>Table 4. The role of answer coverage (H2)</w:t>
      </w:r>
    </w:p>
    <w:tbl>
      <w:tblPr>
        <w:tblW w:w="5000" w:type="pct"/>
        <w:jc w:val="center"/>
        <w:tblLayout w:type="fixed"/>
        <w:tblLook w:val="04A0" w:firstRow="1" w:lastRow="0" w:firstColumn="1" w:lastColumn="0" w:noHBand="0" w:noVBand="1"/>
      </w:tblPr>
      <w:tblGrid>
        <w:gridCol w:w="1780"/>
        <w:gridCol w:w="1391"/>
        <w:gridCol w:w="1484"/>
        <w:gridCol w:w="4705"/>
      </w:tblGrid>
      <w:tr w:rsidR="00C1485A" w14:paraId="30DF0654" w14:textId="77777777" w:rsidTr="00C1485A">
        <w:trPr>
          <w:trHeight w:val="320"/>
          <w:jc w:val="center"/>
        </w:trPr>
        <w:tc>
          <w:tcPr>
            <w:tcW w:w="178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1391"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1484"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4705"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C1485A">
        <w:trPr>
          <w:trHeight w:val="320"/>
          <w:jc w:val="center"/>
        </w:trPr>
        <w:tc>
          <w:tcPr>
            <w:tcW w:w="178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C1485A">
        <w:trPr>
          <w:trHeight w:val="320"/>
          <w:jc w:val="center"/>
        </w:trPr>
        <w:tc>
          <w:tcPr>
            <w:tcW w:w="178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1391"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1484"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4705"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C1485A">
        <w:trPr>
          <w:trHeight w:val="320"/>
          <w:jc w:val="center"/>
        </w:trPr>
        <w:tc>
          <w:tcPr>
            <w:tcW w:w="178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1484"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4705"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C1485A">
        <w:trPr>
          <w:trHeight w:val="320"/>
          <w:jc w:val="center"/>
        </w:trPr>
        <w:tc>
          <w:tcPr>
            <w:tcW w:w="178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91"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1484"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4705"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C1485A">
        <w:trPr>
          <w:trHeight w:val="320"/>
          <w:jc w:val="center"/>
        </w:trPr>
        <w:tc>
          <w:tcPr>
            <w:tcW w:w="178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1484"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4705"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C1485A">
        <w:trPr>
          <w:trHeight w:val="320"/>
          <w:jc w:val="center"/>
        </w:trPr>
        <w:tc>
          <w:tcPr>
            <w:tcW w:w="178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91"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1484"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4705"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C1485A">
        <w:trPr>
          <w:trHeight w:val="320"/>
          <w:jc w:val="center"/>
        </w:trPr>
        <w:tc>
          <w:tcPr>
            <w:tcW w:w="178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61727326" w14:textId="77777777" w:rsidR="00C1485A" w:rsidRDefault="00C1485A">
            <w:pPr>
              <w:rPr>
                <w:sz w:val="20"/>
                <w:szCs w:val="20"/>
              </w:rPr>
            </w:pPr>
          </w:p>
        </w:tc>
        <w:tc>
          <w:tcPr>
            <w:tcW w:w="1484"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4705"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C1485A">
        <w:trPr>
          <w:trHeight w:val="320"/>
          <w:jc w:val="center"/>
        </w:trPr>
        <w:tc>
          <w:tcPr>
            <w:tcW w:w="178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1391"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1484" w:type="dxa"/>
            <w:tcBorders>
              <w:top w:val="nil"/>
              <w:left w:val="nil"/>
              <w:bottom w:val="nil"/>
              <w:right w:val="nil"/>
            </w:tcBorders>
            <w:noWrap/>
            <w:hideMark/>
          </w:tcPr>
          <w:p w14:paraId="3FB72ED1" w14:textId="77777777" w:rsidR="00C1485A" w:rsidRDefault="00C1485A">
            <w:pPr>
              <w:jc w:val="center"/>
              <w:rPr>
                <w:sz w:val="20"/>
                <w:szCs w:val="20"/>
              </w:rPr>
            </w:pPr>
          </w:p>
        </w:tc>
        <w:tc>
          <w:tcPr>
            <w:tcW w:w="4705"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C1485A">
        <w:trPr>
          <w:trHeight w:val="320"/>
          <w:jc w:val="center"/>
        </w:trPr>
        <w:tc>
          <w:tcPr>
            <w:tcW w:w="178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1391"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1484"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4705"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C1485A">
        <w:trPr>
          <w:trHeight w:val="320"/>
          <w:jc w:val="center"/>
        </w:trPr>
        <w:tc>
          <w:tcPr>
            <w:tcW w:w="178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1391"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C1485A">
        <w:trPr>
          <w:trHeight w:val="320"/>
          <w:jc w:val="center"/>
        </w:trPr>
        <w:tc>
          <w:tcPr>
            <w:tcW w:w="178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1391"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C1485A">
        <w:trPr>
          <w:trHeight w:val="320"/>
          <w:jc w:val="center"/>
        </w:trPr>
        <w:tc>
          <w:tcPr>
            <w:tcW w:w="178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1391"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C1485A">
        <w:trPr>
          <w:trHeight w:val="320"/>
          <w:jc w:val="center"/>
        </w:trPr>
        <w:tc>
          <w:tcPr>
            <w:tcW w:w="178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1391"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1484"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4705"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50776E0E" w:rsidR="00C1485A" w:rsidRDefault="00C1485A" w:rsidP="00C1485A">
      <w:pPr>
        <w:pStyle w:val="Heading3"/>
      </w:pPr>
      <w:r w:rsidRPr="00C1485A">
        <w:t>why higher AI quality raises contribution quality</w:t>
      </w:r>
      <w:r>
        <w:rPr>
          <w:rFonts w:hint="eastAsia"/>
          <w:lang w:eastAsia="zh-CN"/>
        </w:rPr>
        <w:t xml:space="preserve"> (H4)</w:t>
      </w:r>
    </w:p>
    <w:p w14:paraId="55910A01" w14:textId="77777777" w:rsidR="00C1485A" w:rsidRPr="00C1485A" w:rsidRDefault="00C1485A" w:rsidP="00C1485A">
      <w:pPr>
        <w:pStyle w:val="Paragraph0"/>
      </w:pPr>
      <w:r w:rsidRPr="00C1485A">
        <w:t>The main results show that higher AI quality raises human contribution quality. Because AI quality is a benchmark in the competition, three distinct processes could produce this pattern. The first is selection, in which higher AI quality draws contributions from higher-quality users. The second is spillover, in which humans borrow content from the AI answer. The third is differentiation, in which humans deliberately distinguish their answers from the AI answer. We test each in turn.</w:t>
      </w:r>
    </w:p>
    <w:p w14:paraId="3839B370" w14:textId="65EFBC60" w:rsidR="00C1485A" w:rsidRDefault="00C1485A" w:rsidP="00C1485A">
      <w:pPr>
        <w:pStyle w:val="Paragraph0"/>
      </w:pPr>
      <w:r w:rsidRPr="00C1485A">
        <w:rPr>
          <w:b/>
          <w:bCs/>
        </w:rPr>
        <w:t>Selection.</w:t>
      </w:r>
      <w:r w:rsidRPr="00C1485A">
        <w:t xml:space="preserve"> If selection drives the result, higher AI quality should attract more expert first human contributors. We measure the expertise of the first human contributor using the number of previously accepted answers within the relevant tag. Table 5 shows no such relationship. The </w:t>
      </w:r>
      <w:r w:rsidRPr="00C1485A">
        <w:lastRenderedPageBreak/>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and answer quality is not significant (-0.394), and the other coefficients are also insignificant. The result does not support selection.</w:t>
      </w:r>
    </w:p>
    <w:p w14:paraId="58DD3A43" w14:textId="51F712C1" w:rsidR="00C1485A" w:rsidRDefault="00C1485A" w:rsidP="00C1485A">
      <w:pPr>
        <w:pStyle w:val="TableFiguretitle"/>
      </w:pPr>
      <w:r w:rsidRPr="00C1485A">
        <w:t>Table 5.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40D4F577" w:rsidR="00D25B8E" w:rsidRPr="00D25B8E" w:rsidRDefault="00D25B8E" w:rsidP="00D25B8E">
      <w:pPr>
        <w:pStyle w:val="Paragraph0"/>
      </w:pPr>
      <w:r w:rsidRPr="00D25B8E">
        <w:t xml:space="preserve">Table 6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777777" w:rsidR="00D25B8E" w:rsidRDefault="00D25B8E" w:rsidP="00D25B8E">
      <w:pPr>
        <w:pStyle w:val="TableFiguretitle"/>
      </w:pPr>
      <w:r>
        <w:t>Table 6.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lastRenderedPageBreak/>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rFonts w:hint="eastAsia"/>
          <w:sz w:val="24"/>
          <w:szCs w:val="24"/>
        </w:rPr>
      </w:pPr>
    </w:p>
    <w:p w14:paraId="5DE31550" w14:textId="77777777" w:rsidR="00C1485A" w:rsidRPr="00C1485A" w:rsidRDefault="00C1485A" w:rsidP="00C1485A">
      <w:pPr>
        <w:pStyle w:val="TableFiguretitle"/>
        <w:rPr>
          <w:rFonts w:hint="eastAsia"/>
        </w:rPr>
      </w:pPr>
    </w:p>
    <w:p w14:paraId="35B0529F" w14:textId="77777777" w:rsidR="00C1485A" w:rsidRPr="00797DC6" w:rsidRDefault="00C1485A" w:rsidP="00797DC6">
      <w:pPr>
        <w:rPr>
          <w:rFonts w:hint="eastAsia"/>
        </w:rPr>
      </w:pPr>
    </w:p>
    <w:p w14:paraId="0CCC0AFB" w14:textId="7629BB15" w:rsidR="00984445" w:rsidRDefault="00D66C4E" w:rsidP="00D66C4E">
      <w:pPr>
        <w:pStyle w:val="Heading1"/>
      </w:pPr>
      <w:r>
        <w:rPr>
          <w:rFonts w:hint="eastAsia"/>
        </w:rPr>
        <w:t>Conclusions</w:t>
      </w:r>
    </w:p>
    <w:p w14:paraId="7C934974" w14:textId="77777777"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 To identify the underlying mechanisms, they conducted two experiments. In the first, they varied only the AI label while holding content constant and found that the AI label increased willingness to contribute. In the second, they introduced an AI-generated answer in the treatment condition and found that human contributors spent more time composing responses and that human-AI textual similarity increased. They interpret the increase in similarity as evidence of AI conformity, in which humans adjust their writing to resemble the AI-generated content.</w:t>
      </w:r>
    </w:p>
    <w:p w14:paraId="0CD0C08A" w14:textId="7A8ABF3E" w:rsidR="00B460C8" w:rsidRDefault="00B460C8" w:rsidP="00B460C8">
      <w:pPr>
        <w:pStyle w:val="Paragraph0"/>
        <w:rPr>
          <w:szCs w:val="24"/>
        </w:rPr>
      </w:pPr>
      <w:r>
        <w:lastRenderedPageBreak/>
        <w:t>Our framework suggests that the overall effect on contribution quantity is the net result of two forces operating in opposite directions. The AI label produces a positive effect on contribution willingness, consistent with Su et al.</w:t>
      </w:r>
      <w:r w:rsidR="00AE3BC0">
        <w:t>’</w:t>
      </w:r>
      <w:r>
        <w:t>s (2025) first experiment. The AI content, however, works in the opposite direction. When an AI-generated answer already occupies the first position on a question, it raises the standard that a human contributor must meet to produce a response that adds meaningful value. As the AI answer grows longer, it signals greater comprehensiveness, and the effort required to extend or improve upon it rises accordingly. The perceived cost of contributing increases while the perceived marginal value of an additional response falls. This is the mechanism behind our negative content effect. In our setting, this deterrent effect of AI content outweighs the motivating effect of the AI label. In Su et al.</w:t>
      </w:r>
      <w:r w:rsidR="00AE3BC0">
        <w:t>’</w:t>
      </w:r>
      <w:r>
        <w:t>s (2025) setting, the label effect appears to dominate, and two features of their context may account for this difference. First, Quora hosts predominantly general-interest questions where there is often no single correct answer, and the presence of a prior answer is less likely to foreclose additional participation. Technical questions tend to have verifiable solutions, and a comprehensive AI answer leaves less evaluative space for human contributions. Second, in Su et al.</w:t>
      </w:r>
      <w:r w:rsidR="00AE3BC0">
        <w:t>’</w:t>
      </w:r>
      <w:r>
        <w:t>s (2025) study the AI answer is added to questions that already carry human responses. In that configuration, AI enters as a late-arriving addition to an established discussion rather than as the first response, and contributors may perceive fewer costs to participating alongside it.</w:t>
      </w:r>
    </w:p>
    <w:p w14:paraId="357B72B1" w14:textId="687E26C0" w:rsidR="00B460C8" w:rsidRDefault="00B460C8" w:rsidP="00B460C8">
      <w:pPr>
        <w:pStyle w:val="Paragraph0"/>
        <w:rPr>
          <w:szCs w:val="24"/>
        </w:rPr>
      </w:pPr>
      <w:r>
        <w:t>Su et al.</w:t>
      </w:r>
      <w:r w:rsidR="00AE3BC0">
        <w:t>’</w:t>
      </w:r>
      <w:r>
        <w:t xml:space="preserve">s (2025) second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w:t>
      </w:r>
      <w:r>
        <w:lastRenderedPageBreak/>
        <w:t>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pPr>
        <w:rPr>
          <w:rFonts w:hint="eastAsia"/>
        </w:rPr>
      </w:pPr>
    </w:p>
    <w:sectPr w:rsidR="00D66C4E" w:rsidRPr="00D66C4E" w:rsidSect="000862C8">
      <w:headerReference w:type="even" r:id="rId20"/>
      <w:footerReference w:type="even" r:id="rId21"/>
      <w:footerReference w:type="default" r:id="rId22"/>
      <w:headerReference w:type="first" r:id="rId23"/>
      <w:footerReference w:type="first" r:id="rId2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867D0" w14:textId="77777777" w:rsidR="00113E3C" w:rsidRDefault="00113E3C" w:rsidP="00413127">
      <w:r>
        <w:separator/>
      </w:r>
    </w:p>
    <w:p w14:paraId="3B438BD3" w14:textId="77777777" w:rsidR="00113E3C" w:rsidRDefault="00113E3C" w:rsidP="00413127"/>
    <w:p w14:paraId="295801D5" w14:textId="77777777" w:rsidR="00113E3C" w:rsidRDefault="00113E3C" w:rsidP="00413127"/>
    <w:p w14:paraId="304B1C99" w14:textId="77777777" w:rsidR="00113E3C" w:rsidRDefault="00113E3C"/>
  </w:endnote>
  <w:endnote w:type="continuationSeparator" w:id="0">
    <w:p w14:paraId="0A3CBD0C" w14:textId="77777777" w:rsidR="00113E3C" w:rsidRDefault="00113E3C" w:rsidP="00413127">
      <w:r>
        <w:continuationSeparator/>
      </w:r>
    </w:p>
    <w:p w14:paraId="572D277C" w14:textId="77777777" w:rsidR="00113E3C" w:rsidRDefault="00113E3C" w:rsidP="00413127"/>
    <w:p w14:paraId="7A50ADBD" w14:textId="77777777" w:rsidR="00113E3C" w:rsidRDefault="00113E3C" w:rsidP="00413127"/>
    <w:p w14:paraId="042628DF" w14:textId="77777777" w:rsidR="00113E3C" w:rsidRDefault="00113E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EEBDA" w14:textId="77777777" w:rsidR="00113E3C" w:rsidRDefault="00113E3C">
      <w:r>
        <w:separator/>
      </w:r>
    </w:p>
  </w:footnote>
  <w:footnote w:type="continuationSeparator" w:id="0">
    <w:p w14:paraId="1B190D6E" w14:textId="77777777" w:rsidR="00113E3C" w:rsidRDefault="00113E3C" w:rsidP="00413127">
      <w:r>
        <w:continuationSeparator/>
      </w:r>
    </w:p>
  </w:footnote>
  <w:footnote w:type="continuationNotice" w:id="1">
    <w:p w14:paraId="4212A111" w14:textId="77777777" w:rsidR="00113E3C" w:rsidRPr="003549C6" w:rsidRDefault="00113E3C" w:rsidP="003549C6">
      <w:pPr>
        <w:pStyle w:val="Footer"/>
        <w:rPr>
          <w:lang w:eastAsia="zh-CN"/>
        </w:rPr>
      </w:pPr>
    </w:p>
  </w:footnote>
  <w:footnote w:id="2">
    <w:p w14:paraId="7F5EA866" w14:textId="45C0AD13"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AE3BC0">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0CF50FD9" w14:textId="5AEDCDD5"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AE3BC0">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45</Pages>
  <Words>38815</Words>
  <Characters>221247</Characters>
  <Application>Microsoft Office Word</Application>
  <DocSecurity>0</DocSecurity>
  <Lines>1843</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10</cp:revision>
  <cp:lastPrinted>2025-03-23T13:39:00Z</cp:lastPrinted>
  <dcterms:created xsi:type="dcterms:W3CDTF">2026-07-27T07:12:00Z</dcterms:created>
  <dcterms:modified xsi:type="dcterms:W3CDTF">2026-07-27T09:50:00Z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id="lulipooV"/&gt;&lt;style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