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2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example_build_input_files: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生成模拟所需的输入文件的示例代码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example_main_generate_waveforms: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调用模拟程序合成数据的示例代码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example_model.dat: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模型文件的示例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example_receiver.dat: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台站信息文件的示例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example_source.dat: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震源和模拟参数文件的示例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18. datatransf: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对输入数据进行转换，如取绝对值，开方，取对数等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显示波剖面，即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</w:t>
      </w:r>
      <w:bookmarkStart w:id="5" w:name="__DdeLink__640_3234484078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dispwfscn_m</w:t>
      </w:r>
      <w:bookmarkEnd w:id="5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6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6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7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7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11. fun_for_piero: clustering according to the input row and column indices of the upper triangular part of the correlation-coefficient matrix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8" w:name="__DdeLink__581_842682726"/>
      <w:r>
        <w:rPr/>
        <w:t>特定</w:t>
      </w:r>
      <w:bookmarkEnd w:id="8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  <w:t xml:space="preserve">4. ireplace_zeros: </w:t>
      </w:r>
      <w:r>
        <w:rPr/>
        <w:t>使用随机的极小值（</w:t>
      </w:r>
      <w:r>
        <w:rPr/>
        <w:t>~eps</w:t>
      </w:r>
      <w:r>
        <w:rPr/>
        <w:t>）替换数据中的</w:t>
      </w:r>
      <w:r>
        <w:rPr/>
        <w:t>0</w:t>
      </w:r>
      <w:r>
        <w:rPr/>
        <w:t>值</w:t>
      </w:r>
    </w:p>
    <w:p>
      <w:pPr>
        <w:pStyle w:val="Normal"/>
        <w:spacing w:lineRule="auto" w:line="360"/>
        <w:jc w:val="both"/>
        <w:rPr/>
      </w:pPr>
      <w:r>
        <w:rPr/>
        <w:t xml:space="preserve">5. decluster: </w:t>
      </w:r>
      <w:r>
        <w:rPr/>
        <w:t>去除检测到的信号中连续存在的相同的事件，</w:t>
      </w:r>
      <w:r>
        <w:rPr/>
        <w:t>see code for detail</w:t>
      </w:r>
    </w:p>
    <w:p>
      <w:pPr>
        <w:pStyle w:val="Normal"/>
        <w:spacing w:lineRule="auto" w:line="360"/>
        <w:jc w:val="both"/>
        <w:rPr/>
      </w:pPr>
      <w:r>
        <w:rPr/>
        <w:t xml:space="preserve">6. seisext: </w:t>
      </w:r>
      <w:r>
        <w:rPr/>
        <w:t>根据输入的参数提取地震数据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3. runFMF_mdata: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调用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FMF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的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wrapper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，注意其特定的数据输入模式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4. getpicks_fromNLLobs: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读取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NonLinLoc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格式的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P/S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波的拾取文件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5. gene_FMFtemplate: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根据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P/S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波的拾取结果为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FMF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准备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template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6. save_FMFdata: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保存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FMF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得到的检测结果，包括检测到的事件的事件和叠加相关系数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6">
    <w:name w:val="ListLabel 6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7">
    <w:name w:val="ListLabel 7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8">
    <w:name w:val="ListLabel 8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9">
    <w:name w:val="ListLabel 9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10">
    <w:name w:val="ListLabel 10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11">
    <w:name w:val="ListLabel 1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12">
    <w:name w:val="ListLabel 1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1254</TotalTime>
  <Application>LibreOffice/6.0.7.3$Linux_X86_64 LibreOffice_project/00m0$Build-3</Application>
  <Pages>9</Pages>
  <Words>3801</Words>
  <Characters>7148</Characters>
  <CharactersWithSpaces>7688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2022-01-03T14:33:50Z</dcterms:modified>
  <cp:revision>332</cp:revision>
  <dc:subject/>
  <dc:title/>
</cp:coreProperties>
</file>