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17. output_cataext1: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输出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text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catalog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文件，适用于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GMT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画图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example_build_input_files: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生成模拟所需的输入文件的示例代码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example_main_generate_waveforms: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调用模拟程序合成数据的示例代码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8. example_model.dat: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模型文件的示例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9. example_receiver.dat: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台站信息文件的示例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10. example_source.dat: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震源和模拟参数文件的示例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18. datatransf: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对输入数据进行转换，如取绝对值，开方，取对数等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显示波剖面，即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</w:t>
      </w:r>
      <w:bookmarkStart w:id="5" w:name="__DdeLink__640_3234484078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dispwfscn_m</w:t>
      </w:r>
      <w:bookmarkEnd w:id="5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6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6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7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7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8" w:name="__DdeLink__581_842682726"/>
      <w:r>
        <w:rPr/>
        <w:t>特定</w:t>
      </w:r>
      <w:bookmarkEnd w:id="8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  <w:t xml:space="preserve">4. ireplace_zeros: </w:t>
      </w:r>
      <w:r>
        <w:rPr/>
        <w:t>使用随机的极小值（</w:t>
      </w:r>
      <w:r>
        <w:rPr/>
        <w:t>~eps</w:t>
      </w:r>
      <w:r>
        <w:rPr/>
        <w:t>）替换数据中的</w:t>
      </w:r>
      <w:r>
        <w:rPr/>
        <w:t>0</w:t>
      </w:r>
      <w:r>
        <w:rPr/>
        <w:t>值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5">
    <w:name w:val="ListLabel 5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6">
    <w:name w:val="ListLabel 6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7">
    <w:name w:val="ListLabel 7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8">
    <w:name w:val="ListLabel 8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1214</TotalTime>
  <Application>LibreOffice/6.0.7.3$Linux_X86_64 LibreOffice_project/00m0$Build-3</Application>
  <Pages>9</Pages>
  <Words>3657</Words>
  <Characters>6777</Characters>
  <CharactersWithSpaces>7282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2020-06-13T19:37:11Z</dcterms:modified>
  <cp:revision>319</cp:revision>
  <dc:subject/>
  <dc:title/>
</cp:coreProperties>
</file>