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LMS-销售训练案例扩展-15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行业主题：食品加工设备；地区样本：山东诸城；外贸阶段：成熟团队全球化升级期；建议学员难度：高级。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话术案例：老板您好，我是专门服务食品加工设备工厂做外贸增长和 AI 出海落地的。今天过来不是让您马上投入大项目，而是想结合咱们切菜机、和面机、真空包装机、烘干线这类产品的海外采购特点，先帮您判断现在有没有低风险试水的机会。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话术案例：老板，食品加工设备这几年海外采购逻辑变化很明显。过去很多订单靠展会、平台和熟人转介绍，现在采购商越来越习惯先通过谷歌、AI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切菜机、和面机、真空包装机、烘干线，工厂有生产基础；短板是有阿里国际站但运营粗放，海外客户很难在第一时间判断您的实力。再加上网站和线上资产薄弱，海外采购商搜索不到企业，信任背书不足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1、渠道卡点：销售线索分散在员工微信和表格里，客户资产不能沉淀到公司。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3、团队卡点：平台同质化竞争严重，采购商只比价格，毛利被持续压缩。</w:t>
      </w:r>
    </w:p>
    <w:p>
      <w:r>
        <w:rPr>
          <w:b w:val="0"/>
          <w:sz w:val="21"/>
        </w:rPr>
        <w:t>4、转化卡点：外贸人员培养慢，新人不会谈单，老员工经验无法复制。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食品加工设备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报价、物流、交期、资质材料依赖人工整理，效率低且容易出错。”，我们会做行业关键词和多语种内容布局，让海外采购商搜索切菜机、和面机、真空包装机、烘干线相关需求时，有机会看到您的工厂能力。</w:t>
      </w:r>
    </w:p>
    <w:p>
      <w:r>
        <w:rPr>
          <w:b w:val="0"/>
          <w:sz w:val="21"/>
        </w:rPr>
        <w:t>第二，针对“不懂海外区域差异，分不清哪些国家适合高端款、哪些适合走量款。”，AI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第三，针对“老板担心投入后没有持续运营，最后变成一次性建站或摆设系统。”，CRM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成单话术：老板，前面我们把食品加工设备的海外机会、您工厂现在的短板和落地路径都聊清楚了。您现在最核心的顾虑，我理解不是不认可出海，而是担心投入后没人管、没有效果、合同里说不清楚。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