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LMS-销售训练案例扩展-32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行业主题：五金工具；地区样本：浙江金华；外贸阶段：初步试水阶段；建议学员难度：初级。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团队规模：120-180 人区域头部工厂，年营收约 3 亿以上。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话术案例：老板您好，我是专门服务五金工具工厂做外贸增长和 AI 出海落地的。今天过来不是让您马上投入大项目，而是想结合咱们扳手、套筒、钳类工具、工具箱这类产品的海外采购特点，先帮您判断现在有没有低风险试水的机会。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我最近接触了不少和您同规模的制造工厂，大家普遍不是不想出海，而是卡在没人懂外贸、怕平台投入高、怕招人没结果。您现在无英文官网，仅有中文企业站，再加上团队人工成本约 36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团队规模：220 人以上成熟制造企业，年营收约 1800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话术案例：老板，五金工具这几年海外采购逻辑变化很明显。过去很多订单靠展会、平台和熟人转介绍，现在采购商越来越习惯先通过谷歌、AI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扳手、套筒、钳类工具、工具箱，工厂有生产基础；短板是有少量社媒账号但内容不稳定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团队规模：12-18 人工贸小厂，年营收约 1.2 亿。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2、资产卡点：有阿里国际站但运营粗放，海外采购商即便听说过企业，也缺少可信的英文承接页面。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5、经营卡点：平台年费和推广投入约 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¥69800/年搭建可持续获客和客户承接闭环，把低风险试水出海方案、基础客户建联、轻量化官网和询盘承接跑通，再根据询盘质量决定是否扩大投放和团队配置。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团队规模：25-40 人成长型工厂，年营收约 600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五金工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第一，针对“平台同质化竞争严重，采购商只比价格，毛利被持续压缩。”，我们会做行业关键词和多语种内容布局，让海外采购商搜索扳手、套筒、钳类工具、工具箱相关需求时，有机会看到您的工厂能力。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企业：浙江金华五金工具制造工厂，主营扳手、套筒、钳类工具、工具箱。</w:t>
      </w:r>
    </w:p>
    <w:p>
      <w:r>
        <w:rPr>
          <w:b w:val="0"/>
          <w:sz w:val="21"/>
        </w:rPr>
        <w:t>团队规模：60-90 人工贸结合企业，年营收约 4200 万。</w:t>
      </w:r>
    </w:p>
    <w:p>
      <w:r>
        <w:rPr>
          <w:b w:val="0"/>
          <w:sz w:val="21"/>
        </w:rPr>
        <w:t>外贸阶段：初步试水阶段。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老板身份：表达直接，喜欢看数据和落地路径，对服务承诺和合同边界敏感。</w:t>
      </w:r>
    </w:p>
    <w:p>
      <w:r>
        <w:rPr>
          <w:b w:val="0"/>
          <w:sz w:val="21"/>
        </w:rPr>
        <w:t>当前现状：做过平台或展会，有零散询盘，但没有稳定成交闭环；同时不懂海外区域差异，分不清哪些国家适合高端款、哪些适合走量款。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成单话术：老板，前面我们把五金工具的海外机会、您工厂现在的短板和落地路径都聊清楚了。您现在最核心的顾虑，我理解不是不认可出海，而是担心投入后没人管、没有效果、合同里说不清楚。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低风险试水出海方案、基础客户建联、轻量化官网和询盘承接落到具体动作上。</w:t>
      </w:r>
    </w:p>
    <w:p>
      <w:r>
        <w:rPr>
          <w:b w:val="0"/>
          <w:sz w:val="21"/>
        </w:rPr>
        <w:t>从投入对比看，您现在线上获客成本约 18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客户更愿意听本行业、同规模、同阶段案例，不喜欢泛泛讲“趋势很好”。销售要把五金工具的产品特点、海外采购链路、风险控制和服务交付拆成具体动作。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