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Rule="exact" w:line="500" w:before="0" w:after="0"/>
        <w:ind w:firstLineChars="0" w:firstLine="0"/>
      </w:pPr>
    </w:p>
    <w:p>
      <w:pPr>
        <w:snapToGrid w:val="0"/>
        <w:spacing w:lineRule="exact" w:line="500" w:before="0" w:after="0"/>
        <w:ind w:firstLineChars="0" w:firstLine="0"/>
      </w:pPr>
    </w:p>
    <w:p>
      <w:pPr>
        <w:snapToGrid w:val="0"/>
        <w:spacing w:lineRule="auto" w:line="360" w:before="0" w:after="480"/>
        <w:jc w:val="center"/>
        <w:ind w:firstLineChars="0" w:firstLine="0"/>
      </w:pPr>
      <w:r>
        <w:rPr>
          <w:rFonts w:ascii="STXihei" w:hAnsi="STXihei" w:eastAsia="华文细黑" w:cs="STXihei"/>
          <w:sz w:val="48"/>
          <w:b w:val="1"/>
          <w:i w:val="0"/>
          <w:u w:val="none"/>
        </w:rPr>
        <w:t>硕 士 学 位 论 文</w:t>
      </w:r>
    </w:p>
    <w:p>
      <w:pPr>
        <w:snapToGrid w:val="0"/>
        <w:spacing w:lineRule="auto" w:line="360" w:before="0" w:after="240"/>
        <w:jc w:val="center"/>
        <w:ind w:firstLineChars="0" w:firstLine="0"/>
      </w:pPr>
      <w:r>
        <w:rPr>
          <w:rFonts w:ascii="STXihei" w:hAnsi="STXihei" w:eastAsia="华文细黑" w:cs="STXihei"/>
          <w:sz w:val="44"/>
          <w:b w:val="1"/>
          <w:i w:val="0"/>
          <w:u w:val="none"/>
        </w:rPr>
        <w:t>基于深度学习的遥感小目标检测方法研究</w:t>
      </w:r>
    </w:p>
    <w:p>
      <w:pPr>
        <w:snapToGrid w:val="0"/>
        <w:spacing w:lineRule="auto" w:line="360" w:before="0" w:after="720"/>
        <w:jc w:val="center"/>
        <w:ind w:firstLineChars="0" w:firstLine="0"/>
      </w:pPr>
      <w:r>
        <w:rPr>
          <w:rFonts w:ascii="Times New Roman" w:hAnsi="Times New Roman" w:eastAsia="Times New Roman" w:cs="Times New Roman"/>
          <w:sz w:val="32"/>
          <w:b w:val="1"/>
          <w:i w:val="0"/>
          <w:u w:val="none"/>
        </w:rPr>
        <w:t>Research on Small Object Detection in Remote Sensing Imagery Based on Deep Learning</w:t>
      </w:r>
    </w:p>
    <w:p>
      <w:pPr>
        <w:snapToGrid w:val="0"/>
        <w:spacing w:lineRule="exact" w:line="500" w:before="0" w:after="0"/>
        <w:ind w:firstLineChars="0" w:firstLine="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  <w:top w:w="20" w:type="dxa"/>
          <w:bottom w:w="0" w:type="dxa"/>
        </w:tblCellMar>
        <w:tblW w:w="6067" w:type="dxa"/>
        <w:tblLayout w:type="fixed"/>
      </w:tblPr>
      <w:tblGrid>
        <w:gridCol w:w="1531"/>
        <w:gridCol w:w="340"/>
        <w:gridCol w:w="4196"/>
      </w:tblGrid>
      <w:tr>
        <w:tc>
          <w:tcPr>
            <w:tcW w:type="dxa" w:w="153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0"/>
              <w:jc w:val="distribute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作者姓名</w:t>
            </w:r>
          </w:p>
        </w:tc>
        <w:tc>
          <w:tcPr>
            <w:tcW w:type="dxa" w:w="34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0"/>
              <w:jc w:val="right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：</w:t>
            </w:r>
          </w:p>
        </w:tc>
        <w:tc>
          <w:tcPr>
            <w:tcW w:type="dxa" w:w="4195"/>
            <w:tcBorders>
              <w:top w:val="none" w:sz="0" w:space="0" w:color="000000"/>
              <w:bottom w:val="single" w:sz="4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120"/>
              <w:jc w:val="center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张三</w:t>
            </w:r>
          </w:p>
        </w:tc>
      </w:tr>
      <w:tr>
        <w:tc>
          <w:tcPr>
            <w:tcW w:type="dxa" w:w="153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0"/>
              <w:jc w:val="distribute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学号</w:t>
            </w:r>
          </w:p>
        </w:tc>
        <w:tc>
          <w:tcPr>
            <w:tcW w:type="dxa" w:w="34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0"/>
              <w:jc w:val="right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：</w:t>
            </w:r>
          </w:p>
        </w:tc>
        <w:tc>
          <w:tcPr>
            <w:tcW w:type="dxa" w:w="4195"/>
            <w:tcBorders>
              <w:top w:val="none" w:sz="0" w:space="0" w:color="000000"/>
              <w:bottom w:val="single" w:sz="4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120"/>
              <w:jc w:val="center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12345678</w:t>
            </w:r>
          </w:p>
        </w:tc>
      </w:tr>
      <w:tr>
        <w:tc>
          <w:tcPr>
            <w:tcW w:type="dxa" w:w="153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0"/>
              <w:jc w:val="distribute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指导教师</w:t>
            </w:r>
          </w:p>
        </w:tc>
        <w:tc>
          <w:tcPr>
            <w:tcW w:type="dxa" w:w="34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0"/>
              <w:jc w:val="right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：</w:t>
            </w:r>
          </w:p>
        </w:tc>
        <w:tc>
          <w:tcPr>
            <w:tcW w:type="dxa" w:w="4195"/>
            <w:tcBorders>
              <w:top w:val="none" w:sz="0" w:space="0" w:color="000000"/>
              <w:bottom w:val="single" w:sz="4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120"/>
              <w:jc w:val="center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李四 教授</w:t>
            </w:r>
          </w:p>
        </w:tc>
      </w:tr>
      <w:tr>
        <w:tc>
          <w:tcPr>
            <w:tcW w:type="dxa" w:w="153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0"/>
              <w:jc w:val="distribute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学科、专业</w:t>
            </w:r>
          </w:p>
        </w:tc>
        <w:tc>
          <w:tcPr>
            <w:tcW w:type="dxa" w:w="34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0"/>
              <w:jc w:val="right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：</w:t>
            </w:r>
          </w:p>
        </w:tc>
        <w:tc>
          <w:tcPr>
            <w:tcW w:type="dxa" w:w="4195"/>
            <w:tcBorders>
              <w:top w:val="none" w:sz="0" w:space="0" w:color="000000"/>
              <w:bottom w:val="single" w:sz="4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120"/>
              <w:jc w:val="center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信息与通信工程</w:t>
            </w:r>
          </w:p>
        </w:tc>
      </w:tr>
      <w:tr>
        <w:tc>
          <w:tcPr>
            <w:tcW w:type="dxa" w:w="153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0"/>
              <w:jc w:val="distribute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答辩日期</w:t>
            </w:r>
          </w:p>
        </w:tc>
        <w:tc>
          <w:tcPr>
            <w:tcW w:type="dxa" w:w="34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0"/>
              <w:jc w:val="right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：</w:t>
            </w:r>
          </w:p>
        </w:tc>
        <w:tc>
          <w:tcPr>
            <w:tcW w:type="dxa" w:w="4195"/>
            <w:tcBorders>
              <w:top w:val="none" w:sz="0" w:space="0" w:color="000000"/>
              <w:bottom w:val="single" w:sz="4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exact" w:line="320" w:before="0" w:after="120"/>
              <w:jc w:val="center"/>
              <w:ind w:firstLineChars="0" w:firstLine="0" w:left="0"/>
            </w:pPr>
            <w:r>
              <w:rPr>
                <w:rFonts w:ascii="Times New Roman" w:hAnsi="Times New Roman" w:eastAsia="宋体" w:cs="Times New Roman"/>
                <w:sz w:val="30"/>
                <w:b w:val="0"/>
                <w:i w:val="0"/>
                <w:u w:val="none"/>
              </w:rPr>
              <w:t>2026 年 6 月</w:t>
            </w:r>
          </w:p>
        </w:tc>
      </w:tr>
    </w:tbl>
    <w:p>
      <w:pPr>
        <w:sectPr>
          <w:headerReference w:type="default" r:id="rId9"/>
          <w:headerReference w:type="even" r:id="rId10"/>
          <w:headerReference w:type="first" r:id="rId11"/>
          <w:footerReference w:type="default" r:id="rId12"/>
          <w:footerReference w:type="even" r:id="rId13"/>
          <w:type w:val="oddPage"/>
          <w:pgSz w:w="11906" w:h="16838"/>
          <w:pgMar w:top="1984" w:right="1417" w:bottom="1417" w:left="1417" w:header="1417" w:footer="1134" w:gutter="0"/>
          <w:cols w:space="720"/>
          <w:docGrid w:linePitch="360"/>
        </w:sectPr>
      </w:pPr>
    </w:p>
    <w:p>
      <w:pPr>
        <w:snapToGrid w:val="0"/>
        <w:spacing w:lineRule="auto" w:line="360" w:before="0" w:after="240"/>
        <w:jc w:val="center"/>
        <w:ind w:left="0" w:firstLineChars="0" w:firstLine="0"/>
        <w:outlineLvl w:val="9"/>
        <w:keepNext/>
      </w:pPr>
      <w:r>
        <w:rPr>
          <w:rFonts w:ascii="Times New Roman" w:hAnsi="Times New Roman" w:eastAsia="黑体" w:cs="Times New Roman"/>
          <w:sz w:val="30"/>
          <w:b w:val="1"/>
          <w:i w:val="0"/>
          <w:u w:val="none"/>
        </w:rPr>
        <w:t>摘　　要</w:t>
      </w:r>
    </w:p>
    <w:p>
      <w:pPr>
        <w:snapToGrid w:val="0"/>
        <w:spacing w:lineRule="auto" w:line="300" w:before="0" w:after="0"/>
        <w:jc w:val="both"/>
        <w:ind w:firstLineChars="200" w:firstLine="48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遥感图像中的小目标检测在军事侦察、灾害评估与城市规划等领域具有重要的应用价值。然而，受限于目标尺度小、背景复杂以及类间差异微弱等因素，现有检测方法在小目标上的精度仍明显低于中大型目标。本文围绕该问题展开研究。</w:t>
      </w:r>
    </w:p>
    <w:p>
      <w:pPr>
        <w:snapToGrid w:val="0"/>
        <w:spacing w:lineRule="auto" w:line="300" w:before="0" w:after="0"/>
        <w:jc w:val="both"/>
        <w:ind w:firstLineChars="200" w:firstLine="48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首先，本文分析了遥感小目标检测中特征金字塔的语义—空间失衡机理，指出浅层特征在多次下采样后信息损失严重是精度下降的主要原因。其次，提出了一种双向特征融合模块（Bi-FFM），通过自顶向下与自底向上两条路径的交叉聚合，增强了小目标的特征表达。最后，在公开数据集上进行了系统的消融实验与对比实验。</w:t>
      </w:r>
    </w:p>
    <w:p>
      <w:pPr>
        <w:snapToGrid w:val="0"/>
        <w:spacing w:lineRule="auto" w:line="300" w:before="0" w:after="0"/>
        <w:jc w:val="both"/>
        <w:ind w:firstLineChars="200" w:firstLine="48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实验结果表明，本文方法在 mAP 指标上较基线模型提升了 3.55 个百分点，且在参数量基本持平的前提下，对小目标的召回率提升了 5.1 个百分点，验证了所提模块的有效性。</w:t>
      </w:r>
    </w:p>
    <w:p>
      <w:pPr>
        <w:snapToGrid w:val="0"/>
        <w:spacing w:lineRule="exact" w:line="500" w:before="0" w:after="0"/>
        <w:ind w:firstLineChars="0" w:firstLine="0"/>
      </w:pPr>
    </w:p>
    <w:p>
      <w:pPr>
        <w:snapToGrid w:val="0"/>
        <w:spacing w:lineRule="auto" w:line="300" w:before="0" w:after="0"/>
        <w:jc w:val="both"/>
      </w:pPr>
      <w:r>
        <w:rPr>
          <w:rFonts w:ascii="Times New Roman" w:hAnsi="Times New Roman" w:eastAsia="黑体" w:cs="Times New Roman"/>
          <w:sz w:val="24"/>
          <w:b w:val="0"/>
          <w:i w:val="0"/>
          <w:u w:val="none"/>
        </w:rPr>
        <w:t>关键词：</w:t>
      </w: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遥感图像；小目标检测；特征融合；深度学习；注意力机制</w:t>
      </w:r>
    </w:p>
    <w:p>
      <w:pPr>
        <w:sectPr>
          <w:headerReference w:type="default" r:id="rId14"/>
          <w:headerReference w:type="even" r:id="rId15"/>
          <w:headerReference w:type="first" r:id="rId16"/>
          <w:footerReference w:type="default" r:id="rId17"/>
          <w:footerReference w:type="even" r:id="rId18"/>
          <w:footerReference w:type="first" r:id="rId19"/>
          <w:pgSz w:w="11906" w:h="16838"/>
          <w:pgMar w:top="1984" w:right="1417" w:bottom="1417" w:left="1417" w:header="1417" w:footer="1134" w:gutter="0"/>
          <w:cols w:space="720"/>
          <w:docGrid w:linePitch="360"/>
          <w:pgNumType w:fmt="upperRoman" w:start="1"/>
        </w:sectPr>
      </w:pPr>
    </w:p>
    <w:p>
      <w:pPr>
        <w:snapToGrid w:val="0"/>
        <w:spacing w:lineRule="auto" w:line="360" w:before="0" w:after="240"/>
        <w:jc w:val="center"/>
        <w:ind w:left="0" w:firstLineChars="0" w:firstLine="0"/>
        <w:outlineLvl w:val="9"/>
        <w:keepNext/>
      </w:pPr>
      <w:r>
        <w:rPr>
          <w:rFonts w:ascii="Times New Roman" w:hAnsi="Times New Roman" w:eastAsia="Times New Roman" w:cs="Times New Roman"/>
          <w:sz w:val="30"/>
          <w:b w:val="1"/>
          <w:i w:val="0"/>
          <w:u w:val="none"/>
        </w:rPr>
        <w:t>ABSTRACT</w:t>
      </w:r>
    </w:p>
    <w:p>
      <w:pPr>
        <w:snapToGrid w:val="0"/>
        <w:spacing w:lineRule="auto" w:line="300" w:before="0" w:after="0"/>
        <w:jc w:val="both"/>
        <w:ind w:firstLineChars="0" w:firstLine="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Small object detection in remote sensing imagery is of great value in military reconnaissance, disaster assessment and urban planning. However, due to small object scale, cluttered background and subtle inter-class differences, existing detectors perform notably worse on small objects than on medium and large ones.</w:t>
      </w:r>
    </w:p>
    <w:p>
      <w:pPr>
        <w:snapToGrid w:val="0"/>
        <w:spacing w:lineRule="auto" w:line="300" w:before="0" w:after="0"/>
        <w:jc w:val="both"/>
        <w:ind w:firstLineChars="0" w:firstLine="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This thesis first analyzes the semantic-spatial imbalance of the feature pyramid, and then proposes a bidirectional feature fusion module (Bi-FFM) that cross-aggregates top-down and bottom-up paths. Systematic ablation and comparison experiments are conducted on public datasets.</w:t>
      </w:r>
    </w:p>
    <w:p>
      <w:pPr>
        <w:snapToGrid w:val="0"/>
        <w:spacing w:lineRule="exact" w:line="500" w:before="0" w:after="0"/>
        <w:ind w:firstLineChars="0" w:firstLine="0"/>
      </w:pPr>
    </w:p>
    <w:p>
      <w:pPr>
        <w:snapToGrid w:val="0"/>
        <w:spacing w:lineRule="auto" w:line="300" w:before="0" w:after="0"/>
        <w:jc w:val="both"/>
      </w:pPr>
      <w:r>
        <w:rPr>
          <w:rFonts w:ascii="Times New Roman" w:hAnsi="Times New Roman" w:eastAsia="Times New Roman" w:cs="Times New Roman"/>
          <w:sz w:val="24"/>
          <w:b w:val="1"/>
          <w:i w:val="0"/>
          <w:u w:val="none"/>
        </w:rPr>
        <w:t>Key Words：</w:t>
      </w:r>
      <w:r>
        <w:rPr>
          <w:rFonts w:ascii="Times New Roman" w:hAnsi="Times New Roman" w:eastAsia="Times New Roman" w:cs="Times New Roman"/>
          <w:sz w:val="24"/>
          <w:b w:val="0"/>
          <w:i w:val="0"/>
          <w:u w:val="none"/>
        </w:rPr>
        <w:t>remote sensing imagery; small object detection; feature fusion; deep learning; attention mechanism</w:t>
      </w:r>
    </w:p>
    <w:p>
      <w:pPr>
        <w:sectPr>
          <w:headerReference w:type="default" r:id="rId20"/>
          <w:headerReference w:type="even" r:id="rId21"/>
          <w:headerReference w:type="first" r:id="rId22"/>
          <w:footerReference w:type="default" r:id="rId23"/>
          <w:footerReference w:type="even" r:id="rId24"/>
          <w:footerReference w:type="first" r:id="rId25"/>
          <w:pgSz w:w="11906" w:h="16838"/>
          <w:pgMar w:top="1984" w:right="1417" w:bottom="1417" w:left="1417" w:header="1417" w:footer="1134" w:gutter="0"/>
          <w:cols w:space="720"/>
          <w:docGrid w:linePitch="360"/>
          <w:pgNumType w:fmt="decimal" w:start="1"/>
        </w:sectPr>
      </w:pPr>
    </w:p>
    <w:p>
      <w:pPr>
        <w:snapToGrid w:val="0"/>
        <w:spacing w:lineRule="auto" w:line="360" w:before="0" w:after="240"/>
        <w:jc w:val="center"/>
        <w:ind w:left="0" w:firstLineChars="0" w:firstLine="0"/>
        <w:outlineLvl w:val="9"/>
        <w:keepNext/>
      </w:pPr>
      <w:r>
        <w:rPr>
          <w:rFonts w:ascii="Times New Roman" w:hAnsi="Times New Roman" w:eastAsia="黑体" w:cs="Times New Roman"/>
          <w:sz w:val="30"/>
          <w:b w:val="1"/>
          <w:i w:val="0"/>
          <w:u w:val="none"/>
        </w:rPr>
        <w:t>目　　录</w:t>
      </w:r>
    </w:p>
    <w:p>
      <w:pPr>
        <w:snapToGrid w:val="0"/>
        <w:spacing w:lineRule="auto" w:line="300" w:before="0" w:after="0"/>
        <w:jc w:val="left"/>
        <w:ind w:firstLineChars="0" w:firstLine="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fldChar w:fldCharType="begin"/>
        <w:instrText xml:space="preserve"> TOC \o "1-3" \h \z \u </w:instrText>
        <w:fldChar w:fldCharType="separate"/>
        <w:t>（在 Word 中右键此处选择“更新域”生成目录）</w:t>
        <w:fldChar w:fldCharType="end"/>
      </w:r>
    </w:p>
    <w:p>
      <w:pPr>
        <w:sectPr>
          <w:headerReference w:type="default" r:id="rId26"/>
          <w:headerReference w:type="even" r:id="rId27"/>
          <w:headerReference w:type="first" r:id="rId28"/>
          <w:footerReference w:type="default" r:id="rId29"/>
          <w:footerReference w:type="even" r:id="rId30"/>
          <w:footerReference w:type="first" r:id="rId31"/>
          <w:pgSz w:w="11906" w:h="16838"/>
          <w:pgMar w:top="1984" w:right="1417" w:bottom="1417" w:left="1417" w:header="1417" w:footer="1134" w:gutter="0"/>
          <w:cols w:space="720"/>
          <w:docGrid w:linePitch="360"/>
          <w:pgNumType w:fmt="decimal"/>
        </w:sectPr>
      </w:pPr>
    </w:p>
    <w:p>
      <w:pPr>
        <w:pStyle w:val="Heading1"/>
        <w:keepNext/>
        <w:pageBreakBefore/>
      </w:pPr>
      <w:r>
        <w:rPr>
          <w:rFonts w:ascii="Times New Roman" w:hAnsi="Times New Roman" w:eastAsia="黑体" w:cs="Times New Roman"/>
        </w:rPr>
        <w:t>1  绪论</w:t>
      </w:r>
    </w:p>
    <w:p>
      <w:pPr>
        <w:pStyle w:val="Heading2"/>
        <w:keepNext/>
      </w:pPr>
      <w:r>
        <w:rPr>
          <w:rFonts w:ascii="Times New Roman" w:hAnsi="Times New Roman" w:eastAsia="黑体" w:cs="Times New Roman"/>
        </w:rPr>
        <w:t>1.1  研究背景与意义</w:t>
      </w:r>
    </w:p>
    <w:p>
      <w:pPr>
        <w:snapToGrid w:val="0"/>
        <w:spacing w:lineRule="auto" w:line="300" w:before="0" w:after="0"/>
        <w:jc w:val="both"/>
        <w:ind w:firstLineChars="200" w:firstLine="48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随着高分辨率遥感卫星技术的迅速发展，遥感图像的获取成本不断降低，数据量呈指数级增长。如何从海量遥感数据中快速、准确地定位感兴趣目标，已成为遥感信息处理领域的核心问题之一[1]。</w:t>
      </w:r>
    </w:p>
    <w:p>
      <w:pPr>
        <w:snapToGrid w:val="0"/>
        <w:spacing w:lineRule="auto" w:line="300" w:before="0" w:after="0"/>
        <w:jc w:val="both"/>
        <w:ind w:firstLineChars="200" w:firstLine="48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与自然场景图像不同，遥感图像通常具有以下特点：一是成像视角为俯视，目标缺乏明显的姿态先验；二是目标尺度跨度极大，同一类目标在不同分辨率下的像素面积可能相差两个数量级[2-3]；三是背景纹理复杂，地物类别之间存在显著的类间相似性。上述特点使得通用目标检测器直接迁移到遥感场景时性能明显下降。</w:t>
      </w:r>
    </w:p>
    <w:p>
      <w:pPr>
        <w:pStyle w:val="Heading3"/>
        <w:keepNext/>
      </w:pPr>
      <w:r>
        <w:rPr>
          <w:rFonts w:ascii="Times New Roman" w:hAnsi="Times New Roman" w:eastAsia="黑体" w:cs="Times New Roman"/>
        </w:rPr>
        <w:t>1.1.1  国内外研究现状</w:t>
      </w:r>
    </w:p>
    <w:p>
      <w:pPr>
        <w:snapToGrid w:val="0"/>
        <w:spacing w:lineRule="auto" w:line="300" w:before="0" w:after="0"/>
        <w:jc w:val="both"/>
        <w:ind w:firstLineChars="200" w:firstLine="48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早期方法主要基于手工特征，如方向梯度直方图与可变形部件模型。这类方法依赖先验的模板设计，对目标形变与背景变化的鲁棒性较差[4]。随着卷积神经网络的兴起，基于锚框的两阶段与单阶段检测器逐步成为主流，并在多个遥感数据集上取得了显著进展。</w:t>
      </w:r>
    </w:p>
    <w:p>
      <w:pPr>
        <w:snapToGrid w:val="0"/>
        <w:spacing w:lineRule="auto" w:line="300" w:before="0" w:after="0"/>
        <w:jc w:val="both"/>
        <w:ind w:firstLineChars="200" w:firstLine="48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近年来，研究者开始关注小目标检测这一子问题。常见思路包括：提高输入分辨率、设计更密集的锚框、引入特征金字塔的多尺度融合，以及在损失函数中增加针对小目标的权重[5]。然而，这些方法大多以增加计算量为代价，难以兼顾精度与效率。</w:t>
      </w:r>
    </w:p>
    <w:p>
      <w:pPr>
        <w:pStyle w:val="Heading1"/>
        <w:keepNext/>
        <w:pageBreakBefore/>
      </w:pPr>
      <w:r>
        <w:rPr>
          <w:rFonts w:ascii="Times New Roman" w:hAnsi="Times New Roman" w:eastAsia="黑体" w:cs="Times New Roman"/>
        </w:rPr>
        <w:t>2  相关理论与方法</w:t>
      </w:r>
    </w:p>
    <w:p>
      <w:pPr>
        <w:pStyle w:val="Heading2"/>
        <w:keepNext/>
      </w:pPr>
      <w:r>
        <w:rPr>
          <w:rFonts w:ascii="Times New Roman" w:hAnsi="Times New Roman" w:eastAsia="黑体" w:cs="Times New Roman"/>
        </w:rPr>
        <w:t>2.1  特征金字塔网络</w:t>
      </w:r>
    </w:p>
    <w:p>
      <w:pPr>
        <w:snapToGrid w:val="0"/>
        <w:spacing w:lineRule="auto" w:line="300" w:before="0" w:after="0"/>
        <w:jc w:val="both"/>
        <w:ind w:firstLineChars="200" w:firstLine="48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特征金字塔网络（FPN）通过自顶向下的路径与横向连接，将高层语义信息传递给浅层特征，从而在多个尺度上获得兼具语义与空间细节的特征表示。不同方法在公开数据集上的性能对比如表 2.1 所示。</w:t>
      </w:r>
    </w:p>
    <w:p>
      <w:pPr>
        <w:snapToGrid w:val="0"/>
        <w:spacing w:lineRule="exact" w:line="500" w:before="0" w:after="0"/>
        <w:ind w:firstLineChars="0" w:firstLine="0"/>
      </w:pPr>
    </w:p>
    <w:p>
      <w:pPr>
        <w:snapToGrid w:val="0"/>
        <w:spacing w:lineRule="auto" w:line="240" w:before="60" w:after="0"/>
        <w:jc w:val="center"/>
        <w:ind w:firstLineChars="0" w:firstLine="0"/>
        <w:keepLines/>
      </w:pPr>
      <w:r>
        <w:rPr>
          <w:rFonts w:ascii="Times New Roman" w:hAnsi="Times New Roman" w:eastAsia="宋体" w:cs="Times New Roman"/>
          <w:sz w:val="21"/>
          <w:b w:val="0"/>
          <w:i w:val="0"/>
          <w:u w:val="none"/>
        </w:rPr>
        <w:t>表 2.1  不同方法在公开数据集上的性能对比</w:t>
      </w:r>
    </w:p>
    <w:p>
      <w:pPr>
        <w:snapToGrid w:val="0"/>
        <w:spacing w:lineRule="auto" w:line="240" w:before="0" w:after="60"/>
        <w:jc w:val="center"/>
        <w:ind w:firstLineChars="0" w:firstLine="0"/>
        <w:keepLines/>
      </w:pPr>
      <w:r>
        <w:rPr>
          <w:rFonts w:ascii="Times New Roman" w:hAnsi="Times New Roman" w:eastAsia="Times New Roman" w:cs="Times New Roman"/>
          <w:sz w:val="21"/>
          <w:b w:val="0"/>
          <w:i w:val="0"/>
          <w:u w:val="none"/>
        </w:rPr>
        <w:t>Tab. 2.1  Performance comparison of different methods on public datasets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28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1"/>
                <w:i w:val="0"/>
                <w:u w:val="none"/>
              </w:rPr>
              <w:t>方法</w:t>
            </w:r>
          </w:p>
        </w:tc>
        <w:tc>
          <w:tcPr>
            <w:tcW w:type="dxa" w:w="1814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1"/>
                <w:i w:val="0"/>
                <w:u w:val="none"/>
              </w:rPr>
              <w:t>主干网络</w:t>
            </w:r>
          </w:p>
        </w:tc>
        <w:tc>
          <w:tcPr>
            <w:tcW w:type="dxa" w:w="1474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1"/>
                <w:i w:val="0"/>
                <w:u w:val="none"/>
              </w:rPr>
              <w:t>mAP/%</w:t>
            </w:r>
          </w:p>
        </w:tc>
        <w:tc>
          <w:tcPr>
            <w:tcW w:type="dxa" w:w="2041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1"/>
                <w:i w:val="0"/>
                <w:u w:val="none"/>
              </w:rPr>
              <w:t>小目标召回/%</w:t>
            </w:r>
          </w:p>
        </w:tc>
        <w:tc>
          <w:tcPr>
            <w:tcW w:type="dxa" w:w="1814"/>
            <w:tcBorders>
              <w:top w:val="single" w:sz="12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1"/>
                <w:i w:val="0"/>
                <w:u w:val="none"/>
              </w:rPr>
              <w:t>参数量/M</w:t>
            </w:r>
          </w:p>
        </w:tc>
      </w:tr>
      <w:tr>
        <w:tc>
          <w:tcPr>
            <w:tcW w:type="dxa" w:w="1928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Faster R-CNN</w:t>
            </w:r>
          </w:p>
        </w:tc>
        <w:tc>
          <w:tcPr>
            <w:tcW w:type="dxa" w:w="1814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ResNet-50</w:t>
            </w:r>
          </w:p>
        </w:tc>
        <w:tc>
          <w:tcPr>
            <w:tcW w:type="dxa" w:w="1474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74.21</w:t>
            </w:r>
          </w:p>
        </w:tc>
        <w:tc>
          <w:tcPr>
            <w:tcW w:type="dxa" w:w="2041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48.3</w:t>
            </w:r>
          </w:p>
        </w:tc>
        <w:tc>
          <w:tcPr>
            <w:tcW w:type="dxa" w:w="1814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41.5</w:t>
            </w:r>
          </w:p>
        </w:tc>
      </w:tr>
      <w:tr>
        <w:tc>
          <w:tcPr>
            <w:tcW w:type="dxa" w:w="1928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RetinaNet</w:t>
            </w:r>
          </w:p>
        </w:tc>
        <w:tc>
          <w:tcPr>
            <w:tcW w:type="dxa" w:w="1814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ResNet-50</w:t>
            </w:r>
          </w:p>
        </w:tc>
        <w:tc>
          <w:tcPr>
            <w:tcW w:type="dxa" w:w="1474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75.86</w:t>
            </w:r>
          </w:p>
        </w:tc>
        <w:tc>
          <w:tcPr>
            <w:tcW w:type="dxa" w:w="2041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50.1</w:t>
            </w:r>
          </w:p>
        </w:tc>
        <w:tc>
          <w:tcPr>
            <w:tcW w:type="dxa" w:w="1814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37.8</w:t>
            </w:r>
          </w:p>
        </w:tc>
      </w:tr>
      <w:tr>
        <w:tc>
          <w:tcPr>
            <w:tcW w:type="dxa" w:w="1928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YOLOv5s</w:t>
            </w:r>
          </w:p>
        </w:tc>
        <w:tc>
          <w:tcPr>
            <w:tcW w:type="dxa" w:w="1814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CSPDarknet</w:t>
            </w:r>
          </w:p>
        </w:tc>
        <w:tc>
          <w:tcPr>
            <w:tcW w:type="dxa" w:w="1474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76.93</w:t>
            </w:r>
          </w:p>
        </w:tc>
        <w:tc>
          <w:tcPr>
            <w:tcW w:type="dxa" w:w="2041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51.7</w:t>
            </w:r>
          </w:p>
        </w:tc>
        <w:tc>
          <w:tcPr>
            <w:tcW w:type="dxa" w:w="1814"/>
            <w:tcBorders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7.2</w:t>
            </w:r>
          </w:p>
        </w:tc>
      </w:tr>
      <w:tr>
        <w:tc>
          <w:tcPr>
            <w:tcW w:type="dxa" w:w="1928"/>
            <w:tcBorders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本文方法</w:t>
            </w:r>
          </w:p>
        </w:tc>
        <w:tc>
          <w:tcPr>
            <w:tcW w:type="dxa" w:w="1814"/>
            <w:tcBorders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ResNet-50</w:t>
            </w:r>
          </w:p>
        </w:tc>
        <w:tc>
          <w:tcPr>
            <w:tcW w:type="dxa" w:w="1474"/>
            <w:tcBorders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78.42</w:t>
            </w:r>
          </w:p>
        </w:tc>
        <w:tc>
          <w:tcPr>
            <w:tcW w:type="dxa" w:w="2041"/>
            <w:tcBorders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55.4</w:t>
            </w:r>
          </w:p>
        </w:tc>
        <w:tc>
          <w:tcPr>
            <w:tcW w:type="dxa" w:w="1814"/>
            <w:tcBorders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napToGrid w:val="0"/>
              <w:spacing w:lineRule="auto" w:line="300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 w:cs="Times New Roman"/>
                <w:sz w:val="21"/>
                <w:b w:val="0"/>
                <w:i w:val="0"/>
                <w:u w:val="none"/>
              </w:rPr>
              <w:t>26.1</w:t>
            </w:r>
          </w:p>
        </w:tc>
      </w:tr>
    </w:tbl>
    <w:p>
      <w:pPr>
        <w:snapToGrid w:val="0"/>
        <w:spacing w:lineRule="exact" w:line="500" w:before="0" w:after="0"/>
        <w:ind w:firstLineChars="0" w:firstLine="0"/>
      </w:pPr>
    </w:p>
    <w:p>
      <w:pPr>
        <w:snapToGrid w:val="0"/>
        <w:spacing w:lineRule="auto" w:line="300" w:before="0" w:after="0"/>
        <w:jc w:val="both"/>
        <w:ind w:firstLineChars="200" w:firstLine="48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由表 2.1 可见，本文方法在参数量与基线模型基本持平的前提下，在小目标召回率上取得了最明显的提升。所提双向特征融合模块的结构如图 2.1 所示。</w:t>
      </w:r>
    </w:p>
    <w:p>
      <w:pPr>
        <w:snapToGrid w:val="0"/>
        <w:spacing w:lineRule="exact" w:line="500" w:before="0" w:after="0"/>
        <w:ind w:firstLineChars="0" w:firstLine="0"/>
      </w:pPr>
    </w:p>
    <w:p>
      <w:pPr>
        <w:snapToGrid w:val="0"/>
        <w:spacing w:lineRule="auto" w:line="240" w:before="0" w:after="0"/>
        <w:jc w:val="center"/>
        <w:ind w:firstLineChars="0" w:firstLine="0"/>
        <w:keepNext/>
      </w:pPr>
      <w:r>
        <w:drawing>
          <wp:inline xmlns:a="http://schemas.openxmlformats.org/drawingml/2006/main" xmlns:pic="http://schemas.openxmlformats.org/drawingml/2006/picture">
            <wp:extent cx="3960000" cy="16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Rule="auto" w:line="240" w:before="60" w:after="0"/>
        <w:jc w:val="center"/>
        <w:ind w:firstLineChars="0" w:firstLine="0"/>
        <w:keepLines/>
      </w:pPr>
      <w:r>
        <w:rPr>
          <w:rFonts w:ascii="Times New Roman" w:hAnsi="Times New Roman" w:eastAsia="宋体" w:cs="Times New Roman"/>
          <w:sz w:val="21"/>
          <w:b w:val="0"/>
          <w:i w:val="0"/>
          <w:u w:val="none"/>
        </w:rPr>
        <w:t>图 2.1  双向特征融合模块结构示意图</w:t>
      </w:r>
    </w:p>
    <w:p>
      <w:pPr>
        <w:snapToGrid w:val="0"/>
        <w:spacing w:lineRule="auto" w:line="240" w:before="0" w:after="60"/>
        <w:jc w:val="center"/>
        <w:ind w:firstLineChars="0" w:firstLine="0"/>
        <w:keepLines/>
      </w:pPr>
      <w:r>
        <w:rPr>
          <w:rFonts w:ascii="Times New Roman" w:hAnsi="Times New Roman" w:eastAsia="Times New Roman" w:cs="Times New Roman"/>
          <w:sz w:val="21"/>
          <w:b w:val="0"/>
          <w:i w:val="0"/>
          <w:u w:val="none"/>
        </w:rPr>
        <w:t>Fig. 2.1  Architecture of the bidirectional feature fusion module</w:t>
      </w:r>
    </w:p>
    <w:p>
      <w:pPr>
        <w:pStyle w:val="Heading1"/>
        <w:keepNext/>
        <w:pageBreakBefore/>
      </w:pPr>
      <w:r>
        <w:rPr>
          <w:rFonts w:ascii="Times New Roman" w:hAnsi="Times New Roman" w:eastAsia="黑体" w:cs="Times New Roman"/>
        </w:rPr>
        <w:t>3  实验结果与分析</w:t>
      </w:r>
    </w:p>
    <w:p>
      <w:pPr>
        <w:pStyle w:val="Heading2"/>
        <w:keepNext/>
      </w:pPr>
      <w:r>
        <w:rPr>
          <w:rFonts w:ascii="Times New Roman" w:hAnsi="Times New Roman" w:eastAsia="黑体" w:cs="Times New Roman"/>
        </w:rPr>
        <w:t>3.1  实验设置</w:t>
      </w:r>
    </w:p>
    <w:p>
      <w:pPr>
        <w:snapToGrid w:val="0"/>
        <w:spacing w:lineRule="auto" w:line="300" w:before="0" w:after="0"/>
        <w:jc w:val="both"/>
        <w:ind w:firstLineChars="200" w:firstLine="48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实验在 NVIDIA A100 上完成，采用 PyTorch 框架。输入图像统一缩放至1024×1024，批次大小为 8，初始学习率设为 0.01，共训练 36 个 epoch。评价指标采用 COCO 标准下的 mAP@0.5:0.95。</w:t>
      </w:r>
    </w:p>
    <w:p>
      <w:pPr>
        <w:sectPr>
          <w:headerReference w:type="default" r:id="rId32"/>
          <w:headerReference w:type="even" r:id="rId33"/>
          <w:headerReference w:type="first" r:id="rId34"/>
          <w:footerReference w:type="default" r:id="rId35"/>
          <w:footerReference w:type="even" r:id="rId36"/>
          <w:footerReference w:type="first" r:id="rId37"/>
          <w:pgSz w:w="11906" w:h="16838"/>
          <w:pgMar w:top="1984" w:right="1417" w:bottom="1417" w:left="1417" w:header="1417" w:footer="1134" w:gutter="0"/>
          <w:cols w:space="720"/>
          <w:docGrid w:linePitch="360"/>
          <w:pgNumType w:fmt="decimal"/>
        </w:sectPr>
      </w:pPr>
    </w:p>
    <w:p>
      <w:pPr>
        <w:snapToGrid w:val="0"/>
        <w:spacing w:lineRule="auto" w:line="360" w:before="0" w:after="240"/>
        <w:jc w:val="center"/>
        <w:ind w:left="0" w:firstLineChars="0" w:firstLine="0"/>
        <w:outlineLvl w:val="0"/>
        <w:keepNext/>
      </w:pPr>
      <w:r>
        <w:rPr>
          <w:rFonts w:ascii="Times New Roman" w:hAnsi="Times New Roman" w:eastAsia="黑体" w:cs="Times New Roman"/>
          <w:sz w:val="30"/>
          <w:b w:val="1"/>
          <w:i w:val="0"/>
          <w:u w:val="none"/>
        </w:rPr>
        <w:t>参 考 文 献</w:t>
      </w:r>
    </w:p>
    <w:p>
      <w:pPr>
        <w:snapToGrid w:val="0"/>
        <w:spacing w:lineRule="auto" w:line="300" w:before="0" w:after="0"/>
        <w:jc w:val="both"/>
        <w:ind w:left="170" w:hanging="170" w:hangingChars="170"/>
      </w:pPr>
      <w:r>
        <w:rPr>
          <w:rFonts w:ascii="Times New Roman" w:hAnsi="Times New Roman" w:eastAsia="宋体" w:cs="Times New Roman"/>
          <w:sz w:val="21"/>
          <w:b w:val="0"/>
          <w:i w:val="0"/>
          <w:u w:val="none"/>
        </w:rPr>
        <w:t>[1] Zhang X, Wang Y, Li J. A survey on small object detection in remote sensing imagery[J]. IEEE Transactions on Geoscience and Remote Sensing, 2022, 60: 1-21.</w:t>
      </w:r>
    </w:p>
    <w:p>
      <w:pPr>
        <w:snapToGrid w:val="0"/>
        <w:spacing w:lineRule="auto" w:line="300" w:before="0" w:after="0"/>
        <w:jc w:val="both"/>
        <w:ind w:left="170" w:hanging="170" w:hangingChars="170"/>
      </w:pPr>
      <w:r>
        <w:rPr>
          <w:rFonts w:ascii="Times New Roman" w:hAnsi="Times New Roman" w:eastAsia="宋体" w:cs="Times New Roman"/>
          <w:sz w:val="21"/>
          <w:b w:val="0"/>
          <w:i w:val="0"/>
          <w:u w:val="none"/>
        </w:rPr>
        <w:t>[2] Li H, Chen S. Multi-scale feature fusion for aerial object detection[J]. Remote Sensing, 2021, 13(9): 1721.</w:t>
      </w:r>
    </w:p>
    <w:p>
      <w:pPr>
        <w:snapToGrid w:val="0"/>
        <w:spacing w:lineRule="auto" w:line="300" w:before="0" w:after="0"/>
        <w:jc w:val="both"/>
        <w:ind w:left="170" w:hanging="170" w:hangingChars="170"/>
      </w:pPr>
      <w:r>
        <w:rPr>
          <w:rFonts w:ascii="Times New Roman" w:hAnsi="Times New Roman" w:eastAsia="宋体" w:cs="Times New Roman"/>
          <w:sz w:val="21"/>
          <w:b w:val="0"/>
          <w:i w:val="0"/>
          <w:u w:val="none"/>
        </w:rPr>
        <w:t>[3] 刘洋, 陈明, 王强. 基于注意力机制的遥感图像小目标检测[J]. 电子学报, 2023, 51(4): 892-901.</w:t>
      </w:r>
    </w:p>
    <w:p>
      <w:pPr>
        <w:snapToGrid w:val="0"/>
        <w:spacing w:lineRule="auto" w:line="300" w:before="0" w:after="0"/>
        <w:jc w:val="both"/>
        <w:ind w:left="170" w:hanging="170" w:hangingChars="170"/>
      </w:pPr>
      <w:r>
        <w:rPr>
          <w:rFonts w:ascii="Times New Roman" w:hAnsi="Times New Roman" w:eastAsia="宋体" w:cs="Times New Roman"/>
          <w:sz w:val="21"/>
          <w:b w:val="0"/>
          <w:i w:val="0"/>
          <w:u w:val="none"/>
        </w:rPr>
        <w:t>[4] Zhao K, Liu Q. Deformable part models revisited[J]. Pattern Recognition, 2020, 103: 107-118.</w:t>
      </w:r>
    </w:p>
    <w:p>
      <w:pPr>
        <w:snapToGrid w:val="0"/>
        <w:spacing w:lineRule="auto" w:line="300" w:before="0" w:after="0"/>
        <w:jc w:val="both"/>
        <w:ind w:left="170" w:hanging="170" w:hangingChars="170"/>
      </w:pPr>
      <w:r>
        <w:rPr>
          <w:rFonts w:ascii="Times New Roman" w:hAnsi="Times New Roman" w:eastAsia="宋体" w:cs="Times New Roman"/>
          <w:sz w:val="21"/>
          <w:b w:val="0"/>
          <w:i w:val="0"/>
          <w:u w:val="none"/>
        </w:rPr>
        <w:t>[5] Sun M, Zhou B. Loss reweighting for tiny object detection[C]. Proceedings of the IEEE/CVF Conference on Computer Vision and Pattern Recognition, 2021: 12345-12354.</w:t>
      </w:r>
    </w:p>
    <w:p>
      <w:pPr>
        <w:sectPr>
          <w:headerReference w:type="default" r:id="rId39"/>
          <w:headerReference w:type="even" r:id="rId40"/>
          <w:headerReference w:type="first" r:id="rId41"/>
          <w:footerReference w:type="default" r:id="rId42"/>
          <w:footerReference w:type="even" r:id="rId43"/>
          <w:footerReference w:type="first" r:id="rId44"/>
          <w:pgSz w:w="11906" w:h="16838"/>
          <w:pgMar w:top="1984" w:right="1417" w:bottom="1417" w:left="1417" w:header="1417" w:footer="1134" w:gutter="0"/>
          <w:cols w:space="720"/>
          <w:docGrid w:linePitch="360"/>
          <w:pgNumType w:fmt="decimal"/>
        </w:sectPr>
      </w:pPr>
    </w:p>
    <w:p>
      <w:pPr>
        <w:snapToGrid w:val="0"/>
        <w:spacing w:lineRule="auto" w:line="360" w:before="0" w:after="240"/>
        <w:jc w:val="center"/>
        <w:ind w:left="0" w:firstLineChars="0" w:firstLine="0"/>
        <w:outlineLvl w:val="0"/>
        <w:keepNext/>
      </w:pPr>
      <w:r>
        <w:rPr>
          <w:rFonts w:ascii="Times New Roman" w:hAnsi="Times New Roman" w:eastAsia="黑体" w:cs="Times New Roman"/>
          <w:sz w:val="30"/>
          <w:b w:val="1"/>
          <w:i w:val="0"/>
          <w:u w:val="none"/>
        </w:rPr>
        <w:t>致　　谢</w:t>
      </w:r>
    </w:p>
    <w:p>
      <w:pPr>
        <w:snapToGrid w:val="0"/>
        <w:spacing w:lineRule="auto" w:line="300" w:before="0" w:after="0"/>
        <w:jc w:val="both"/>
        <w:ind w:firstLineChars="200" w:firstLine="480"/>
      </w:pPr>
      <w:r>
        <w:rPr>
          <w:rFonts w:ascii="Times New Roman" w:hAnsi="Times New Roman" w:eastAsia="宋体" w:cs="Times New Roman"/>
          <w:sz w:val="24"/>
          <w:b w:val="0"/>
          <w:i w:val="0"/>
          <w:u w:val="none"/>
        </w:rPr>
        <w:t>衷心感谢导师李四教授在选题、研究方案与论文撰写过程中给予的悉心指导。感谢实验室各位同学在实验与讨论中提供的帮助。感谢家人一直以来的理解与支持。</w:t>
      </w:r>
    </w:p>
    <w:sectPr w:rsidR="00FC693F" w:rsidRPr="0006063C" w:rsidSect="00034616">
      <w:headerReference w:type="default" r:id="rId45"/>
      <w:headerReference w:type="even" r:id="rId46"/>
      <w:headerReference w:type="first" r:id="rId47"/>
      <w:footerReference w:type="default" r:id="rId48"/>
      <w:footerReference w:type="even" r:id="rId49"/>
      <w:footerReference w:type="first" r:id="rId50"/>
      <w:pgSz w:w="11906" w:h="16838"/>
      <w:pgMar w:top="1984" w:right="1417" w:bottom="1417" w:left="1417" w:header="1417" w:footer="1134" w:gutter="0"/>
      <w:cols w:space="720"/>
      <w:docGrid w:linePitch="36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华文行楷" w:hAnsi="华文行楷" w:eastAsia="华文行楷" w:cs="华文行楷"/>
        <w:sz w:val="36"/>
        <w:b w:val="0"/>
        <w:i w:val="0"/>
        <w:u w:val="none"/>
      </w:rPr>
      <w:t>大连理工大学</w:t>
    </w:r>
  </w:p>
  <w:p>
    <w:pPr>
      <w:snapToGrid w:val="0"/>
      <w:spacing w:lineRule="auto" w:line="240" w:before="0" w:after="0"/>
      <w:jc w:val="center"/>
      <w:ind w:firstLineChars="0" w:firstLine="0"/>
    </w:pPr>
    <w:r>
      <w:rPr>
        <w:rFonts w:ascii="Times New Roman" w:hAnsi="Times New Roman" w:eastAsia="Times New Roman" w:cs="Times New Roman"/>
        <w:sz w:val="24"/>
        <w:b w:val="0"/>
        <w:i w:val="0"/>
        <w:u w:val="none"/>
      </w:rPr>
      <w:t>Dalian University of Technology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华文行楷" w:hAnsi="华文行楷" w:eastAsia="华文行楷" w:cs="华文行楷"/>
        <w:sz w:val="36"/>
        <w:b w:val="0"/>
        <w:i w:val="0"/>
        <w:u w:val="none"/>
      </w:rPr>
      <w:t>大连理工大学</w:t>
    </w:r>
  </w:p>
  <w:p>
    <w:pPr>
      <w:snapToGrid w:val="0"/>
      <w:spacing w:lineRule="auto" w:line="240" w:before="0" w:after="0"/>
      <w:jc w:val="center"/>
      <w:ind w:firstLineChars="0" w:firstLine="0"/>
    </w:pPr>
    <w:r>
      <w:rPr>
        <w:rFonts w:ascii="Times New Roman" w:hAnsi="Times New Roman" w:eastAsia="Times New Roman" w:cs="Times New Roman"/>
        <w:sz w:val="24"/>
        <w:b w:val="0"/>
        <w:i w:val="0"/>
        <w:u w:val="none"/>
      </w:rPr>
      <w:t>Dalian University of Technology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Foot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- </w:t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sz w:val="18"/>
        <w:b w:val="0"/>
        <w:i w:val="0"/>
        <w:u w:val="none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大连理工大学硕士学位论文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基于深度学习的遥感小目标检测方法研究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大连理工大学硕士学位论文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大连理工大学硕士学位论文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基于深度学习的遥感小目标检测方法研究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大连理工大学硕士学位论文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大连理工大学硕士学位论文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基于深度学习的遥感小目标检测方法研究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大连理工大学硕士学位论文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大连理工大学硕士学位论文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基于深度学习的遥感小目标检测方法研究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大连理工大学硕士学位论文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大连理工大学硕士学位论文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基于深度学习的遥感小目标检测方法研究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大连理工大学硕士学位论文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大连理工大学硕士学位论文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基于深度学习的遥感小目标检测方法研究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napToGrid w:val="0"/>
      <w:pStyle w:val="Header"/>
      <w:spacing w:lineRule="auto" w:line="240" w:before="0" w:after="0"/>
      <w:jc w:val="center"/>
      <w:ind w:firstLineChars="0" w:firstLine="0"/>
    </w:pPr>
    <w:r>
      <w:rPr>
        <w:rFonts w:ascii="Times New Roman" w:hAnsi="Times New Roman" w:eastAsia="宋体" w:cs="Times New Roman"/>
        <w:sz w:val="21"/>
        <w:b w:val="0"/>
        <w:i w:val="0"/>
        <w:u w:val="none"/>
      </w:rPr>
      <w:t>大连理工大学硕士学位论文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basedOn w:val="Normal"/>
    <w:qFormat/>
    <w:rsid w:val="00FC693F"/>
    <w:pPr>
      <w:spacing w:line="300" w:lineRule="auto" w:before="0" w:after="0"/>
      <w:jc w:val="both"/>
      <w:ind w:firstLineChars="200" w:firstLine="480" w:left="0"/>
    </w:pPr>
    <w:rPr>
      <w:rFonts w:ascii="Times New Roman" w:hAnsi="Times New Roman" w:eastAsia="宋体"/>
      <w:sz w:val="24"/>
      <w:b w:val="0"/>
      <w:bCs w:val="0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 w:beforeLines="0" w:afterLines="100"/>
      <w:jc w:val="left"/>
      <w:ind w:firstLineChars="0" w:firstLine="0" w:left="0"/>
      <w:outlineLvl w:val="0"/>
    </w:pPr>
    <w:rPr>
      <w:rFonts w:asciiTheme="majorHAnsi" w:eastAsiaTheme="majorEastAsia" w:hAnsiTheme="majorHAnsi" w:cstheme="majorBidi" w:ascii="Times New Roman" w:hAnsi="Times New Roman" w:eastAsia="黑体"/>
      <w:sz w:val="32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360" w:lineRule="auto" w:beforeLines="50" w:afterLines="0"/>
      <w:jc w:val="left"/>
      <w:ind w:firstLineChars="0" w:firstLine="0" w:left="0"/>
      <w:outlineLvl w:val="1"/>
    </w:pPr>
    <w:rPr>
      <w:rFonts w:asciiTheme="majorHAnsi" w:eastAsiaTheme="majorEastAsia" w:hAnsiTheme="majorHAnsi" w:cstheme="majorBidi" w:ascii="Times New Roman" w:hAnsi="Times New Roman" w:eastAsia="黑体"/>
      <w:sz w:val="28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360" w:lineRule="auto" w:beforeLines="50" w:afterLines="0"/>
      <w:jc w:val="left"/>
      <w:ind w:firstLineChars="0" w:firstLine="0" w:left="0"/>
      <w:outlineLvl w:val="2"/>
    </w:pPr>
    <w:rPr>
      <w:rFonts w:asciiTheme="majorHAnsi" w:eastAsiaTheme="majorEastAsia" w:hAnsiTheme="majorHAnsi" w:cstheme="majorBidi" w:ascii="Times New Roman" w:hAnsi="Times New Roman" w:eastAsia="黑体"/>
      <w:sz w:val="24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jc w:val="center"/>
      <w:ind w:firstLineChars="0" w:firstLine="0" w:left="0"/>
    </w:pPr>
    <w:rPr>
      <w:rFonts w:ascii="Times New Roman" w:hAnsi="Times New Roman" w:eastAsia="宋体"/>
      <w:sz w:val="21"/>
      <w:szCs w:val="18"/>
      <w:b w:val="0"/>
      <w:bCs w:val="0"/>
      <w:color w:val="00000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摘要题目">
    <w:name w:val="摘要题目"/>
    <w:basedOn w:val="Normal"/>
    <w:pPr>
      <w:spacing w:line="360" w:lineRule="auto" w:before="0" w:after="240"/>
      <w:jc w:val="center"/>
      <w:ind w:firstLineChars="0" w:firstLine="0" w:left="0"/>
    </w:pPr>
    <w:rPr>
      <w:rFonts w:ascii="Times New Roman" w:hAnsi="Times New Roman" w:eastAsia="黑体"/>
      <w:sz w:val="30"/>
      <w:b w:val="1"/>
      <w:bCs w:val="1"/>
      <w:color w:val="000000"/>
    </w:rPr>
  </w:style>
  <w:style w:type="paragraph" w:customStyle="1" w:styleId="ABSTRACT">
    <w:name w:val="ABSTRACT"/>
    <w:basedOn w:val="Normal"/>
    <w:pPr>
      <w:spacing w:line="360" w:lineRule="auto" w:before="0" w:after="240"/>
      <w:jc w:val="center"/>
      <w:ind w:firstLineChars="0" w:firstLine="0" w:left="0"/>
    </w:pPr>
    <w:rPr>
      <w:rFonts w:ascii="Times New Roman" w:hAnsi="Times New Roman" w:eastAsia="Times New Roman"/>
      <w:sz w:val="30"/>
      <w:b w:val="1"/>
      <w:bCs w:val="1"/>
      <w:color w:val="000000"/>
    </w:rPr>
  </w:style>
  <w:style w:type="paragraph" w:customStyle="1" w:styleId="目录">
    <w:name w:val="目录"/>
    <w:basedOn w:val="Normal"/>
    <w:pPr>
      <w:spacing w:line="360" w:lineRule="auto" w:before="0" w:after="240"/>
      <w:jc w:val="center"/>
      <w:ind w:firstLineChars="0" w:firstLine="0" w:left="0"/>
    </w:pPr>
    <w:rPr>
      <w:rFonts w:ascii="Times New Roman" w:hAnsi="Times New Roman" w:eastAsia="黑体"/>
      <w:sz w:val="30"/>
      <w:b w:val="1"/>
      <w:bCs w:val="1"/>
      <w:color w:val="000000"/>
    </w:rPr>
  </w:style>
  <w:style w:type="paragraph" w:customStyle="1" w:styleId="关键词">
    <w:name w:val="关键词"/>
    <w:basedOn w:val="Normal"/>
    <w:pPr>
      <w:spacing w:line="300" w:lineRule="auto" w:before="0" w:after="0"/>
      <w:jc w:val="both"/>
      <w:ind w:firstLineChars="0" w:firstLine="0" w:left="0"/>
    </w:pPr>
    <w:rPr>
      <w:rFonts w:ascii="Times New Roman" w:hAnsi="Times New Roman" w:eastAsia="仿宋_GB2312"/>
      <w:sz w:val="24"/>
      <w:b w:val="0"/>
      <w:bCs w:val="0"/>
      <w:color w:val="000000"/>
    </w:rPr>
  </w:style>
  <w:style w:type="paragraph" w:customStyle="1" w:styleId="关键词题头">
    <w:name w:val="关键词题头"/>
    <w:basedOn w:val="Normal"/>
    <w:pPr>
      <w:spacing w:line="300" w:lineRule="auto" w:before="0" w:after="0"/>
      <w:jc w:val="both"/>
      <w:ind w:firstLineChars="0" w:firstLine="0" w:left="0"/>
    </w:pPr>
    <w:rPr>
      <w:rFonts w:ascii="Times New Roman" w:hAnsi="Times New Roman" w:eastAsia="黑体"/>
      <w:sz w:val="24"/>
      <w:b w:val="0"/>
      <w:bCs w:val="0"/>
      <w:color w:val="000000"/>
    </w:rPr>
  </w:style>
  <w:style w:type="paragraph" w:customStyle="1" w:styleId="英文摘要正文">
    <w:name w:val="英文摘要正文"/>
    <w:basedOn w:val="Normal"/>
    <w:pPr>
      <w:spacing w:line="300" w:lineRule="auto" w:before="0" w:after="0"/>
      <w:jc w:val="both"/>
      <w:ind w:firstLineChars="200" w:firstLine="480" w:left="0"/>
    </w:pPr>
    <w:rPr>
      <w:rFonts w:ascii="Times New Roman" w:hAnsi="Times New Roman" w:eastAsia="Times New Roman"/>
      <w:sz w:val="24"/>
      <w:b w:val="0"/>
      <w:bCs w:val="0"/>
      <w:color w:val="000000"/>
    </w:rPr>
  </w:style>
  <w:style w:type="paragraph" w:customStyle="1" w:styleId="英文关键词">
    <w:name w:val="英文关键词"/>
    <w:basedOn w:val="Normal"/>
    <w:pPr>
      <w:spacing w:line="300" w:lineRule="auto" w:before="0" w:after="0"/>
      <w:jc w:val="both"/>
      <w:ind w:firstLineChars="0" w:firstLine="0" w:left="0"/>
    </w:pPr>
    <w:rPr>
      <w:rFonts w:ascii="Times New Roman" w:hAnsi="Times New Roman" w:eastAsia="Times New Roman"/>
      <w:sz w:val="24"/>
      <w:b w:val="0"/>
      <w:bCs w:val="0"/>
      <w:color w:val="000000"/>
    </w:rPr>
  </w:style>
  <w:style w:type="paragraph" w:customStyle="1" w:styleId="Keywords">
    <w:name w:val="Keywords"/>
    <w:basedOn w:val="Normal"/>
    <w:pPr>
      <w:spacing w:line="300" w:lineRule="auto" w:before="0" w:after="0"/>
      <w:jc w:val="both"/>
      <w:ind w:firstLineChars="0" w:firstLine="0" w:left="0"/>
    </w:pPr>
    <w:rPr>
      <w:rFonts w:ascii="Times New Roman" w:hAnsi="Times New Roman" w:eastAsia="Times New Roman"/>
      <w:sz w:val="24"/>
      <w:b w:val="1"/>
      <w:bCs w:val="1"/>
      <w:color w:val="000000"/>
    </w:rPr>
  </w:style>
  <w:style w:type="paragraph" w:customStyle="1" w:styleId="图名中文">
    <w:name w:val="图名中文"/>
    <w:basedOn w:val="Normal"/>
    <w:pPr>
      <w:spacing w:line="240" w:lineRule="auto" w:before="0" w:after="0"/>
      <w:jc w:val="center"/>
      <w:ind w:firstLineChars="0" w:firstLine="0" w:left="0"/>
    </w:pPr>
    <w:rPr>
      <w:rFonts w:ascii="Times New Roman" w:hAnsi="Times New Roman" w:eastAsia="宋体"/>
      <w:sz w:val="21"/>
      <w:b w:val="0"/>
      <w:bCs w:val="0"/>
      <w:color w:val="000000"/>
    </w:rPr>
  </w:style>
  <w:style w:type="paragraph" w:customStyle="1" w:styleId="图名英文">
    <w:name w:val="图名英文"/>
    <w:basedOn w:val="Normal"/>
    <w:pPr>
      <w:spacing w:line="240" w:lineRule="auto" w:before="0" w:after="0"/>
      <w:jc w:val="center"/>
      <w:ind w:firstLineChars="0" w:firstLine="0" w:left="0"/>
    </w:pPr>
    <w:rPr>
      <w:rFonts w:ascii="Times New Roman" w:hAnsi="Times New Roman" w:eastAsia="Times New Roman"/>
      <w:sz w:val="21"/>
      <w:b w:val="0"/>
      <w:bCs w:val="0"/>
      <w:color w:val="000000"/>
    </w:rPr>
  </w:style>
  <w:style w:type="paragraph" w:customStyle="1" w:styleId="参考文献标题">
    <w:name w:val="参考文献标题"/>
    <w:basedOn w:val="Normal"/>
    <w:pPr>
      <w:spacing w:line="360" w:lineRule="auto" w:before="0" w:after="240"/>
      <w:jc w:val="center"/>
      <w:ind w:firstLineChars="0" w:firstLine="0" w:left="0"/>
      <w:outlineLvl w:val="0"/>
    </w:pPr>
    <w:rPr>
      <w:rFonts w:ascii="Times New Roman" w:hAnsi="Times New Roman" w:eastAsia="黑体"/>
      <w:sz w:val="30"/>
      <w:b w:val="1"/>
      <w:bCs w:val="1"/>
      <w:color w:val="000000"/>
    </w:rPr>
  </w:style>
  <w:style w:type="paragraph" w:customStyle="1" w:styleId="参考文献正文">
    <w:name w:val="参考文献正文"/>
    <w:basedOn w:val="Normal"/>
    <w:pPr>
      <w:spacing w:line="300" w:lineRule="auto" w:before="0" w:after="0"/>
      <w:jc w:val="both"/>
      <w:ind w:firstLineChars="0" w:firstLine="0" w:left="170" w:hangingChars="170" w:hanging="170"/>
    </w:pPr>
    <w:rPr>
      <w:rFonts w:ascii="Times New Roman" w:hAnsi="Times New Roman" w:eastAsia="宋体"/>
      <w:sz w:val="21"/>
      <w:b w:val="0"/>
      <w:bCs w:val="0"/>
      <w:color w:val="000000"/>
    </w:rPr>
  </w:style>
  <w:style w:type="paragraph" w:customStyle="1" w:styleId="公式">
    <w:name w:val="公式"/>
    <w:basedOn w:val="Normal"/>
    <w:pPr>
      <w:spacing w:line="240" w:lineRule="auto" w:before="120" w:after="120"/>
      <w:jc w:val="left"/>
      <w:ind w:firstLineChars="0" w:firstLine="0" w:left="0"/>
    </w:pPr>
    <w:rPr>
      <w:rFonts w:ascii="Times New Roman" w:hAnsi="Times New Roman" w:eastAsia="宋体"/>
      <w:sz w:val="24"/>
      <w:b w:val="0"/>
      <w:bCs w:val="0"/>
      <w:color w:val="000000"/>
    </w:rPr>
  </w:style>
  <w:style w:type="paragraph" w:customStyle="1" w:styleId="附录">
    <w:name w:val="附录"/>
    <w:basedOn w:val="Normal"/>
    <w:pPr>
      <w:spacing w:line="360" w:lineRule="auto" w:before="0" w:after="240"/>
      <w:jc w:val="center"/>
      <w:ind w:firstLineChars="0" w:firstLine="0" w:left="0"/>
    </w:pPr>
    <w:rPr>
      <w:rFonts w:ascii="Times New Roman" w:hAnsi="Times New Roman" w:eastAsia="黑体"/>
      <w:sz w:val="30"/>
      <w:b w:val="1"/>
      <w:bCs w:val="1"/>
      <w:color w:val="000000"/>
    </w:rPr>
  </w:style>
  <w:style w:type="paragraph" w:customStyle="1" w:styleId="致谢">
    <w:name w:val="致谢"/>
    <w:basedOn w:val="Normal"/>
    <w:pPr>
      <w:spacing w:line="360" w:lineRule="auto" w:before="0" w:after="240"/>
      <w:jc w:val="center"/>
      <w:ind w:firstLineChars="0" w:firstLine="0" w:left="0"/>
    </w:pPr>
    <w:rPr>
      <w:rFonts w:ascii="Times New Roman" w:hAnsi="Times New Roman" w:eastAsia="黑体"/>
      <w:sz w:val="30"/>
      <w:b w:val="1"/>
      <w:bCs w:val="1"/>
      <w:color w:val="000000"/>
    </w:rPr>
  </w:style>
  <w:style w:type="paragraph" w:customStyle="1" w:styleId="作者简介">
    <w:name w:val="作者简介"/>
    <w:basedOn w:val="Normal"/>
    <w:pPr>
      <w:spacing w:line="360" w:lineRule="auto" w:before="0" w:after="240"/>
      <w:jc w:val="center"/>
      <w:ind w:firstLineChars="0" w:firstLine="0" w:left="0"/>
    </w:pPr>
    <w:rPr>
      <w:rFonts w:ascii="Times New Roman" w:hAnsi="Times New Roman" w:eastAsia="黑体"/>
      <w:sz w:val="30"/>
      <w:b w:val="1"/>
      <w:bCs w:val="1"/>
      <w:color w:val="000000"/>
    </w:rPr>
  </w:style>
  <w:style w:type="paragraph" w:customStyle="1" w:styleId="授权说明正文">
    <w:name w:val="授权说明正文"/>
    <w:basedOn w:val="Normal"/>
    <w:pPr>
      <w:spacing w:line="300" w:lineRule="auto" w:before="0" w:after="0"/>
      <w:jc w:val="both"/>
      <w:ind w:firstLineChars="200" w:firstLine="480" w:left="0"/>
    </w:pPr>
    <w:rPr>
      <w:rFonts w:ascii="Times New Roman" w:hAnsi="Times New Roman" w:eastAsia="宋体"/>
      <w:sz w:val="24"/>
      <w:b w:val="0"/>
      <w:bCs w:val="0"/>
      <w:color w:val="000000"/>
    </w:rPr>
  </w:style>
  <w:style w:type="paragraph" w:customStyle="1" w:styleId="关键词Char">
    <w:name w:val="关键词 Char"/>
    <w:basedOn w:val="Normal"/>
    <w:pPr>
      <w:spacing w:line="300" w:lineRule="auto" w:before="0" w:after="0"/>
      <w:ind w:firstLineChars="0" w:firstLine="0" w:left="0"/>
    </w:pPr>
    <w:rPr>
      <w:rFonts w:ascii="Times New Roman" w:hAnsi="Times New Roman" w:eastAsia="宋体"/>
      <w:sz w:val="24"/>
      <w:b w:val="0"/>
      <w:bCs w:val="0"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3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header" Target="header7.xml"/><Relationship Id="rId21" Type="http://schemas.openxmlformats.org/officeDocument/2006/relationships/header" Target="header8.xml"/><Relationship Id="rId22" Type="http://schemas.openxmlformats.org/officeDocument/2006/relationships/header" Target="header9.xml"/><Relationship Id="rId23" Type="http://schemas.openxmlformats.org/officeDocument/2006/relationships/footer" Target="footer6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header" Target="header10.xml"/><Relationship Id="rId27" Type="http://schemas.openxmlformats.org/officeDocument/2006/relationships/header" Target="header11.xml"/><Relationship Id="rId28" Type="http://schemas.openxmlformats.org/officeDocument/2006/relationships/header" Target="header12.xml"/><Relationship Id="rId29" Type="http://schemas.openxmlformats.org/officeDocument/2006/relationships/footer" Target="footer9.xml"/><Relationship Id="rId30" Type="http://schemas.openxmlformats.org/officeDocument/2006/relationships/footer" Target="footer10.xml"/><Relationship Id="rId31" Type="http://schemas.openxmlformats.org/officeDocument/2006/relationships/footer" Target="footer11.xml"/><Relationship Id="rId32" Type="http://schemas.openxmlformats.org/officeDocument/2006/relationships/header" Target="header13.xml"/><Relationship Id="rId33" Type="http://schemas.openxmlformats.org/officeDocument/2006/relationships/header" Target="header14.xml"/><Relationship Id="rId34" Type="http://schemas.openxmlformats.org/officeDocument/2006/relationships/header" Target="header15.xml"/><Relationship Id="rId35" Type="http://schemas.openxmlformats.org/officeDocument/2006/relationships/footer" Target="footer12.xml"/><Relationship Id="rId36" Type="http://schemas.openxmlformats.org/officeDocument/2006/relationships/footer" Target="footer13.xml"/><Relationship Id="rId37" Type="http://schemas.openxmlformats.org/officeDocument/2006/relationships/footer" Target="footer14.xml"/><Relationship Id="rId38" Type="http://schemas.openxmlformats.org/officeDocument/2006/relationships/image" Target="media/image1.png"/><Relationship Id="rId39" Type="http://schemas.openxmlformats.org/officeDocument/2006/relationships/header" Target="header16.xml"/><Relationship Id="rId40" Type="http://schemas.openxmlformats.org/officeDocument/2006/relationships/header" Target="header17.xml"/><Relationship Id="rId41" Type="http://schemas.openxmlformats.org/officeDocument/2006/relationships/header" Target="header18.xml"/><Relationship Id="rId42" Type="http://schemas.openxmlformats.org/officeDocument/2006/relationships/footer" Target="footer15.xml"/><Relationship Id="rId43" Type="http://schemas.openxmlformats.org/officeDocument/2006/relationships/footer" Target="footer16.xml"/><Relationship Id="rId44" Type="http://schemas.openxmlformats.org/officeDocument/2006/relationships/footer" Target="footer17.xml"/><Relationship Id="rId45" Type="http://schemas.openxmlformats.org/officeDocument/2006/relationships/header" Target="header19.xml"/><Relationship Id="rId46" Type="http://schemas.openxmlformats.org/officeDocument/2006/relationships/header" Target="header20.xml"/><Relationship Id="rId47" Type="http://schemas.openxmlformats.org/officeDocument/2006/relationships/header" Target="header21.xml"/><Relationship Id="rId48" Type="http://schemas.openxmlformats.org/officeDocument/2006/relationships/footer" Target="footer18.xml"/><Relationship Id="rId49" Type="http://schemas.openxmlformats.org/officeDocument/2006/relationships/footer" Target="footer19.xml"/><Relationship Id="rId50" Type="http://schemas.openxmlformats.org/officeDocument/2006/relationships/footer" Target="footer2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