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2280B8">
      <w:pPr>
        <w:pStyle w:val="18"/>
        <w:keepNext w:val="0"/>
        <w:keepLines w:val="0"/>
        <w:widowControl/>
        <w:suppressLineNumbers w:val="0"/>
      </w:pPr>
      <w:r>
        <w:rPr>
          <w:rStyle w:val="22"/>
        </w:rPr>
        <w:t>Resumen</w:t>
      </w:r>
    </w:p>
    <w:p w14:paraId="25E2036D">
      <w:pPr>
        <w:pStyle w:val="18"/>
        <w:keepNext w:val="0"/>
        <w:keepLines w:val="0"/>
        <w:widowControl/>
        <w:suppressLineNumbers w:val="0"/>
        <w:rPr>
          <w:rFonts w:ascii="Times New Roman" w:hAnsi="Times New Roman" w:cs="Times New Roman" w:eastAsiaTheme="minorEastAsia"/>
          <w:kern w:val="2"/>
          <w:sz w:val="22"/>
          <w:szCs w:val="24"/>
          <w:lang w:val="es-ES" w:eastAsia="zh-CN" w:bidi="ar-SA"/>
          <w14:ligatures w14:val="standardContextual"/>
        </w:rPr>
      </w:pPr>
      <w:r>
        <w:rPr>
          <w:rFonts w:ascii="Times New Roman" w:hAnsi="Times New Roman" w:cs="Times New Roman" w:eastAsiaTheme="minorEastAsia"/>
          <w:kern w:val="2"/>
          <w:sz w:val="22"/>
          <w:szCs w:val="24"/>
          <w:lang w:val="es-ES" w:eastAsia="zh-CN" w:bidi="ar-SA"/>
          <w14:ligatures w14:val="standardContextual"/>
        </w:rPr>
        <w:t>VLVS: Virtual Low-Vision Simulator. Un Paso a Ciegas es un prototipo de realidad virtual dirigido al público general para acercarlo, de forma controlada, a algunas dificultades asociadas a la movilidad urbana con visión reducida. No pretende sustituir la experiencia real de las personas con discapacidad visual ni ofrecer una solución de movilidad, sino fomentar la reflexión sobre la accesibilidad y el diseño urbano inclusivo.</w:t>
      </w:r>
    </w:p>
    <w:p w14:paraId="0C23B68F">
      <w:pPr>
        <w:pStyle w:val="18"/>
        <w:keepNext w:val="0"/>
        <w:keepLines w:val="0"/>
        <w:widowControl/>
        <w:suppressLineNumbers w:val="0"/>
        <w:rPr>
          <w:rFonts w:ascii="Times New Roman" w:hAnsi="Times New Roman" w:cs="Times New Roman" w:eastAsiaTheme="minorEastAsia"/>
          <w:kern w:val="2"/>
          <w:sz w:val="22"/>
          <w:szCs w:val="24"/>
          <w:lang w:val="es-ES" w:eastAsia="zh-CN" w:bidi="ar-SA"/>
          <w14:ligatures w14:val="standardContextual"/>
        </w:rPr>
      </w:pPr>
      <w:r>
        <w:rPr>
          <w:rFonts w:ascii="Times New Roman" w:hAnsi="Times New Roman" w:cs="Times New Roman" w:eastAsiaTheme="minorEastAsia"/>
          <w:kern w:val="2"/>
          <w:sz w:val="22"/>
          <w:szCs w:val="24"/>
          <w:lang w:val="es-ES" w:eastAsia="zh-CN" w:bidi="ar-SA"/>
          <w14:ligatures w14:val="standardContextual"/>
        </w:rPr>
        <w:t>Desarrollado en Unity, el prototipo presenta un entorno urbano en el que el usuario debe completar varias tareas: avanzar por la acera, evitar obstáculos, cruzar un carril y localizar la entrada del metro. Antes de comenzar, puede elegir entre distintos modos de visión reducida. Para evitar que la experiencia dependa únicamente de la imagen, se incorporan señales acústicas, audio espacial, semáforos sonoros, avisos de peligro, detección de zonas de riesgo y retroalimentación ante colisiones.</w:t>
      </w:r>
    </w:p>
    <w:p w14:paraId="1BD804E6">
      <w:pPr>
        <w:pStyle w:val="18"/>
        <w:keepNext w:val="0"/>
        <w:keepLines w:val="0"/>
        <w:widowControl/>
        <w:suppressLineNumbers w:val="0"/>
        <w:rPr>
          <w:rFonts w:ascii="Times New Roman" w:hAnsi="Times New Roman" w:cs="Times New Roman" w:eastAsiaTheme="minorEastAsia"/>
          <w:kern w:val="2"/>
          <w:sz w:val="22"/>
          <w:szCs w:val="24"/>
          <w:lang w:val="es-ES" w:eastAsia="zh-CN" w:bidi="ar-SA"/>
          <w14:ligatures w14:val="standardContextual"/>
        </w:rPr>
      </w:pPr>
      <w:r>
        <w:rPr>
          <w:rFonts w:ascii="Times New Roman" w:hAnsi="Times New Roman" w:cs="Times New Roman" w:eastAsiaTheme="minorEastAsia"/>
          <w:kern w:val="2"/>
          <w:sz w:val="22"/>
          <w:szCs w:val="24"/>
          <w:lang w:val="es-ES" w:eastAsia="zh-CN" w:bidi="ar-SA"/>
          <w14:ligatures w14:val="standardContextual"/>
        </w:rPr>
        <w:t>Al finalizar, la aplicación muestra datos básicos, como el tiempo empleado, el número de colisiones y las pistas utilizadas. En conjunto, el proyecto permite observar cómo determinadas características del entorno influyen en la orientación, la seguridad y la autonomía. El resultado es una herramienta experimental de sensibilización que combina simulación visual, interacción inmersiva y reflexión sobre accesibilidad urbana.</w:t>
      </w:r>
    </w:p>
    <w:p w14:paraId="6CDFD28C">
      <w:pPr>
        <w:spacing w:after="120" w:line="240" w:lineRule="auto"/>
        <w:jc w:val="both"/>
        <w:rPr>
          <w:rFonts w:ascii="Times New Roman" w:hAnsi="Times New Roman" w:cs="Times New Roman"/>
        </w:rPr>
      </w:pPr>
      <w:r>
        <w:rPr>
          <w:rFonts w:ascii="Times New Roman" w:hAnsi="Times New Roman" w:cs="Times New Roman"/>
        </w:rPr>
        <w:t>Palabras clave: Realidad Virtual; Discapacidad visual; Diseño accesible; Simulación; Inmersión.</w:t>
      </w:r>
    </w:p>
    <w:p w14:paraId="584909E2">
      <w:pPr>
        <w:pStyle w:val="18"/>
        <w:keepNext w:val="0"/>
        <w:keepLines w:val="0"/>
        <w:widowControl/>
        <w:suppressLineNumbers w:val="0"/>
      </w:pPr>
      <w:r>
        <w:rPr>
          <w:rStyle w:val="22"/>
        </w:rPr>
        <w:t>Resum</w:t>
      </w:r>
    </w:p>
    <w:p w14:paraId="271B1636">
      <w:pPr>
        <w:pStyle w:val="18"/>
        <w:keepNext w:val="0"/>
        <w:keepLines w:val="0"/>
        <w:widowControl/>
        <w:suppressLineNumbers w:val="0"/>
        <w:rPr>
          <w:rFonts w:ascii="Times New Roman" w:hAnsi="Times New Roman" w:cs="Times New Roman" w:eastAsiaTheme="minorEastAsia"/>
          <w:kern w:val="2"/>
          <w:sz w:val="22"/>
          <w:szCs w:val="24"/>
          <w:lang w:val="es-ES" w:eastAsia="zh-CN" w:bidi="ar-SA"/>
          <w14:ligatures w14:val="standardContextual"/>
        </w:rPr>
      </w:pPr>
      <w:r>
        <w:rPr>
          <w:rFonts w:ascii="Times New Roman" w:hAnsi="Times New Roman" w:cs="Times New Roman" w:eastAsiaTheme="minorEastAsia"/>
          <w:kern w:val="2"/>
          <w:sz w:val="22"/>
          <w:szCs w:val="24"/>
          <w:lang w:val="es-ES" w:eastAsia="zh-CN" w:bidi="ar-SA"/>
          <w14:ligatures w14:val="standardContextual"/>
        </w:rPr>
        <w:t>VLVS: Virtual Low-Vision Simulator. Un Paso a Ciegas és un prototip de realitat virtual adreçat al públic general. Permet aproximar-se, de manera controlada, a algunes de les dificultats associades a la mobilitat urbana amb visió reduïda. El projecte no pretén substituir l’experiència real de les persones amb discapacitat visual ni oferir una solució de mobilitat. La seua finalitat és fomentar la reflexió sobre l’accessibilitat i el disseny urbà inclusiu.</w:t>
      </w:r>
    </w:p>
    <w:p w14:paraId="3322CE33">
      <w:pPr>
        <w:pStyle w:val="18"/>
        <w:keepNext w:val="0"/>
        <w:keepLines w:val="0"/>
        <w:widowControl/>
        <w:suppressLineNumbers w:val="0"/>
        <w:rPr>
          <w:rFonts w:ascii="Times New Roman" w:hAnsi="Times New Roman" w:cs="Times New Roman" w:eastAsiaTheme="minorEastAsia"/>
          <w:kern w:val="2"/>
          <w:sz w:val="22"/>
          <w:szCs w:val="24"/>
          <w:lang w:val="es-ES" w:eastAsia="zh-CN" w:bidi="ar-SA"/>
          <w14:ligatures w14:val="standardContextual"/>
        </w:rPr>
      </w:pPr>
      <w:r>
        <w:rPr>
          <w:rFonts w:ascii="Times New Roman" w:hAnsi="Times New Roman" w:cs="Times New Roman" w:eastAsiaTheme="minorEastAsia"/>
          <w:kern w:val="2"/>
          <w:sz w:val="22"/>
          <w:szCs w:val="24"/>
          <w:lang w:val="es-ES" w:eastAsia="zh-CN" w:bidi="ar-SA"/>
          <w14:ligatures w14:val="standardContextual"/>
        </w:rPr>
        <w:t>Desenvolupat en Unity, el prototip presenta un entorn urbà en què l’usuari ha de completar diverses tasques, com avançar per la vorera, evitar obstacles, creuar un carril i localitzar l’entrada del metro. Abans de començar, pot seleccionar diferents modes de visió reduïda. Perquè l’experiència no depenga únicament de la informació visual, el sistema incorpora senyals acústics, àudio espacial, semàfors sonors, avisos de perill, detecció de zones de risc i retroalimentació després de les col·lisions.</w:t>
      </w:r>
    </w:p>
    <w:p w14:paraId="042C82B2">
      <w:pPr>
        <w:pStyle w:val="18"/>
        <w:keepNext w:val="0"/>
        <w:keepLines w:val="0"/>
        <w:widowControl/>
        <w:suppressLineNumbers w:val="0"/>
        <w:rPr>
          <w:rFonts w:ascii="Times New Roman" w:hAnsi="Times New Roman" w:cs="Times New Roman" w:eastAsiaTheme="minorEastAsia"/>
          <w:kern w:val="2"/>
          <w:sz w:val="22"/>
          <w:szCs w:val="24"/>
          <w:lang w:val="es-ES" w:eastAsia="zh-CN" w:bidi="ar-SA"/>
          <w14:ligatures w14:val="standardContextual"/>
        </w:rPr>
      </w:pPr>
      <w:r>
        <w:rPr>
          <w:rFonts w:ascii="Times New Roman" w:hAnsi="Times New Roman" w:cs="Times New Roman" w:eastAsiaTheme="minorEastAsia"/>
          <w:kern w:val="2"/>
          <w:sz w:val="22"/>
          <w:szCs w:val="24"/>
          <w:lang w:val="es-ES" w:eastAsia="zh-CN" w:bidi="ar-SA"/>
          <w14:ligatures w14:val="standardContextual"/>
        </w:rPr>
        <w:t>En finalitzar la sessió, l’aplicació mostra dades bàsiques com el temps emprat, el nombre de col·lisions i les pistes utilitzades. En conjunt, el projecte mostra com determinades característiques de l’entorn poden afectar l’orientació, la seguretat i l’autonomia. El resultat és una eina experimental de sensibilització que combina simulació visual, interacció immersiva i reflexió sobre l’accessibilitat urbana.</w:t>
      </w:r>
    </w:p>
    <w:p w14:paraId="3F570BA5">
      <w:pPr>
        <w:pStyle w:val="18"/>
        <w:keepNext w:val="0"/>
        <w:keepLines w:val="0"/>
        <w:widowControl/>
        <w:suppressLineNumbers w:val="0"/>
        <w:rPr>
          <w:rFonts w:ascii="Times New Roman" w:hAnsi="Times New Roman" w:cs="Times New Roman" w:eastAsiaTheme="minorEastAsia"/>
          <w:kern w:val="2"/>
          <w:sz w:val="22"/>
          <w:szCs w:val="24"/>
          <w:lang w:val="es-ES" w:eastAsia="zh-CN" w:bidi="ar-SA"/>
          <w14:ligatures w14:val="standardContextual"/>
        </w:rPr>
      </w:pPr>
      <w:r>
        <w:rPr>
          <w:rFonts w:ascii="Times New Roman" w:hAnsi="Times New Roman" w:cs="Times New Roman" w:eastAsiaTheme="minorEastAsia"/>
          <w:kern w:val="2"/>
          <w:sz w:val="22"/>
          <w:szCs w:val="24"/>
          <w:lang w:val="es-ES" w:eastAsia="zh-CN" w:bidi="ar-SA"/>
          <w14:ligatures w14:val="standardContextual"/>
        </w:rPr>
        <w:t>Paraules clau: Realitat virtual; Discapacitat visual; Disseny accessible; Simulació; Immersió.</w:t>
      </w:r>
    </w:p>
    <w:p w14:paraId="1524858E">
      <w:pPr>
        <w:pStyle w:val="18"/>
        <w:keepNext w:val="0"/>
        <w:keepLines w:val="0"/>
        <w:widowControl/>
        <w:suppressLineNumbers w:val="0"/>
      </w:pPr>
      <w:r>
        <w:rPr>
          <w:rStyle w:val="22"/>
        </w:rPr>
        <w:t>Abstract</w:t>
      </w:r>
    </w:p>
    <w:p w14:paraId="43046D11">
      <w:pPr>
        <w:pStyle w:val="18"/>
        <w:keepNext w:val="0"/>
        <w:keepLines w:val="0"/>
        <w:widowControl/>
        <w:suppressLineNumbers w:val="0"/>
        <w:rPr>
          <w:rFonts w:ascii="Times New Roman" w:hAnsi="Times New Roman" w:cs="Times New Roman" w:eastAsiaTheme="minorEastAsia"/>
          <w:kern w:val="2"/>
          <w:sz w:val="22"/>
          <w:szCs w:val="24"/>
          <w:lang w:val="es-ES" w:eastAsia="zh-CN" w:bidi="ar-SA"/>
          <w14:ligatures w14:val="standardContextual"/>
        </w:rPr>
      </w:pPr>
      <w:r>
        <w:rPr>
          <w:rFonts w:ascii="Times New Roman" w:hAnsi="Times New Roman" w:cs="Times New Roman" w:eastAsiaTheme="minorEastAsia"/>
          <w:kern w:val="2"/>
          <w:sz w:val="22"/>
          <w:szCs w:val="24"/>
          <w:lang w:val="es-ES" w:eastAsia="zh-CN" w:bidi="ar-SA"/>
          <w14:ligatures w14:val="standardContextual"/>
        </w:rPr>
        <w:t>VLVS: Virtual Low-Vision Simulator. Un Paso a Ciegas is a virtual reality prototype aimed at the general public. It provides a controlled way to approach some of the difficulties associated with urban mobility under reduced-vision conditions. The project does not attempt to replace the lived experience of people with visual impairments or provide a mobility solution. Its purpose is to encourage reflection on accessibility and inclusive urban design.</w:t>
      </w:r>
    </w:p>
    <w:p w14:paraId="72CB427B">
      <w:pPr>
        <w:pStyle w:val="18"/>
        <w:keepNext w:val="0"/>
        <w:keepLines w:val="0"/>
        <w:widowControl/>
        <w:suppressLineNumbers w:val="0"/>
        <w:rPr>
          <w:rFonts w:ascii="Times New Roman" w:hAnsi="Times New Roman" w:cs="Times New Roman" w:eastAsiaTheme="minorEastAsia"/>
          <w:kern w:val="2"/>
          <w:sz w:val="22"/>
          <w:szCs w:val="24"/>
          <w:lang w:val="es-ES" w:eastAsia="zh-CN" w:bidi="ar-SA"/>
          <w14:ligatures w14:val="standardContextual"/>
        </w:rPr>
      </w:pPr>
      <w:r>
        <w:rPr>
          <w:rFonts w:ascii="Times New Roman" w:hAnsi="Times New Roman" w:cs="Times New Roman" w:eastAsiaTheme="minorEastAsia"/>
          <w:kern w:val="2"/>
          <w:sz w:val="22"/>
          <w:szCs w:val="24"/>
          <w:lang w:val="es-ES" w:eastAsia="zh-CN" w:bidi="ar-SA"/>
          <w14:ligatures w14:val="standardContextual"/>
        </w:rPr>
        <w:t>Developed in Unity, the prototype presents an urban environment in which the user must complete several tasks, including walking along the pavement, avoiding obstacles, crossing a traffic lane and locating the entrance to a metro station. Before starting, the user can select from different reduced-vision modes. To ensure that the experience does not rely only on visual information, the system includes acoustic cues, spatial audio, audible traffic lights, danger warnings, risk-zone detection and feedback after collisions.</w:t>
      </w:r>
    </w:p>
    <w:p w14:paraId="000C592A">
      <w:pPr>
        <w:pStyle w:val="18"/>
        <w:keepNext w:val="0"/>
        <w:keepLines w:val="0"/>
        <w:widowControl/>
        <w:suppressLineNumbers w:val="0"/>
        <w:rPr>
          <w:rFonts w:ascii="Times New Roman" w:hAnsi="Times New Roman" w:cs="Times New Roman" w:eastAsiaTheme="minorEastAsia"/>
          <w:kern w:val="2"/>
          <w:sz w:val="22"/>
          <w:szCs w:val="24"/>
          <w:lang w:val="es-ES" w:eastAsia="zh-CN" w:bidi="ar-SA"/>
          <w14:ligatures w14:val="standardContextual"/>
        </w:rPr>
      </w:pPr>
      <w:r>
        <w:rPr>
          <w:rFonts w:ascii="Times New Roman" w:hAnsi="Times New Roman" w:cs="Times New Roman" w:eastAsiaTheme="minorEastAsia"/>
          <w:kern w:val="2"/>
          <w:sz w:val="22"/>
          <w:szCs w:val="24"/>
          <w:lang w:val="es-ES" w:eastAsia="zh-CN" w:bidi="ar-SA"/>
          <w14:ligatures w14:val="standardContextual"/>
        </w:rPr>
        <w:t>At the end of the session, the application displays basic data such as completion time, number of collisions and hints used. Overall, the project shows how certain features of the environment can affect orientation, safety and autonomy. The result is an experimental awareness tool that combines visual simulation, immersive interaction and reflection on urban accessibility.</w:t>
      </w:r>
    </w:p>
    <w:p w14:paraId="0ED9FB83">
      <w:pPr>
        <w:spacing w:after="120" w:line="240" w:lineRule="auto"/>
        <w:jc w:val="both"/>
        <w:rPr>
          <w:rFonts w:ascii="Times New Roman" w:hAnsi="Times New Roman" w:cs="Times New Roman"/>
        </w:rPr>
      </w:pPr>
      <w:r>
        <w:rPr>
          <w:rFonts w:ascii="Times New Roman" w:hAnsi="Times New Roman" w:cs="Times New Roman"/>
        </w:rPr>
        <w:t>Keywords: Virtual reality; Visual impairment; Accessible design; Simulation; Immersion.</w:t>
      </w:r>
    </w:p>
    <w:p w14:paraId="6534BACF">
      <w:pPr>
        <w:spacing w:after="120" w:line="240" w:lineRule="auto"/>
        <w:jc w:val="both"/>
        <w:rPr>
          <w:rFonts w:ascii="Times New Roman" w:hAnsi="Times New Roman" w:cs="Times New Roman"/>
        </w:rPr>
      </w:pPr>
    </w:p>
    <w:p w14:paraId="3D0ED519">
      <w:pPr>
        <w:spacing w:after="120" w:line="240" w:lineRule="auto"/>
        <w:jc w:val="both"/>
        <w:rPr>
          <w:rFonts w:ascii="Times New Roman" w:hAnsi="Times New Roman" w:cs="Times New Roman"/>
        </w:rPr>
      </w:pPr>
    </w:p>
    <w:p w14:paraId="76DDC899">
      <w:pPr>
        <w:spacing w:after="120" w:line="240" w:lineRule="auto"/>
        <w:jc w:val="both"/>
        <w:rPr>
          <w:rFonts w:ascii="Times New Roman" w:hAnsi="Times New Roman" w:cs="Times New Roman"/>
        </w:rPr>
      </w:pPr>
    </w:p>
    <w:p w14:paraId="38C5B983">
      <w:pPr>
        <w:spacing w:after="120" w:line="240" w:lineRule="auto"/>
        <w:jc w:val="both"/>
        <w:rPr>
          <w:rFonts w:ascii="Times New Roman" w:hAnsi="Times New Roman" w:cs="Times New Roman"/>
        </w:rPr>
      </w:pPr>
    </w:p>
    <w:p w14:paraId="611D5C34">
      <w:pPr>
        <w:spacing w:after="120" w:line="240" w:lineRule="auto"/>
        <w:jc w:val="both"/>
        <w:rPr>
          <w:rFonts w:ascii="Times New Roman" w:hAnsi="Times New Roman" w:cs="Times New Roman"/>
        </w:rPr>
      </w:pPr>
    </w:p>
    <w:p w14:paraId="1C1793CD">
      <w:pPr>
        <w:spacing w:after="120" w:line="240" w:lineRule="auto"/>
        <w:jc w:val="both"/>
        <w:rPr>
          <w:rFonts w:ascii="Times New Roman" w:hAnsi="Times New Roman" w:cs="Times New Roman"/>
        </w:rPr>
      </w:pPr>
    </w:p>
    <w:p w14:paraId="38A1E98A">
      <w:pPr>
        <w:spacing w:after="120" w:line="240" w:lineRule="auto"/>
        <w:jc w:val="both"/>
        <w:rPr>
          <w:rFonts w:ascii="Times New Roman" w:hAnsi="Times New Roman" w:cs="Times New Roman"/>
        </w:rPr>
      </w:pPr>
    </w:p>
    <w:p w14:paraId="19F2DCD6">
      <w:pPr>
        <w:spacing w:after="120" w:line="240" w:lineRule="auto"/>
        <w:jc w:val="both"/>
        <w:rPr>
          <w:rFonts w:ascii="Times New Roman" w:hAnsi="Times New Roman" w:cs="Times New Roman"/>
        </w:rPr>
      </w:pPr>
    </w:p>
    <w:p w14:paraId="17EDE125">
      <w:pPr>
        <w:spacing w:after="120" w:line="240" w:lineRule="auto"/>
        <w:jc w:val="both"/>
        <w:rPr>
          <w:rFonts w:ascii="Times New Roman" w:hAnsi="Times New Roman" w:cs="Times New Roman"/>
        </w:rPr>
      </w:pPr>
    </w:p>
    <w:p w14:paraId="2E373BB1">
      <w:pPr>
        <w:spacing w:after="120" w:line="240" w:lineRule="auto"/>
        <w:jc w:val="both"/>
        <w:rPr>
          <w:rFonts w:ascii="Times New Roman" w:hAnsi="Times New Roman" w:cs="Times New Roman"/>
        </w:rPr>
      </w:pPr>
    </w:p>
    <w:p w14:paraId="7D4F604D">
      <w:pPr>
        <w:spacing w:after="120" w:line="240" w:lineRule="auto"/>
        <w:jc w:val="both"/>
        <w:rPr>
          <w:rFonts w:ascii="Times New Roman" w:hAnsi="Times New Roman" w:cs="Times New Roman"/>
        </w:rPr>
      </w:pPr>
    </w:p>
    <w:p w14:paraId="64FDCCBF">
      <w:pPr>
        <w:spacing w:after="120" w:line="240" w:lineRule="auto"/>
        <w:jc w:val="both"/>
        <w:rPr>
          <w:rFonts w:ascii="Times New Roman" w:hAnsi="Times New Roman" w:cs="Times New Roman"/>
        </w:rPr>
      </w:pPr>
    </w:p>
    <w:p w14:paraId="57848F3F">
      <w:pPr>
        <w:spacing w:after="120" w:line="240" w:lineRule="auto"/>
        <w:jc w:val="both"/>
        <w:rPr>
          <w:rFonts w:ascii="Times New Roman" w:hAnsi="Times New Roman" w:cs="Times New Roman"/>
        </w:rPr>
      </w:pPr>
    </w:p>
    <w:p w14:paraId="5C0D223B">
      <w:pPr>
        <w:spacing w:after="120" w:line="240" w:lineRule="auto"/>
        <w:jc w:val="both"/>
        <w:rPr>
          <w:rFonts w:ascii="Times New Roman" w:hAnsi="Times New Roman" w:cs="Times New Roman"/>
        </w:rPr>
      </w:pPr>
    </w:p>
    <w:p w14:paraId="40A12971">
      <w:pPr>
        <w:spacing w:after="120" w:line="240" w:lineRule="auto"/>
        <w:jc w:val="both"/>
        <w:rPr>
          <w:rFonts w:ascii="Times New Roman" w:hAnsi="Times New Roman" w:cs="Times New Roman"/>
        </w:rPr>
      </w:pPr>
    </w:p>
    <w:sdt>
      <w:sdtPr>
        <w:rPr>
          <w:rFonts w:ascii="宋体" w:hAnsi="宋体" w:eastAsia="宋体" w:cs="Times New Roman"/>
          <w:kern w:val="2"/>
          <w:sz w:val="21"/>
          <w:szCs w:val="24"/>
          <w:lang w:val="es-ES" w:eastAsia="zh-CN" w:bidi="ar-SA"/>
          <w14:ligatures w14:val="standardContextual"/>
        </w:rPr>
        <w:id w:val="147463744"/>
        <w15:color w:val="DBDBDB"/>
        <w:docPartObj>
          <w:docPartGallery w:val="Table of Contents"/>
          <w:docPartUnique/>
        </w:docPartObj>
      </w:sdtPr>
      <w:sdtEndPr>
        <w:rPr>
          <w:rFonts w:ascii="Times New Roman" w:hAnsi="Times New Roman" w:cs="Times New Roman" w:eastAsiaTheme="minorEastAsia"/>
          <w:kern w:val="2"/>
          <w:sz w:val="22"/>
          <w:szCs w:val="24"/>
          <w:lang w:val="es-ES" w:eastAsia="zh-CN" w:bidi="ar-SA"/>
          <w14:ligatures w14:val="standardContextual"/>
        </w:rPr>
      </w:sdtEndPr>
      <w:sdtContent>
        <w:p w14:paraId="5809ED0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9B53B6A">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TOC \o "1-3" \h \u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HYPERLINK \l _Toc22824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s-ES" w:eastAsia="zh-CN" w:bidi="ar-SA"/>
              <w14:ligatures w14:val="standardContextual"/>
            </w:rPr>
            <w:t>1 Introducción</w:t>
          </w:r>
          <w:r>
            <w:tab/>
          </w:r>
          <w:r>
            <w:fldChar w:fldCharType="begin"/>
          </w:r>
          <w:r>
            <w:instrText xml:space="preserve"> PAGEREF _Toc22824 \h </w:instrText>
          </w:r>
          <w:r>
            <w:fldChar w:fldCharType="separate"/>
          </w:r>
          <w:r>
            <w:t>4</w:t>
          </w:r>
          <w:r>
            <w:fldChar w:fldCharType="end"/>
          </w:r>
          <w:r>
            <w:rPr>
              <w:rFonts w:ascii="Times New Roman" w:hAnsi="Times New Roman" w:cs="Times New Roman"/>
            </w:rPr>
            <w:fldChar w:fldCharType="end"/>
          </w:r>
        </w:p>
        <w:p w14:paraId="76B474FE">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_Toc3624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s-ES" w:eastAsia="zh-CN" w:bidi="ar-SA"/>
              <w14:ligatures w14:val="standardContextual"/>
            </w:rPr>
            <w:t>1.1 Contextualización</w:t>
          </w:r>
          <w:r>
            <w:tab/>
          </w:r>
          <w:r>
            <w:fldChar w:fldCharType="begin"/>
          </w:r>
          <w:r>
            <w:instrText xml:space="preserve"> PAGEREF _Toc3624 \h </w:instrText>
          </w:r>
          <w:r>
            <w:fldChar w:fldCharType="separate"/>
          </w:r>
          <w:r>
            <w:t>4</w:t>
          </w:r>
          <w:r>
            <w:fldChar w:fldCharType="end"/>
          </w:r>
          <w:r>
            <w:rPr>
              <w:rFonts w:ascii="Times New Roman" w:hAnsi="Times New Roman" w:cs="Times New Roman"/>
            </w:rPr>
            <w:fldChar w:fldCharType="end"/>
          </w:r>
        </w:p>
        <w:p w14:paraId="3B7BEBD6">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_Toc30799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s-ES" w:eastAsia="zh-CN" w:bidi="ar-SA"/>
              <w14:ligatures w14:val="standardContextual"/>
            </w:rPr>
            <w:t>1.2 Objetivos</w:t>
          </w:r>
          <w:r>
            <w:tab/>
          </w:r>
          <w:r>
            <w:fldChar w:fldCharType="begin"/>
          </w:r>
          <w:r>
            <w:instrText xml:space="preserve"> PAGEREF _Toc30799 \h </w:instrText>
          </w:r>
          <w:r>
            <w:fldChar w:fldCharType="separate"/>
          </w:r>
          <w:r>
            <w:t>5</w:t>
          </w:r>
          <w:r>
            <w:fldChar w:fldCharType="end"/>
          </w:r>
          <w:r>
            <w:rPr>
              <w:rFonts w:ascii="Times New Roman" w:hAnsi="Times New Roman" w:cs="Times New Roman"/>
            </w:rPr>
            <w:fldChar w:fldCharType="end"/>
          </w:r>
        </w:p>
        <w:p w14:paraId="7486CAFC">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_Toc17944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s-ES" w:eastAsia="zh-CN" w:bidi="ar-SA"/>
              <w14:ligatures w14:val="standardContextual"/>
            </w:rPr>
            <w:t>1.3 Metodología</w:t>
          </w:r>
          <w:r>
            <w:tab/>
          </w:r>
          <w:r>
            <w:fldChar w:fldCharType="begin"/>
          </w:r>
          <w:r>
            <w:instrText xml:space="preserve"> PAGEREF _Toc17944 \h </w:instrText>
          </w:r>
          <w:r>
            <w:fldChar w:fldCharType="separate"/>
          </w:r>
          <w:r>
            <w:t>7</w:t>
          </w:r>
          <w:r>
            <w:fldChar w:fldCharType="end"/>
          </w:r>
          <w:r>
            <w:rPr>
              <w:rFonts w:ascii="Times New Roman" w:hAnsi="Times New Roman" w:cs="Times New Roman"/>
            </w:rPr>
            <w:fldChar w:fldCharType="end"/>
          </w:r>
        </w:p>
        <w:p w14:paraId="4E22487A">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_Toc243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s-ES" w:eastAsia="zh-CN" w:bidi="ar-SA"/>
              <w14:ligatures w14:val="standardContextual"/>
            </w:rPr>
            <w:t>1.4 Etapas del proyecto</w:t>
          </w:r>
          <w:r>
            <w:tab/>
          </w:r>
          <w:r>
            <w:fldChar w:fldCharType="begin"/>
          </w:r>
          <w:r>
            <w:instrText xml:space="preserve"> PAGEREF _Toc243 \h </w:instrText>
          </w:r>
          <w:r>
            <w:fldChar w:fldCharType="separate"/>
          </w:r>
          <w:r>
            <w:t>7</w:t>
          </w:r>
          <w:r>
            <w:fldChar w:fldCharType="end"/>
          </w:r>
          <w:r>
            <w:rPr>
              <w:rFonts w:ascii="Times New Roman" w:hAnsi="Times New Roman" w:cs="Times New Roman"/>
            </w:rPr>
            <w:fldChar w:fldCharType="end"/>
          </w:r>
        </w:p>
        <w:p w14:paraId="6F8617B1">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_Toc18669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1 Investigación:</w:t>
          </w:r>
          <w:r>
            <w:tab/>
          </w:r>
          <w:r>
            <w:fldChar w:fldCharType="begin"/>
          </w:r>
          <w:r>
            <w:instrText xml:space="preserve"> PAGEREF _Toc18669 \h </w:instrText>
          </w:r>
          <w:r>
            <w:fldChar w:fldCharType="separate"/>
          </w:r>
          <w:r>
            <w:t>7</w:t>
          </w:r>
          <w:r>
            <w:fldChar w:fldCharType="end"/>
          </w:r>
          <w:r>
            <w:rPr>
              <w:rFonts w:ascii="Times New Roman" w:hAnsi="Times New Roman" w:cs="Times New Roman"/>
            </w:rPr>
            <w:fldChar w:fldCharType="end"/>
          </w:r>
        </w:p>
        <w:p w14:paraId="624CE6A7">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_Toc6099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2. Planificación:</w:t>
          </w:r>
          <w:r>
            <w:tab/>
          </w:r>
          <w:r>
            <w:fldChar w:fldCharType="begin"/>
          </w:r>
          <w:r>
            <w:instrText xml:space="preserve"> PAGEREF _Toc6099 \h </w:instrText>
          </w:r>
          <w:r>
            <w:fldChar w:fldCharType="separate"/>
          </w:r>
          <w:r>
            <w:t>8</w:t>
          </w:r>
          <w:r>
            <w:fldChar w:fldCharType="end"/>
          </w:r>
          <w:r>
            <w:rPr>
              <w:rFonts w:ascii="Times New Roman" w:hAnsi="Times New Roman" w:cs="Times New Roman"/>
            </w:rPr>
            <w:fldChar w:fldCharType="end"/>
          </w:r>
        </w:p>
        <w:p w14:paraId="529F09C8">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_Toc17749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3. Desarrollo e implementación:</w:t>
          </w:r>
          <w:r>
            <w:tab/>
          </w:r>
          <w:r>
            <w:fldChar w:fldCharType="begin"/>
          </w:r>
          <w:r>
            <w:instrText xml:space="preserve"> PAGEREF _Toc17749 \h </w:instrText>
          </w:r>
          <w:r>
            <w:fldChar w:fldCharType="separate"/>
          </w:r>
          <w:r>
            <w:t>8</w:t>
          </w:r>
          <w:r>
            <w:fldChar w:fldCharType="end"/>
          </w:r>
          <w:r>
            <w:rPr>
              <w:rFonts w:ascii="Times New Roman" w:hAnsi="Times New Roman" w:cs="Times New Roman"/>
            </w:rPr>
            <w:fldChar w:fldCharType="end"/>
          </w:r>
        </w:p>
        <w:p w14:paraId="073A447C">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_Toc547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4. Prueba:</w:t>
          </w:r>
          <w:r>
            <w:tab/>
          </w:r>
          <w:r>
            <w:fldChar w:fldCharType="begin"/>
          </w:r>
          <w:r>
            <w:instrText xml:space="preserve"> PAGEREF _Toc547 \h </w:instrText>
          </w:r>
          <w:r>
            <w:fldChar w:fldCharType="separate"/>
          </w:r>
          <w:r>
            <w:t>8</w:t>
          </w:r>
          <w:r>
            <w:fldChar w:fldCharType="end"/>
          </w:r>
          <w:r>
            <w:rPr>
              <w:rFonts w:ascii="Times New Roman" w:hAnsi="Times New Roman" w:cs="Times New Roman"/>
            </w:rPr>
            <w:fldChar w:fldCharType="end"/>
          </w:r>
        </w:p>
        <w:p w14:paraId="623799E7">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_Toc32751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s-ES" w:eastAsia="zh-CN" w:bidi="ar-SA"/>
              <w14:ligatures w14:val="standardContextual"/>
            </w:rPr>
            <w:t>1.5 Estructura del documento</w:t>
          </w:r>
          <w:r>
            <w:tab/>
          </w:r>
          <w:r>
            <w:fldChar w:fldCharType="begin"/>
          </w:r>
          <w:r>
            <w:instrText xml:space="preserve"> PAGEREF _Toc32751 \h </w:instrText>
          </w:r>
          <w:r>
            <w:fldChar w:fldCharType="separate"/>
          </w:r>
          <w:r>
            <w:t>9</w:t>
          </w:r>
          <w:r>
            <w:fldChar w:fldCharType="end"/>
          </w:r>
          <w:r>
            <w:rPr>
              <w:rFonts w:ascii="Times New Roman" w:hAnsi="Times New Roman" w:cs="Times New Roman"/>
            </w:rPr>
            <w:fldChar w:fldCharType="end"/>
          </w:r>
        </w:p>
        <w:p w14:paraId="541A140E">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_Toc7512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Sección 1: Introducción</w:t>
          </w:r>
          <w:r>
            <w:tab/>
          </w:r>
          <w:r>
            <w:fldChar w:fldCharType="begin"/>
          </w:r>
          <w:r>
            <w:instrText xml:space="preserve"> PAGEREF _Toc7512 \h </w:instrText>
          </w:r>
          <w:r>
            <w:fldChar w:fldCharType="separate"/>
          </w:r>
          <w:r>
            <w:t>9</w:t>
          </w:r>
          <w:r>
            <w:fldChar w:fldCharType="end"/>
          </w:r>
          <w:r>
            <w:rPr>
              <w:rFonts w:ascii="Times New Roman" w:hAnsi="Times New Roman" w:cs="Times New Roman"/>
            </w:rPr>
            <w:fldChar w:fldCharType="end"/>
          </w:r>
        </w:p>
        <w:p w14:paraId="550C478D">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_Toc9827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Sección 2: Análisis del problema</w:t>
          </w:r>
          <w:r>
            <w:tab/>
          </w:r>
          <w:r>
            <w:fldChar w:fldCharType="begin"/>
          </w:r>
          <w:r>
            <w:instrText xml:space="preserve"> PAGEREF _Toc9827 \h </w:instrText>
          </w:r>
          <w:r>
            <w:fldChar w:fldCharType="separate"/>
          </w:r>
          <w:r>
            <w:t>9</w:t>
          </w:r>
          <w:r>
            <w:fldChar w:fldCharType="end"/>
          </w:r>
          <w:r>
            <w:rPr>
              <w:rFonts w:ascii="Times New Roman" w:hAnsi="Times New Roman" w:cs="Times New Roman"/>
            </w:rPr>
            <w:fldChar w:fldCharType="end"/>
          </w:r>
        </w:p>
        <w:p w14:paraId="0E7A9874">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_Toc13917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Sección 3: Marco teórico</w:t>
          </w:r>
          <w:r>
            <w:tab/>
          </w:r>
          <w:r>
            <w:fldChar w:fldCharType="begin"/>
          </w:r>
          <w:r>
            <w:instrText xml:space="preserve"> PAGEREF _Toc13917 \h </w:instrText>
          </w:r>
          <w:r>
            <w:fldChar w:fldCharType="separate"/>
          </w:r>
          <w:r>
            <w:t>9</w:t>
          </w:r>
          <w:r>
            <w:fldChar w:fldCharType="end"/>
          </w:r>
          <w:r>
            <w:rPr>
              <w:rFonts w:ascii="Times New Roman" w:hAnsi="Times New Roman" w:cs="Times New Roman"/>
            </w:rPr>
            <w:fldChar w:fldCharType="end"/>
          </w:r>
        </w:p>
        <w:p w14:paraId="51AD30B8">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_Toc22606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Sección 4: Diseño de la solución</w:t>
          </w:r>
          <w:r>
            <w:tab/>
          </w:r>
          <w:r>
            <w:fldChar w:fldCharType="begin"/>
          </w:r>
          <w:r>
            <w:instrText xml:space="preserve"> PAGEREF _Toc22606 \h </w:instrText>
          </w:r>
          <w:r>
            <w:fldChar w:fldCharType="separate"/>
          </w:r>
          <w:r>
            <w:t>9</w:t>
          </w:r>
          <w:r>
            <w:fldChar w:fldCharType="end"/>
          </w:r>
          <w:r>
            <w:rPr>
              <w:rFonts w:ascii="Times New Roman" w:hAnsi="Times New Roman" w:cs="Times New Roman"/>
            </w:rPr>
            <w:fldChar w:fldCharType="end"/>
          </w:r>
        </w:p>
        <w:p w14:paraId="1F81FC4A">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_Toc17230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Sección 5: Desarrollo de la solución</w:t>
          </w:r>
          <w:r>
            <w:tab/>
          </w:r>
          <w:r>
            <w:fldChar w:fldCharType="begin"/>
          </w:r>
          <w:r>
            <w:instrText xml:space="preserve"> PAGEREF _Toc17230 \h </w:instrText>
          </w:r>
          <w:r>
            <w:fldChar w:fldCharType="separate"/>
          </w:r>
          <w:r>
            <w:t>9</w:t>
          </w:r>
          <w:r>
            <w:fldChar w:fldCharType="end"/>
          </w:r>
          <w:r>
            <w:rPr>
              <w:rFonts w:ascii="Times New Roman" w:hAnsi="Times New Roman" w:cs="Times New Roman"/>
            </w:rPr>
            <w:fldChar w:fldCharType="end"/>
          </w:r>
        </w:p>
        <w:p w14:paraId="129D664B">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_Toc31878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Sección 6: Pruebas</w:t>
          </w:r>
          <w:r>
            <w:tab/>
          </w:r>
          <w:r>
            <w:fldChar w:fldCharType="begin"/>
          </w:r>
          <w:r>
            <w:instrText xml:space="preserve"> PAGEREF _Toc31878 \h </w:instrText>
          </w:r>
          <w:r>
            <w:fldChar w:fldCharType="separate"/>
          </w:r>
          <w:r>
            <w:t>9</w:t>
          </w:r>
          <w:r>
            <w:fldChar w:fldCharType="end"/>
          </w:r>
          <w:r>
            <w:rPr>
              <w:rFonts w:ascii="Times New Roman" w:hAnsi="Times New Roman" w:cs="Times New Roman"/>
            </w:rPr>
            <w:fldChar w:fldCharType="end"/>
          </w:r>
        </w:p>
        <w:p w14:paraId="64318FEE">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_Toc23596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Sección 7: Resultados</w:t>
          </w:r>
          <w:r>
            <w:tab/>
          </w:r>
          <w:r>
            <w:fldChar w:fldCharType="begin"/>
          </w:r>
          <w:r>
            <w:instrText xml:space="preserve"> PAGEREF _Toc23596 \h </w:instrText>
          </w:r>
          <w:r>
            <w:fldChar w:fldCharType="separate"/>
          </w:r>
          <w:r>
            <w:t>9</w:t>
          </w:r>
          <w:r>
            <w:fldChar w:fldCharType="end"/>
          </w:r>
          <w:r>
            <w:rPr>
              <w:rFonts w:ascii="Times New Roman" w:hAnsi="Times New Roman" w:cs="Times New Roman"/>
            </w:rPr>
            <w:fldChar w:fldCharType="end"/>
          </w:r>
        </w:p>
        <w:p w14:paraId="5FF879D5">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_Toc28028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Sección 8: Conclusiones</w:t>
          </w:r>
          <w:r>
            <w:tab/>
          </w:r>
          <w:r>
            <w:fldChar w:fldCharType="begin"/>
          </w:r>
          <w:r>
            <w:instrText xml:space="preserve"> PAGEREF _Toc28028 \h </w:instrText>
          </w:r>
          <w:r>
            <w:fldChar w:fldCharType="separate"/>
          </w:r>
          <w:r>
            <w:t>10</w:t>
          </w:r>
          <w:r>
            <w:fldChar w:fldCharType="end"/>
          </w:r>
          <w:r>
            <w:rPr>
              <w:rFonts w:ascii="Times New Roman" w:hAnsi="Times New Roman" w:cs="Times New Roman"/>
            </w:rPr>
            <w:fldChar w:fldCharType="end"/>
          </w:r>
        </w:p>
        <w:p w14:paraId="34E69829">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_Toc29234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Sección 9: Trabajos futuros</w:t>
          </w:r>
          <w:r>
            <w:tab/>
          </w:r>
          <w:r>
            <w:fldChar w:fldCharType="begin"/>
          </w:r>
          <w:r>
            <w:instrText xml:space="preserve"> PAGEREF _Toc29234 \h </w:instrText>
          </w:r>
          <w:r>
            <w:fldChar w:fldCharType="separate"/>
          </w:r>
          <w:r>
            <w:t>10</w:t>
          </w:r>
          <w:r>
            <w:fldChar w:fldCharType="end"/>
          </w:r>
          <w:r>
            <w:rPr>
              <w:rFonts w:ascii="Times New Roman" w:hAnsi="Times New Roman" w:cs="Times New Roman"/>
            </w:rPr>
            <w:fldChar w:fldCharType="end"/>
          </w:r>
        </w:p>
        <w:p w14:paraId="115DD9BA">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_Toc7632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Sección 10: Bibliografía</w:t>
          </w:r>
          <w:r>
            <w:tab/>
          </w:r>
          <w:r>
            <w:fldChar w:fldCharType="begin"/>
          </w:r>
          <w:r>
            <w:instrText xml:space="preserve"> PAGEREF _Toc7632 \h </w:instrText>
          </w:r>
          <w:r>
            <w:fldChar w:fldCharType="separate"/>
          </w:r>
          <w:r>
            <w:t>10</w:t>
          </w:r>
          <w:r>
            <w:fldChar w:fldCharType="end"/>
          </w:r>
          <w:r>
            <w:rPr>
              <w:rFonts w:ascii="Times New Roman" w:hAnsi="Times New Roman" w:cs="Times New Roman"/>
            </w:rPr>
            <w:fldChar w:fldCharType="end"/>
          </w:r>
        </w:p>
        <w:p w14:paraId="358676D8">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_Toc676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s-ES" w:eastAsia="zh-CN" w:bidi="ar-SA"/>
              <w14:ligatures w14:val="standardContextual"/>
            </w:rPr>
            <w:t>Sección 11: Anexos</w:t>
          </w:r>
          <w:r>
            <w:tab/>
          </w:r>
          <w:r>
            <w:fldChar w:fldCharType="begin"/>
          </w:r>
          <w:r>
            <w:instrText xml:space="preserve"> PAGEREF _Toc676 \h </w:instrText>
          </w:r>
          <w:r>
            <w:fldChar w:fldCharType="separate"/>
          </w:r>
          <w:r>
            <w:t>10</w:t>
          </w:r>
          <w:r>
            <w:fldChar w:fldCharType="end"/>
          </w:r>
          <w:r>
            <w:rPr>
              <w:rFonts w:ascii="Times New Roman" w:hAnsi="Times New Roman" w:cs="Times New Roman"/>
            </w:rPr>
            <w:fldChar w:fldCharType="end"/>
          </w:r>
        </w:p>
        <w:p w14:paraId="5EDD92D8">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_Toc7756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s-ES" w:eastAsia="zh-CN" w:bidi="ar-SA"/>
              <w14:ligatures w14:val="standardContextual"/>
            </w:rPr>
            <w:t>5 Desarrollo de la solución</w:t>
          </w:r>
          <w:r>
            <w:tab/>
          </w:r>
          <w:r>
            <w:fldChar w:fldCharType="begin"/>
          </w:r>
          <w:r>
            <w:instrText xml:space="preserve"> PAGEREF _Toc7756 \h </w:instrText>
          </w:r>
          <w:r>
            <w:fldChar w:fldCharType="separate"/>
          </w:r>
          <w:r>
            <w:t>33</w:t>
          </w:r>
          <w:r>
            <w:fldChar w:fldCharType="end"/>
          </w:r>
          <w:r>
            <w:rPr>
              <w:rFonts w:ascii="Times New Roman" w:hAnsi="Times New Roman" w:cs="Times New Roman"/>
            </w:rPr>
            <w:fldChar w:fldCharType="end"/>
          </w:r>
        </w:p>
        <w:p w14:paraId="18ED69FF">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_Toc10583 </w:instrText>
          </w:r>
          <w:r>
            <w:rPr>
              <w:rFonts w:ascii="Times New Roman" w:hAnsi="Times New Roman" w:cs="Times New Roman"/>
            </w:rPr>
            <w:fldChar w:fldCharType="separate"/>
          </w:r>
          <w:r>
            <w:rPr>
              <w:rFonts w:ascii="Times New Roman" w:hAnsi="Times New Roman"/>
              <w:szCs w:val="22"/>
            </w:rPr>
            <w:t>5.1 Software</w:t>
          </w:r>
          <w:r>
            <w:tab/>
          </w:r>
          <w:r>
            <w:fldChar w:fldCharType="begin"/>
          </w:r>
          <w:r>
            <w:instrText xml:space="preserve"> PAGEREF _Toc10583 \h </w:instrText>
          </w:r>
          <w:r>
            <w:fldChar w:fldCharType="separate"/>
          </w:r>
          <w:r>
            <w:t>33</w:t>
          </w:r>
          <w:r>
            <w:fldChar w:fldCharType="end"/>
          </w:r>
          <w:r>
            <w:rPr>
              <w:rFonts w:ascii="Times New Roman" w:hAnsi="Times New Roman" w:cs="Times New Roman"/>
            </w:rPr>
            <w:fldChar w:fldCharType="end"/>
          </w:r>
        </w:p>
        <w:p w14:paraId="6E902E23">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_Toc30941 </w:instrText>
          </w:r>
          <w:r>
            <w:rPr>
              <w:rFonts w:ascii="Times New Roman" w:hAnsi="Times New Roman" w:cs="Times New Roman"/>
            </w:rPr>
            <w:fldChar w:fldCharType="separate"/>
          </w:r>
          <w:r>
            <w:rPr>
              <w:rFonts w:ascii="Times New Roman" w:hAnsi="Times New Roman"/>
              <w:szCs w:val="22"/>
            </w:rPr>
            <w:t>5.2 Hardware</w:t>
          </w:r>
          <w:r>
            <w:tab/>
          </w:r>
          <w:r>
            <w:fldChar w:fldCharType="begin"/>
          </w:r>
          <w:r>
            <w:instrText xml:space="preserve"> PAGEREF _Toc30941 \h </w:instrText>
          </w:r>
          <w:r>
            <w:fldChar w:fldCharType="separate"/>
          </w:r>
          <w:r>
            <w:t>34</w:t>
          </w:r>
          <w:r>
            <w:fldChar w:fldCharType="end"/>
          </w:r>
          <w:r>
            <w:rPr>
              <w:rFonts w:ascii="Times New Roman" w:hAnsi="Times New Roman" w:cs="Times New Roman"/>
            </w:rPr>
            <w:fldChar w:fldCharType="end"/>
          </w:r>
        </w:p>
        <w:p w14:paraId="510E15D1">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_Toc22598 </w:instrText>
          </w:r>
          <w:r>
            <w:rPr>
              <w:rFonts w:ascii="Times New Roman" w:hAnsi="Times New Roman" w:cs="Times New Roman"/>
            </w:rPr>
            <w:fldChar w:fldCharType="separate"/>
          </w:r>
          <w:r>
            <w:rPr>
              <w:rFonts w:ascii="Times New Roman" w:hAnsi="Times New Roman"/>
              <w:szCs w:val="22"/>
            </w:rPr>
            <w:t>5.3 Implementación</w:t>
          </w:r>
          <w:r>
            <w:tab/>
          </w:r>
          <w:r>
            <w:fldChar w:fldCharType="begin"/>
          </w:r>
          <w:r>
            <w:instrText xml:space="preserve"> PAGEREF _Toc22598 \h </w:instrText>
          </w:r>
          <w:r>
            <w:fldChar w:fldCharType="separate"/>
          </w:r>
          <w:r>
            <w:t>35</w:t>
          </w:r>
          <w:r>
            <w:fldChar w:fldCharType="end"/>
          </w:r>
          <w:r>
            <w:rPr>
              <w:rFonts w:ascii="Times New Roman" w:hAnsi="Times New Roman" w:cs="Times New Roman"/>
            </w:rPr>
            <w:fldChar w:fldCharType="end"/>
          </w:r>
        </w:p>
        <w:p w14:paraId="241CA1DD">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_Toc12364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s-ES" w:eastAsia="zh-CN" w:bidi="ar-SA"/>
              <w14:ligatures w14:val="standardContextual"/>
            </w:rPr>
            <w:t>6 Pruebas</w:t>
          </w:r>
          <w:r>
            <w:tab/>
          </w:r>
          <w:r>
            <w:fldChar w:fldCharType="begin"/>
          </w:r>
          <w:r>
            <w:instrText xml:space="preserve"> PAGEREF _Toc12364 \h </w:instrText>
          </w:r>
          <w:r>
            <w:fldChar w:fldCharType="separate"/>
          </w:r>
          <w:r>
            <w:t>39</w:t>
          </w:r>
          <w:r>
            <w:fldChar w:fldCharType="end"/>
          </w:r>
          <w:r>
            <w:rPr>
              <w:rFonts w:ascii="Times New Roman" w:hAnsi="Times New Roman" w:cs="Times New Roman"/>
            </w:rPr>
            <w:fldChar w:fldCharType="end"/>
          </w:r>
        </w:p>
        <w:p w14:paraId="5B92C036">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_Toc25831 </w:instrText>
          </w:r>
          <w:r>
            <w:rPr>
              <w:rFonts w:ascii="Times New Roman" w:hAnsi="Times New Roman" w:cs="Times New Roman"/>
            </w:rPr>
            <w:fldChar w:fldCharType="separate"/>
          </w:r>
          <w:r>
            <w:rPr>
              <w:rFonts w:ascii="Times New Roman" w:hAnsi="Times New Roman"/>
              <w:szCs w:val="22"/>
            </w:rPr>
            <w:t>6.1 Plan de pruebas</w:t>
          </w:r>
          <w:r>
            <w:tab/>
          </w:r>
          <w:r>
            <w:fldChar w:fldCharType="begin"/>
          </w:r>
          <w:r>
            <w:instrText xml:space="preserve"> PAGEREF _Toc25831 \h </w:instrText>
          </w:r>
          <w:r>
            <w:fldChar w:fldCharType="separate"/>
          </w:r>
          <w:r>
            <w:t>39</w:t>
          </w:r>
          <w:r>
            <w:fldChar w:fldCharType="end"/>
          </w:r>
          <w:r>
            <w:rPr>
              <w:rFonts w:ascii="Times New Roman" w:hAnsi="Times New Roman" w:cs="Times New Roman"/>
            </w:rPr>
            <w:fldChar w:fldCharType="end"/>
          </w:r>
        </w:p>
        <w:p w14:paraId="44E442BB">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_Toc29377 </w:instrText>
          </w:r>
          <w:r>
            <w:rPr>
              <w:rFonts w:ascii="Times New Roman" w:hAnsi="Times New Roman" w:cs="Times New Roman"/>
            </w:rPr>
            <w:fldChar w:fldCharType="separate"/>
          </w:r>
          <w:r>
            <w:rPr>
              <w:rFonts w:ascii="Times New Roman" w:hAnsi="Times New Roman"/>
              <w:szCs w:val="22"/>
            </w:rPr>
            <w:t>6.2 Pruebas funcionales</w:t>
          </w:r>
          <w:r>
            <w:tab/>
          </w:r>
          <w:r>
            <w:fldChar w:fldCharType="begin"/>
          </w:r>
          <w:r>
            <w:instrText xml:space="preserve"> PAGEREF _Toc29377 \h </w:instrText>
          </w:r>
          <w:r>
            <w:fldChar w:fldCharType="separate"/>
          </w:r>
          <w:r>
            <w:t>40</w:t>
          </w:r>
          <w:r>
            <w:fldChar w:fldCharType="end"/>
          </w:r>
          <w:r>
            <w:rPr>
              <w:rFonts w:ascii="Times New Roman" w:hAnsi="Times New Roman" w:cs="Times New Roman"/>
            </w:rPr>
            <w:fldChar w:fldCharType="end"/>
          </w:r>
        </w:p>
        <w:p w14:paraId="5C59D1B7">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_Toc24868 </w:instrText>
          </w:r>
          <w:r>
            <w:rPr>
              <w:rFonts w:ascii="Times New Roman" w:hAnsi="Times New Roman" w:cs="Times New Roman"/>
            </w:rPr>
            <w:fldChar w:fldCharType="separate"/>
          </w:r>
          <w:r>
            <w:rPr>
              <w:rFonts w:ascii="Times New Roman" w:hAnsi="Times New Roman"/>
              <w:szCs w:val="22"/>
            </w:rPr>
            <w:t>6.3 Pruebas de rendimiento</w:t>
          </w:r>
          <w:r>
            <w:tab/>
          </w:r>
          <w:r>
            <w:fldChar w:fldCharType="begin"/>
          </w:r>
          <w:r>
            <w:instrText xml:space="preserve"> PAGEREF _Toc24868 \h </w:instrText>
          </w:r>
          <w:r>
            <w:fldChar w:fldCharType="separate"/>
          </w:r>
          <w:r>
            <w:t>44</w:t>
          </w:r>
          <w:r>
            <w:fldChar w:fldCharType="end"/>
          </w:r>
          <w:r>
            <w:rPr>
              <w:rFonts w:ascii="Times New Roman" w:hAnsi="Times New Roman" w:cs="Times New Roman"/>
            </w:rPr>
            <w:fldChar w:fldCharType="end"/>
          </w:r>
        </w:p>
        <w:p w14:paraId="1F3D2326">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_Toc15701 </w:instrText>
          </w:r>
          <w:r>
            <w:rPr>
              <w:rFonts w:ascii="Times New Roman" w:hAnsi="Times New Roman" w:cs="Times New Roman"/>
            </w:rPr>
            <w:fldChar w:fldCharType="separate"/>
          </w:r>
          <w:r>
            <w:rPr>
              <w:rFonts w:ascii="Times New Roman" w:hAnsi="Times New Roman"/>
              <w:szCs w:val="22"/>
            </w:rPr>
            <w:t>6.4 Validación de los escenarios</w:t>
          </w:r>
          <w:r>
            <w:tab/>
          </w:r>
          <w:r>
            <w:fldChar w:fldCharType="begin"/>
          </w:r>
          <w:r>
            <w:instrText xml:space="preserve"> PAGEREF _Toc15701 \h </w:instrText>
          </w:r>
          <w:r>
            <w:fldChar w:fldCharType="separate"/>
          </w:r>
          <w:r>
            <w:t>44</w:t>
          </w:r>
          <w:r>
            <w:fldChar w:fldCharType="end"/>
          </w:r>
          <w:r>
            <w:rPr>
              <w:rFonts w:ascii="Times New Roman" w:hAnsi="Times New Roman" w:cs="Times New Roman"/>
            </w:rPr>
            <w:fldChar w:fldCharType="end"/>
          </w:r>
        </w:p>
        <w:p w14:paraId="5373348B">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_Toc9508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s-ES" w:eastAsia="zh-CN" w:bidi="ar-SA"/>
              <w14:ligatures w14:val="standardContextual"/>
            </w:rPr>
            <w:t>7 Resultados</w:t>
          </w:r>
          <w:r>
            <w:tab/>
          </w:r>
          <w:r>
            <w:fldChar w:fldCharType="begin"/>
          </w:r>
          <w:r>
            <w:instrText xml:space="preserve"> PAGEREF _Toc9508 \h </w:instrText>
          </w:r>
          <w:r>
            <w:fldChar w:fldCharType="separate"/>
          </w:r>
          <w:r>
            <w:t>47</w:t>
          </w:r>
          <w:r>
            <w:fldChar w:fldCharType="end"/>
          </w:r>
          <w:r>
            <w:rPr>
              <w:rFonts w:ascii="Times New Roman" w:hAnsi="Times New Roman" w:cs="Times New Roman"/>
            </w:rPr>
            <w:fldChar w:fldCharType="end"/>
          </w:r>
        </w:p>
        <w:p w14:paraId="4977D55C">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_Toc24895 </w:instrText>
          </w:r>
          <w:r>
            <w:rPr>
              <w:rFonts w:ascii="Times New Roman" w:hAnsi="Times New Roman" w:cs="Times New Roman"/>
            </w:rPr>
            <w:fldChar w:fldCharType="separate"/>
          </w:r>
          <w:r>
            <w:rPr>
              <w:rFonts w:ascii="Times New Roman" w:hAnsi="Times New Roman"/>
              <w:szCs w:val="22"/>
            </w:rPr>
            <w:t>7.1 Cumplimiento de los objetivos</w:t>
          </w:r>
          <w:r>
            <w:tab/>
          </w:r>
          <w:r>
            <w:fldChar w:fldCharType="begin"/>
          </w:r>
          <w:r>
            <w:instrText xml:space="preserve"> PAGEREF _Toc24895 \h </w:instrText>
          </w:r>
          <w:r>
            <w:fldChar w:fldCharType="separate"/>
          </w:r>
          <w:r>
            <w:t>47</w:t>
          </w:r>
          <w:r>
            <w:fldChar w:fldCharType="end"/>
          </w:r>
          <w:r>
            <w:rPr>
              <w:rFonts w:ascii="Times New Roman" w:hAnsi="Times New Roman" w:cs="Times New Roman"/>
            </w:rPr>
            <w:fldChar w:fldCharType="end"/>
          </w:r>
        </w:p>
        <w:p w14:paraId="75F667EF">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_Toc8032 </w:instrText>
          </w:r>
          <w:r>
            <w:rPr>
              <w:rFonts w:ascii="Times New Roman" w:hAnsi="Times New Roman" w:cs="Times New Roman"/>
            </w:rPr>
            <w:fldChar w:fldCharType="separate"/>
          </w:r>
          <w:r>
            <w:rPr>
              <w:rFonts w:ascii="Times New Roman" w:hAnsi="Times New Roman"/>
              <w:szCs w:val="22"/>
            </w:rPr>
            <w:t>7.2 Resultados de las pruebas con usuarios</w:t>
          </w:r>
          <w:r>
            <w:tab/>
          </w:r>
          <w:r>
            <w:fldChar w:fldCharType="begin"/>
          </w:r>
          <w:r>
            <w:instrText xml:space="preserve"> PAGEREF _Toc8032 \h </w:instrText>
          </w:r>
          <w:r>
            <w:fldChar w:fldCharType="separate"/>
          </w:r>
          <w:r>
            <w:t>48</w:t>
          </w:r>
          <w:r>
            <w:fldChar w:fldCharType="end"/>
          </w:r>
          <w:r>
            <w:rPr>
              <w:rFonts w:ascii="Times New Roman" w:hAnsi="Times New Roman" w:cs="Times New Roman"/>
            </w:rPr>
            <w:fldChar w:fldCharType="end"/>
          </w:r>
        </w:p>
        <w:p w14:paraId="47C822B7">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_Toc31476 </w:instrText>
          </w:r>
          <w:r>
            <w:rPr>
              <w:rFonts w:ascii="Times New Roman" w:hAnsi="Times New Roman" w:cs="Times New Roman"/>
            </w:rPr>
            <w:fldChar w:fldCharType="separate"/>
          </w:r>
          <w:r>
            <w:rPr>
              <w:rFonts w:ascii="Times New Roman" w:hAnsi="Times New Roman"/>
              <w:szCs w:val="22"/>
            </w:rPr>
            <w:t>7.3 Comparación con soluciones de referencia</w:t>
          </w:r>
          <w:r>
            <w:tab/>
          </w:r>
          <w:r>
            <w:fldChar w:fldCharType="begin"/>
          </w:r>
          <w:r>
            <w:instrText xml:space="preserve"> PAGEREF _Toc31476 \h </w:instrText>
          </w:r>
          <w:r>
            <w:fldChar w:fldCharType="separate"/>
          </w:r>
          <w:r>
            <w:t>49</w:t>
          </w:r>
          <w:r>
            <w:fldChar w:fldCharType="end"/>
          </w:r>
          <w:r>
            <w:rPr>
              <w:rFonts w:ascii="Times New Roman" w:hAnsi="Times New Roman" w:cs="Times New Roman"/>
            </w:rPr>
            <w:fldChar w:fldCharType="end"/>
          </w:r>
        </w:p>
        <w:p w14:paraId="2CA1819B">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_Toc30012 </w:instrText>
          </w:r>
          <w:r>
            <w:rPr>
              <w:rFonts w:ascii="Times New Roman" w:hAnsi="Times New Roman" w:cs="Times New Roman"/>
            </w:rPr>
            <w:fldChar w:fldCharType="separate"/>
          </w:r>
          <w:r>
            <w:rPr>
              <w:rFonts w:ascii="Times New Roman" w:hAnsi="Times New Roman"/>
              <w:szCs w:val="22"/>
            </w:rPr>
            <w:t>7.4 Entregables y estado final del prototipo</w:t>
          </w:r>
          <w:r>
            <w:tab/>
          </w:r>
          <w:r>
            <w:fldChar w:fldCharType="begin"/>
          </w:r>
          <w:r>
            <w:instrText xml:space="preserve"> PAGEREF _Toc30012 \h </w:instrText>
          </w:r>
          <w:r>
            <w:fldChar w:fldCharType="separate"/>
          </w:r>
          <w:r>
            <w:t>50</w:t>
          </w:r>
          <w:r>
            <w:fldChar w:fldCharType="end"/>
          </w:r>
          <w:r>
            <w:rPr>
              <w:rFonts w:ascii="Times New Roman" w:hAnsi="Times New Roman" w:cs="Times New Roman"/>
            </w:rPr>
            <w:fldChar w:fldCharType="end"/>
          </w:r>
        </w:p>
        <w:p w14:paraId="3B5F49E1">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_Toc16459 </w:instrText>
          </w:r>
          <w:r>
            <w:rPr>
              <w:rFonts w:ascii="Times New Roman" w:hAnsi="Times New Roman" w:cs="Times New Roman"/>
            </w:rPr>
            <w:fldChar w:fldCharType="separate"/>
          </w:r>
          <w:r>
            <w:rPr>
              <w:rFonts w:ascii="Times New Roman" w:hAnsi="Times New Roman"/>
              <w:szCs w:val="22"/>
            </w:rPr>
            <w:t>8 Conclusiones</w:t>
          </w:r>
          <w:r>
            <w:tab/>
          </w:r>
          <w:r>
            <w:fldChar w:fldCharType="begin"/>
          </w:r>
          <w:r>
            <w:instrText xml:space="preserve"> PAGEREF _Toc16459 \h </w:instrText>
          </w:r>
          <w:r>
            <w:fldChar w:fldCharType="separate"/>
          </w:r>
          <w:r>
            <w:t>51</w:t>
          </w:r>
          <w:r>
            <w:fldChar w:fldCharType="end"/>
          </w:r>
          <w:r>
            <w:rPr>
              <w:rFonts w:ascii="Times New Roman" w:hAnsi="Times New Roman" w:cs="Times New Roman"/>
            </w:rPr>
            <w:fldChar w:fldCharType="end"/>
          </w:r>
        </w:p>
        <w:p w14:paraId="118D9443">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_Toc20123 </w:instrText>
          </w:r>
          <w:r>
            <w:rPr>
              <w:rFonts w:ascii="Times New Roman" w:hAnsi="Times New Roman" w:cs="Times New Roman"/>
            </w:rPr>
            <w:fldChar w:fldCharType="separate"/>
          </w:r>
          <w:r>
            <w:rPr>
              <w:rFonts w:ascii="Times New Roman" w:hAnsi="Times New Roman"/>
              <w:szCs w:val="22"/>
            </w:rPr>
            <w:t>9 Trabajos futuros</w:t>
          </w:r>
          <w:r>
            <w:tab/>
          </w:r>
          <w:r>
            <w:fldChar w:fldCharType="begin"/>
          </w:r>
          <w:r>
            <w:instrText xml:space="preserve"> PAGEREF _Toc20123 \h </w:instrText>
          </w:r>
          <w:r>
            <w:fldChar w:fldCharType="separate"/>
          </w:r>
          <w:r>
            <w:t>52</w:t>
          </w:r>
          <w:r>
            <w:fldChar w:fldCharType="end"/>
          </w:r>
          <w:r>
            <w:rPr>
              <w:rFonts w:ascii="Times New Roman" w:hAnsi="Times New Roman" w:cs="Times New Roman"/>
            </w:rPr>
            <w:fldChar w:fldCharType="end"/>
          </w:r>
        </w:p>
        <w:p w14:paraId="5563E10E">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_Toc15773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s-ES" w:eastAsia="zh-CN" w:bidi="ar-SA"/>
              <w14:ligatures w14:val="standardContextual"/>
            </w:rPr>
            <w:t>10 Bibliografía</w:t>
          </w:r>
          <w:r>
            <w:tab/>
          </w:r>
          <w:r>
            <w:fldChar w:fldCharType="begin"/>
          </w:r>
          <w:r>
            <w:instrText xml:space="preserve"> PAGEREF _Toc15773 \h </w:instrText>
          </w:r>
          <w:r>
            <w:fldChar w:fldCharType="separate"/>
          </w:r>
          <w:r>
            <w:t>53</w:t>
          </w:r>
          <w:r>
            <w:fldChar w:fldCharType="end"/>
          </w:r>
          <w:r>
            <w:rPr>
              <w:rFonts w:ascii="Times New Roman" w:hAnsi="Times New Roman" w:cs="Times New Roman"/>
            </w:rPr>
            <w:fldChar w:fldCharType="end"/>
          </w:r>
        </w:p>
        <w:p w14:paraId="3E66CEE4">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r>
            <w:rPr>
              <w:rFonts w:ascii="Times New Roman" w:hAnsi="Times New Roman" w:cs="Times New Roman"/>
            </w:rPr>
            <w:fldChar w:fldCharType="end"/>
          </w:r>
        </w:p>
      </w:sdtContent>
    </w:sdt>
    <w:p w14:paraId="61E27B8B">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4D0B2AFA">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65EE5372">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11BCC21E">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69FE2FB7">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72DB1607">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4EF6EE9D">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05C0EB9F">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6EA14FE4">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4AFE4601">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4E3BBC67">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748746D7">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18EDEB73">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2DD0443B">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3C2539B6">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145FF97F">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2A0684FC">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0A448AD1">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1311166D">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68AB8C5B">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6DF0271D">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p>
    <w:p w14:paraId="715C3B51">
      <w:pPr>
        <w:spacing w:after="120" w:line="240" w:lineRule="auto"/>
        <w:jc w:val="both"/>
        <w:rPr>
          <w:rFonts w:ascii="Times New Roman" w:hAnsi="Times New Roman" w:cs="Times New Roman" w:eastAsiaTheme="minorEastAsia"/>
          <w:kern w:val="2"/>
          <w:sz w:val="22"/>
          <w:szCs w:val="24"/>
          <w:lang w:val="es-ES" w:eastAsia="zh-CN" w:bidi="ar-SA"/>
          <w14:ligatures w14:val="standardContextual"/>
        </w:rPr>
      </w:pPr>
      <w:bookmarkStart w:id="38" w:name="_GoBack"/>
      <w:bookmarkEnd w:id="38"/>
    </w:p>
    <w:p w14:paraId="1474AC6E">
      <w:pPr>
        <w:spacing w:after="120" w:line="240" w:lineRule="auto"/>
        <w:jc w:val="both"/>
        <w:rPr>
          <w:rFonts w:ascii="Times New Roman" w:hAnsi="Times New Roman" w:cs="Times New Roman"/>
        </w:rPr>
      </w:pPr>
    </w:p>
    <w:p w14:paraId="0753D63E">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s-ES" w:eastAsia="zh-CN" w:bidi="ar-SA"/>
          <w14:ligatures w14:val="standardContextual"/>
        </w:rPr>
      </w:pPr>
      <w:bookmarkStart w:id="0" w:name="_Toc22824"/>
      <w:r>
        <w:rPr>
          <w:rFonts w:ascii="Times New Roman" w:hAnsi="Times New Roman" w:cs="Times New Roman" w:eastAsiaTheme="majorEastAsia"/>
          <w:b/>
          <w:color w:val="104862" w:themeColor="accent1" w:themeShade="BF"/>
          <w:kern w:val="2"/>
          <w:sz w:val="24"/>
          <w:szCs w:val="48"/>
          <w:lang w:val="es-ES" w:eastAsia="zh-CN" w:bidi="ar-SA"/>
          <w14:ligatures w14:val="standardContextual"/>
        </w:rPr>
        <w:t>1 Introducción</w:t>
      </w:r>
      <w:bookmarkEnd w:id="0"/>
    </w:p>
    <w:p w14:paraId="14067A7B">
      <w:pPr>
        <w:spacing w:after="120" w:line="240" w:lineRule="auto"/>
        <w:jc w:val="both"/>
        <w:rPr>
          <w:rFonts w:ascii="Times New Roman" w:hAnsi="Times New Roman" w:cs="Times New Roman"/>
        </w:rPr>
      </w:pPr>
      <w:r>
        <w:rPr>
          <w:rFonts w:ascii="Times New Roman" w:hAnsi="Times New Roman" w:cs="Times New Roman"/>
        </w:rPr>
        <w:t>Este capítulo presenta el contexto, los objetivos y el proceso de desarrollo de VLVS: Virtual Low-Vision Simulator. Un Paso a Ciegas, un prototipo de realidad virtual centrado en la sensibilización sobre la movilidad urbana con visión reducida. El contenido se organiza en cinco apartados: contextualización, objetivos, metodología, etapas del proyecto y estructura de la memoria.</w:t>
      </w:r>
    </w:p>
    <w:p w14:paraId="463CE38B">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s-ES" w:eastAsia="zh-CN" w:bidi="ar-SA"/>
          <w14:ligatures w14:val="standardContextual"/>
        </w:rPr>
      </w:pPr>
      <w:bookmarkStart w:id="1" w:name="_Toc3624"/>
      <w:r>
        <w:rPr>
          <w:rFonts w:ascii="Times New Roman" w:hAnsi="Times New Roman" w:cs="Times New Roman" w:eastAsiaTheme="majorEastAsia"/>
          <w:b/>
          <w:color w:val="104862" w:themeColor="accent1" w:themeShade="BF"/>
          <w:kern w:val="2"/>
          <w:sz w:val="22"/>
          <w:szCs w:val="40"/>
          <w:lang w:val="es-ES" w:eastAsia="zh-CN" w:bidi="ar-SA"/>
          <w14:ligatures w14:val="standardContextual"/>
        </w:rPr>
        <w:t>1.1 Contextualización</w:t>
      </w:r>
      <w:bookmarkEnd w:id="1"/>
    </w:p>
    <w:p w14:paraId="2CA9E3B8">
      <w:pPr>
        <w:spacing w:after="120" w:line="240" w:lineRule="auto"/>
        <w:jc w:val="both"/>
        <w:rPr>
          <w:rFonts w:ascii="Times New Roman" w:hAnsi="Times New Roman" w:cs="Times New Roman"/>
        </w:rPr>
      </w:pPr>
      <w:r>
        <w:rPr>
          <w:rFonts w:ascii="Times New Roman" w:hAnsi="Times New Roman" w:cs="Times New Roman"/>
        </w:rPr>
        <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
      </w:r>
    </w:p>
    <w:p w14:paraId="6068BE7C">
      <w:pPr>
        <w:spacing w:after="120" w:line="240" w:lineRule="auto"/>
        <w:jc w:val="both"/>
        <w:rPr>
          <w:rFonts w:ascii="Times New Roman" w:hAnsi="Times New Roman" w:cs="Times New Roman"/>
        </w:rPr>
      </w:pPr>
      <w:r>
        <w:rPr>
          <w:rFonts w:ascii="Times New Roman" w:hAnsi="Times New Roman" w:cs="Times New Roman"/>
        </w:rPr>
        <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
      </w:r>
    </w:p>
    <w:p w14:paraId="57885B42">
      <w:pPr>
        <w:spacing w:after="120" w:line="240" w:lineRule="auto"/>
        <w:jc w:val="both"/>
        <w:rPr>
          <w:rFonts w:ascii="Times New Roman" w:hAnsi="Times New Roman" w:cs="Times New Roman"/>
        </w:rPr>
      </w:pPr>
      <w:r>
        <w:rPr>
          <w:rFonts w:ascii="Times New Roman" w:hAnsi="Times New Roman" w:cs="Times New Roman"/>
        </w:rPr>
        <w:t>En la vida cotidiana, acciones como caminar por una acera, detectar un obstáculo, cruzar una calle o localizar un destino pueden complicarse si faltan apoyos accesibles. 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mucho de unas personas a otras y depende tanto de factores personales como del entorno urbano y de la percepción de seguridad.</w:t>
      </w:r>
    </w:p>
    <w:p w14:paraId="3CE539C2">
      <w:pPr>
        <w:spacing w:after="120" w:line="240" w:lineRule="auto"/>
        <w:jc w:val="both"/>
        <w:rPr>
          <w:rFonts w:ascii="Times New Roman" w:hAnsi="Times New Roman" w:cs="Times New Roman"/>
        </w:rPr>
      </w:pPr>
      <w:r>
        <w:rPr>
          <w:rFonts w:ascii="Times New Roman" w:hAnsi="Times New Roman" w:cs="Times New Roman"/>
        </w:rPr>
        <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 (NEI, 2024; XREye, s. f.).</w:t>
      </w:r>
    </w:p>
    <w:p w14:paraId="435504BA">
      <w:pPr>
        <w:spacing w:after="120" w:line="240" w:lineRule="auto"/>
        <w:jc w:val="both"/>
        <w:rPr>
          <w:rFonts w:ascii="Times New Roman" w:hAnsi="Times New Roman" w:cs="Times New Roman"/>
        </w:rPr>
      </w:pPr>
      <w:r>
        <w:rPr>
          <w:rFonts w:ascii="Times New Roman" w:hAnsi="Times New Roman" w:cs="Times New Roman"/>
        </w:rPr>
        <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recordar que se trata de una simulación pedagógica, no de una reproducción exacta de la experiencia vivida.</w:t>
      </w:r>
    </w:p>
    <w:p w14:paraId="5F535948">
      <w:pPr>
        <w:spacing w:after="120" w:line="240" w:lineRule="auto"/>
        <w:jc w:val="both"/>
        <w:rPr>
          <w:rFonts w:ascii="Times New Roman" w:hAnsi="Times New Roman" w:cs="Times New Roman"/>
        </w:rPr>
      </w:pPr>
      <w:r>
        <w:rPr>
          <w:rFonts w:ascii="Times New Roman" w:hAnsi="Times New Roman" w:cs="Times New Roman"/>
        </w:rPr>
        <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quedan en una demostración visual o en escenas poco estructuradas, sin plantear una secuencia clara de tareas ni integrar de forma equilibrada los apoyos no visuales.</w:t>
      </w:r>
    </w:p>
    <w:p w14:paraId="30ED4EA8">
      <w:pPr>
        <w:spacing w:after="120" w:line="240" w:lineRule="auto"/>
        <w:jc w:val="both"/>
        <w:rPr>
          <w:rFonts w:ascii="Times New Roman" w:hAnsi="Times New Roman" w:cs="Times New Roman"/>
        </w:rPr>
      </w:pPr>
      <w:r>
        <w:rPr>
          <w:rFonts w:ascii="Times New Roman" w:hAnsi="Times New Roman" w:cs="Times New Roman"/>
        </w:rPr>
        <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permitir que el público general experimente, de forma práctica, cómo cambian la orientación y la seguridad cuando la vista deja de ser la principal fuente de información, y qué papel tienen los apoyos accesibles en ese proceso.</w:t>
      </w:r>
    </w:p>
    <w:p w14:paraId="729E552D">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s-ES" w:eastAsia="zh-CN" w:bidi="ar-SA"/>
          <w14:ligatures w14:val="standardContextual"/>
        </w:rPr>
      </w:pPr>
      <w:bookmarkStart w:id="2" w:name="_Toc30799"/>
      <w:r>
        <w:rPr>
          <w:rFonts w:ascii="Times New Roman" w:hAnsi="Times New Roman" w:cs="Times New Roman" w:eastAsiaTheme="majorEastAsia"/>
          <w:b/>
          <w:color w:val="104862" w:themeColor="accent1" w:themeShade="BF"/>
          <w:kern w:val="2"/>
          <w:sz w:val="22"/>
          <w:szCs w:val="40"/>
          <w:lang w:val="es-ES" w:eastAsia="zh-CN" w:bidi="ar-SA"/>
          <w14:ligatures w14:val="standardContextual"/>
        </w:rPr>
        <w:t>1.2 Objetivos</w:t>
      </w:r>
      <w:bookmarkEnd w:id="2"/>
    </w:p>
    <w:p w14:paraId="4EEBE5FB">
      <w:pPr>
        <w:spacing w:after="120" w:line="240" w:lineRule="auto"/>
        <w:jc w:val="both"/>
        <w:rPr>
          <w:rFonts w:ascii="Times New Roman" w:hAnsi="Times New Roman" w:cs="Times New Roman"/>
        </w:rPr>
      </w:pPr>
      <w:r>
        <w:rPr>
          <w:rFonts w:ascii="Times New Roman" w:hAnsi="Times New Roman" w:cs="Times New Roman"/>
        </w:rPr>
        <w:t>El objetivo general de este Trabajo Fin de Grado es diseñar y desarrollar un prototipo de realidad virtual destinado a sensibilizar al público general sobre la discapacidad visual y la accesibilidad en entornos urbanos. El prototipo no se plantea como una ayuda de movilidad para personas con discapacidad visual, sino como una herramienta educativa y de reflexión basada en una experiencia inmersiva. A partir de este objetivo general se definen los siguientes objetivos específicos:</w:t>
      </w:r>
    </w:p>
    <w:p w14:paraId="17D94A2D">
      <w:pPr>
        <w:spacing w:after="120" w:line="240" w:lineRule="auto"/>
        <w:jc w:val="both"/>
        <w:rPr>
          <w:rFonts w:ascii="Times New Roman" w:hAnsi="Times New Roman" w:cs="Times New Roman"/>
        </w:rPr>
      </w:pPr>
      <w:r>
        <w:rPr>
          <w:rFonts w:ascii="Times New Roman" w:hAnsi="Times New Roman" w:cs="Times New Roman"/>
        </w:rPr>
        <w:t>- Revisar la bibliografía sobre discapacidad visual, accesibilidad urbana y realidad virtual aplicada a la sensibilización. Para ello se consultarán artículos científicos, informes institucionales y proyectos de referencia relacionados con la movilidad, el diseño accesible y el uso educativo de entornos inmersivos.</w:t>
      </w:r>
    </w:p>
    <w:p w14:paraId="67EFEE84">
      <w:pPr>
        <w:spacing w:after="120" w:line="240" w:lineRule="auto"/>
        <w:jc w:val="both"/>
        <w:rPr>
          <w:rFonts w:ascii="Times New Roman" w:hAnsi="Times New Roman" w:cs="Times New Roman"/>
        </w:rPr>
      </w:pPr>
      <w:r>
        <w:rPr>
          <w:rFonts w:ascii="Times New Roman" w:hAnsi="Times New Roman" w:cs="Times New Roman"/>
        </w:rPr>
        <w:t>Esta revisión permitirá justificar el proyecto, identificar las principales barreras de la movilidad cotidiana y seleccionar los elementos que deben representarse en el prototipo.</w:t>
      </w:r>
    </w:p>
    <w:p w14:paraId="66BB004A">
      <w:pPr>
        <w:spacing w:after="120" w:line="240" w:lineRule="auto"/>
        <w:jc w:val="both"/>
        <w:rPr>
          <w:rFonts w:ascii="Times New Roman" w:hAnsi="Times New Roman" w:cs="Times New Roman"/>
        </w:rPr>
      </w:pPr>
      <w:r>
        <w:rPr>
          <w:rFonts w:ascii="Times New Roman" w:hAnsi="Times New Roman" w:cs="Times New Roman"/>
        </w:rPr>
        <w:t>- Analizar soluciones existentes que simulan alteraciones visuales o experiencias relacionadas con la accesibilidad. La comparación considerará el tipo de simulación, el grado de interacción, la presencia de apoyos sonoros o hápticos, la claridad de las tareas y su utilidad en actividades de sensibilización.</w:t>
      </w:r>
    </w:p>
    <w:p w14:paraId="105CBAA8">
      <w:pPr>
        <w:spacing w:after="120" w:line="240" w:lineRule="auto"/>
        <w:jc w:val="both"/>
        <w:rPr>
          <w:rFonts w:ascii="Times New Roman" w:hAnsi="Times New Roman" w:cs="Times New Roman"/>
        </w:rPr>
      </w:pPr>
      <w:r>
        <w:rPr>
          <w:rFonts w:ascii="Times New Roman" w:hAnsi="Times New Roman" w:cs="Times New Roman"/>
        </w:rPr>
        <w:t>El análisis servirá para reconocer las fortalezas y limitaciones de estas propuestas y para determinar qué recursos pueden incorporarse o mejorarse en VLVS, especialmente en lo relativo a las tareas de movilidad urbana y a las ayudas no visuales.</w:t>
      </w:r>
    </w:p>
    <w:p w14:paraId="54D0FAF5">
      <w:pPr>
        <w:spacing w:after="120" w:line="240" w:lineRule="auto"/>
        <w:jc w:val="both"/>
        <w:rPr>
          <w:rFonts w:ascii="Times New Roman" w:hAnsi="Times New Roman" w:cs="Times New Roman"/>
        </w:rPr>
      </w:pPr>
      <w:r>
        <w:rPr>
          <w:rFonts w:ascii="Times New Roman" w:hAnsi="Times New Roman" w:cs="Times New Roman"/>
        </w:rPr>
        <w:t>- Diseñar una experiencia inmersiva de realidad virtual ambientada en un entorno urbano reconocible. El escenario incluirá aceras, pasos de peatones, calzada, semáforos, tráfico, obstáculos y un destino final claramente identificable. Su distribución deberá facilitar la comprensión del recorrido y, al mismo tiempo, plantear dificultades que obliguen al usuario a prestar atención al entorno y a utilizar los recursos accesibles.</w:t>
      </w:r>
    </w:p>
    <w:p w14:paraId="5E0BB0D3">
      <w:pPr>
        <w:spacing w:after="120" w:line="240" w:lineRule="auto"/>
        <w:jc w:val="both"/>
        <w:rPr>
          <w:rFonts w:ascii="Times New Roman" w:hAnsi="Times New Roman" w:cs="Times New Roman"/>
        </w:rPr>
      </w:pPr>
      <w:r>
        <w:rPr>
          <w:rFonts w:ascii="Times New Roman" w:hAnsi="Times New Roman" w:cs="Times New Roman"/>
        </w:rPr>
        <w:t>De este modo, la alteración visual se relacionará con una situación concreta de movilidad en la que influya en la orientación, la seguridad y la toma de decisiones.</w:t>
      </w:r>
    </w:p>
    <w:p w14:paraId="167A8511">
      <w:pPr>
        <w:spacing w:after="120" w:line="240" w:lineRule="auto"/>
        <w:jc w:val="both"/>
        <w:rPr>
          <w:rFonts w:ascii="Times New Roman" w:hAnsi="Times New Roman" w:cs="Times New Roman"/>
        </w:rPr>
      </w:pPr>
      <w:r>
        <w:rPr>
          <w:rFonts w:ascii="Times New Roman" w:hAnsi="Times New Roman" w:cs="Times New Roman"/>
        </w:rPr>
        <w:t>- Diseñar e implementar distintos modos de visión reducida. Los modos modificarán la percepción de la escena mediante la reducción del campo visible, el desenfoque o la disminución del contraste y de la luminosidad. El usuario podrá seleccionar uno de ellos antes de iniciar el recorrido.</w:t>
      </w:r>
    </w:p>
    <w:p w14:paraId="061825C1">
      <w:pPr>
        <w:spacing w:after="120" w:line="240" w:lineRule="auto"/>
        <w:jc w:val="both"/>
        <w:rPr>
          <w:rFonts w:ascii="Times New Roman" w:hAnsi="Times New Roman" w:cs="Times New Roman"/>
        </w:rPr>
      </w:pPr>
      <w:r>
        <w:rPr>
          <w:rFonts w:ascii="Times New Roman" w:hAnsi="Times New Roman" w:cs="Times New Roman"/>
        </w:rPr>
        <w:t>Estas simulaciones no se presentarán como reproducciones clínicas exactas, sino como recursos pedagógicos destinados a modificar la percepción del entorno y aumentar la dificultad de orientación.</w:t>
      </w:r>
    </w:p>
    <w:p w14:paraId="5B729C0E">
      <w:pPr>
        <w:spacing w:after="120" w:line="240" w:lineRule="auto"/>
        <w:jc w:val="both"/>
        <w:rPr>
          <w:rFonts w:ascii="Times New Roman" w:hAnsi="Times New Roman" w:cs="Times New Roman"/>
        </w:rPr>
      </w:pPr>
      <w:r>
        <w:rPr>
          <w:rFonts w:ascii="Times New Roman" w:hAnsi="Times New Roman" w:cs="Times New Roman"/>
        </w:rPr>
        <w:t>- Desarrollar un sistema de interacción basado en señales visuales, sonoras y hápticas. El prototipo incorporará un bastón virtual, audio espacial, avisos de peligro y vibraciones en los mandos para ayudar a reconocer superficies, detectar obstáculos, localizar objetivos y afrontar el cruce de la calzada.</w:t>
      </w:r>
    </w:p>
    <w:p w14:paraId="6D400727">
      <w:pPr>
        <w:spacing w:after="120" w:line="240" w:lineRule="auto"/>
        <w:jc w:val="both"/>
        <w:rPr>
          <w:rFonts w:ascii="Times New Roman" w:hAnsi="Times New Roman" w:cs="Times New Roman"/>
        </w:rPr>
      </w:pPr>
      <w:r>
        <w:rPr>
          <w:rFonts w:ascii="Times New Roman" w:hAnsi="Times New Roman" w:cs="Times New Roman"/>
        </w:rPr>
        <w:t>La combinación de estos recursos permitirá mostrar la función de los apoyos no visuales y las estrategias que aparecen cuando la visión deja de ser la principal referencia durante el desplazamiento.</w:t>
      </w:r>
    </w:p>
    <w:p w14:paraId="34704DE0">
      <w:pPr>
        <w:spacing w:after="120" w:line="240" w:lineRule="auto"/>
        <w:jc w:val="both"/>
        <w:rPr>
          <w:rFonts w:ascii="Times New Roman" w:hAnsi="Times New Roman" w:cs="Times New Roman"/>
        </w:rPr>
      </w:pPr>
      <w:r>
        <w:rPr>
          <w:rFonts w:ascii="Times New Roman" w:hAnsi="Times New Roman" w:cs="Times New Roman"/>
        </w:rPr>
        <w:t>- Organizar la experiencia mediante tareas progresivas. El recorrido se dividirá en fases secuenciales, como avanzar por la acera, cruzar la calzada y localizar la entrada del metro. Cada tarea se activará en el momento correspondiente y el sistema registrará el progreso del usuario.</w:t>
      </w:r>
    </w:p>
    <w:p w14:paraId="0380BDF1">
      <w:pPr>
        <w:spacing w:after="120" w:line="240" w:lineRule="auto"/>
        <w:jc w:val="both"/>
        <w:rPr>
          <w:rFonts w:ascii="Times New Roman" w:hAnsi="Times New Roman" w:cs="Times New Roman"/>
        </w:rPr>
      </w:pPr>
      <w:r>
        <w:rPr>
          <w:rFonts w:ascii="Times New Roman" w:hAnsi="Times New Roman" w:cs="Times New Roman"/>
        </w:rPr>
        <w:t>Esta estructura proporcionará un inicio, un desarrollo y una meta definidos, además de facilitar el análisis de las dificultades encontradas en cada parte del recorrido.</w:t>
      </w:r>
    </w:p>
    <w:p w14:paraId="5364D8E0">
      <w:pPr>
        <w:spacing w:after="120" w:line="240" w:lineRule="auto"/>
        <w:jc w:val="both"/>
        <w:rPr>
          <w:rFonts w:ascii="Times New Roman" w:hAnsi="Times New Roman" w:cs="Times New Roman"/>
        </w:rPr>
      </w:pPr>
      <w:r>
        <w:rPr>
          <w:rFonts w:ascii="Times New Roman" w:hAnsi="Times New Roman" w:cs="Times New Roman"/>
        </w:rPr>
        <w:t>- Evaluar el prototipo desde los puntos de vista técnico y de experiencia de usuario. Las pruebas técnicas comprobarán el rendimiento, la estabilidad, la lógica de tareas, los modos visuales y la integración del audio, la interacción háptica y el tráfico. Las sesiones con usuarios permitirán observar el comportamiento durante el recorrido, detectar puntos de confusión y valorar la utilidad de las ayudas disponibles.</w:t>
      </w:r>
    </w:p>
    <w:p w14:paraId="0F38259A">
      <w:pPr>
        <w:spacing w:after="120" w:line="240" w:lineRule="auto"/>
        <w:jc w:val="both"/>
        <w:rPr>
          <w:rFonts w:ascii="Times New Roman" w:hAnsi="Times New Roman" w:cs="Times New Roman"/>
        </w:rPr>
      </w:pPr>
      <w:r>
        <w:rPr>
          <w:rFonts w:ascii="Times New Roman" w:hAnsi="Times New Roman" w:cs="Times New Roman"/>
        </w:rPr>
        <w:t>Los resultados de la evaluación se utilizarán para corregir errores, ajustar la dificultad, mejorar la interfaz y determinar si el prototipo cumple su finalidad como herramienta de sensibilización.</w:t>
      </w:r>
    </w:p>
    <w:p w14:paraId="31578C14">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s-ES" w:eastAsia="zh-CN" w:bidi="ar-SA"/>
          <w14:ligatures w14:val="standardContextual"/>
        </w:rPr>
      </w:pPr>
      <w:bookmarkStart w:id="3" w:name="_Toc17944"/>
      <w:r>
        <w:rPr>
          <w:rFonts w:ascii="Times New Roman" w:hAnsi="Times New Roman" w:cs="Times New Roman" w:eastAsiaTheme="majorEastAsia"/>
          <w:b/>
          <w:color w:val="104862" w:themeColor="accent1" w:themeShade="BF"/>
          <w:kern w:val="2"/>
          <w:sz w:val="22"/>
          <w:szCs w:val="40"/>
          <w:lang w:val="es-ES" w:eastAsia="zh-CN" w:bidi="ar-SA"/>
          <w14:ligatures w14:val="standardContextual"/>
        </w:rPr>
        <w:t>1.3 Metodología</w:t>
      </w:r>
      <w:bookmarkEnd w:id="3"/>
    </w:p>
    <w:p w14:paraId="283086ED">
      <w:pPr>
        <w:spacing w:after="120" w:line="240" w:lineRule="auto"/>
        <w:jc w:val="both"/>
        <w:rPr>
          <w:rFonts w:ascii="Times New Roman" w:hAnsi="Times New Roman" w:cs="Times New Roman"/>
        </w:rPr>
      </w:pPr>
      <w:r>
        <w:rPr>
          <w:rFonts w:ascii="Times New Roman" w:hAnsi="Times New Roman" w:cs="Times New Roman"/>
        </w:rPr>
        <w:t>El proyecto se desarrolló mediante una metodología iterativa e incremental. En lugar de construir la experiencia completa en una única fase, el trabajo se dividió en ciclos sucesivos de implementación, prueba y revisión. Este enfoque permitió incorporar las observaciones del tutor, los resultados de las pruebas y los problemas detectados en cada iteración.</w:t>
      </w:r>
    </w:p>
    <w:p w14:paraId="676DFF1F">
      <w:pPr>
        <w:spacing w:after="120" w:line="240" w:lineRule="auto"/>
        <w:jc w:val="both"/>
        <w:rPr>
          <w:rFonts w:ascii="Times New Roman" w:hAnsi="Times New Roman" w:cs="Times New Roman"/>
        </w:rPr>
      </w:pPr>
      <w:r>
        <w:rPr>
          <w:rFonts w:ascii="Times New Roman" w:hAnsi="Times New Roman" w:cs="Times New Roman"/>
        </w:rPr>
        <w:t>La primera versión del simulador incluía los componentes esenciales del recorrido: el desplazamiento del usuario, la estructura básica del escenario y una lógica inicial de tareas. Una vez validados estos elementos en Unity, se añadieron los modos de visión reducida, el bastón virtual, el tráfico, el audio espacial y la pantalla de resultados. Cada ciclo incluyó ajustes de jugabilidad, revisión de las ayudas visuales y no visuales, corrección de incidencias y optimización del rendimiento.</w:t>
      </w:r>
    </w:p>
    <w:p w14:paraId="0ACE68D8">
      <w:pPr>
        <w:spacing w:after="120" w:line="240" w:lineRule="auto"/>
        <w:jc w:val="both"/>
        <w:rPr>
          <w:rFonts w:ascii="Times New Roman" w:hAnsi="Times New Roman" w:cs="Times New Roman"/>
        </w:rPr>
      </w:pPr>
      <w:r>
        <w:rPr>
          <w:rFonts w:ascii="Times New Roman" w:hAnsi="Times New Roman" w:cs="Times New Roman"/>
        </w:rPr>
        <w:t>La planificación se organizó en ciclos de aproximadamente dos semanas, distribuidos entre documentación, diseño, implementación y pruebas. Durante la fase de diseño se elaboraron en Canva los diagramas de interfaz y del flujo de la experiencia, y se realizaron bocetos manuales del escenario, el recorrido y los puntos de interacción. Los recursos tridimensionales se modelaron en 3ds Max y Blender antes de integrarse en Unity.</w:t>
      </w:r>
    </w:p>
    <w:p w14:paraId="7D8FB664">
      <w:pPr>
        <w:spacing w:after="120" w:line="240" w:lineRule="auto"/>
        <w:jc w:val="both"/>
        <w:rPr>
          <w:rFonts w:ascii="Times New Roman" w:hAnsi="Times New Roman" w:cs="Times New Roman"/>
        </w:rPr>
      </w:pPr>
      <w:r>
        <w:rPr>
          <w:rFonts w:hint="eastAsia" w:ascii="Times New Roman" w:hAnsi="Times New Roman" w:cs="Times New Roman"/>
        </w:rPr>
        <w:t>El flujo técnico comenzó con la definición del recorrido y de las funciones principales. A continuación, se implementaron los sistemas en Unity y se probaron tanto en el simulador XR como en el visor. Cuando cada bloque alcanzaba un nivel suficiente de estabilidad, los cambios se registraban en Git mediante GitKraken, lo que permitió mantener un historial organizado y recuperar versiones anteriores. La ambientación sonora se preparó en FL Studio 2025 y posteriormente se integró en el motor.</w:t>
      </w:r>
    </w:p>
    <w:p w14:paraId="60204F4D">
      <w:pPr>
        <w:spacing w:after="120" w:line="240" w:lineRule="auto"/>
        <w:jc w:val="both"/>
        <w:rPr>
          <w:rFonts w:ascii="Times New Roman" w:hAnsi="Times New Roman" w:cs="Times New Roman"/>
        </w:rPr>
      </w:pPr>
      <w:r>
        <w:rPr>
          <w:rFonts w:hint="eastAsia" w:ascii="Times New Roman" w:hAnsi="Times New Roman" w:cs="Times New Roman"/>
        </w:rPr>
        <w:t>La validación se mantuvo durante todo el desarrollo mediante pruebas funcionales y sesiones breves con usuarios. Sus resultados permitieron ajustar la interacción, el escenario y el sonido antes de cerrar la versión final. El apartado 1.4 detalla las fases, los objetivos, los entregables y el calendario de trabajo.</w:t>
      </w:r>
    </w:p>
    <w:p w14:paraId="7DC45B76">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s-ES" w:eastAsia="zh-CN" w:bidi="ar-SA"/>
          <w14:ligatures w14:val="standardContextual"/>
        </w:rPr>
      </w:pPr>
      <w:bookmarkStart w:id="4" w:name="_Toc243"/>
      <w:r>
        <w:rPr>
          <w:rFonts w:ascii="Times New Roman" w:hAnsi="Times New Roman" w:cs="Times New Roman" w:eastAsiaTheme="majorEastAsia"/>
          <w:b/>
          <w:color w:val="104862" w:themeColor="accent1" w:themeShade="BF"/>
          <w:kern w:val="2"/>
          <w:sz w:val="22"/>
          <w:szCs w:val="40"/>
          <w:lang w:val="es-ES" w:eastAsia="zh-CN" w:bidi="ar-SA"/>
          <w14:ligatures w14:val="standardContextual"/>
        </w:rPr>
        <w:t>1.4 Etapas del proyecto</w:t>
      </w:r>
      <w:bookmarkEnd w:id="4"/>
    </w:p>
    <w:p w14:paraId="5435C56F">
      <w:pPr>
        <w:spacing w:after="120" w:line="240" w:lineRule="auto"/>
        <w:jc w:val="both"/>
        <w:rPr>
          <w:rFonts w:ascii="Times New Roman" w:hAnsi="Times New Roman" w:cs="Times New Roman"/>
        </w:rPr>
      </w:pPr>
      <w:r>
        <w:rPr>
          <w:rFonts w:ascii="Times New Roman" w:hAnsi="Times New Roman" w:cs="Times New Roman"/>
        </w:rPr>
        <w:t>El desarrollo del prototipo se dividió en cuatro etapas, realizadas entre marzo y agosto. Cada fase incluyó objetivos concretos, entregables y puntos de revisión que permitieron comprobar el avance y adaptar las prioridades a los problemas detectados. Las observaciones del tutor y los resultados de las pruebas se incorporaron de forma continua.</w:t>
      </w:r>
    </w:p>
    <w:p w14:paraId="27547C19">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5" w:name="_Toc18669"/>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1 Investigación:</w:t>
      </w:r>
      <w:bookmarkEnd w:id="5"/>
    </w:p>
    <w:p w14:paraId="4A2FE46E">
      <w:pPr>
        <w:spacing w:after="120" w:line="240" w:lineRule="auto"/>
        <w:ind w:firstLine="420" w:firstLineChars="0"/>
        <w:jc w:val="both"/>
        <w:rPr>
          <w:rFonts w:ascii="Times New Roman" w:hAnsi="Times New Roman" w:cs="Times New Roman"/>
        </w:rPr>
      </w:pPr>
      <w:r>
        <w:rPr>
          <w:rFonts w:ascii="Times New Roman" w:hAnsi="Times New Roman" w:cs="Times New Roman"/>
        </w:rPr>
        <w:t>La primera etapa, desarrollada principalmente entre marzo y abril, estableció las bases teóricas y prácticas del proyecto. Se revisaron artículos científicos, informes institucionales y trabajos previos sobre discapacidad visual, movilidad urbana, accesibilidad y realidad virtual aplicada a la sensibilización (OMS, 2024; Brock y Jouffrais, 2015; NEI, 2024). También se analizaron Tengo Baja Visión VR (Retina Gipuzkoa Begisare, s. f.), BlindSimulator (Funnybon, s. f.) y XREye (s. f.), atendiendo a su grado de inmersión, sus modos de simulación y la presencia de apoyos no visuales. A partir de esta información se definieron los usuarios potenciales —público general y participantes de talleres formativos—, los requisitos iniciales y las primeras decisiones de diseño.</w:t>
      </w:r>
    </w:p>
    <w:p w14:paraId="53EC18AC">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6" w:name="_Toc6099"/>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2. Planificación:</w:t>
      </w:r>
      <w:bookmarkEnd w:id="6"/>
    </w:p>
    <w:p w14:paraId="72509B07">
      <w:pPr>
        <w:spacing w:after="120" w:line="240" w:lineRule="auto"/>
        <w:ind w:firstLine="420" w:firstLineChars="0"/>
        <w:jc w:val="both"/>
        <w:rPr>
          <w:rFonts w:ascii="Times New Roman" w:hAnsi="Times New Roman" w:cs="Times New Roman"/>
        </w:rPr>
      </w:pPr>
      <w:r>
        <w:rPr>
          <w:rFonts w:ascii="Times New Roman" w:hAnsi="Times New Roman" w:cs="Times New Roman"/>
        </w:rPr>
        <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sistemas antes de pasar a la implementación.</w:t>
      </w:r>
    </w:p>
    <w:p w14:paraId="5173568A">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7" w:name="_Toc17749"/>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3. Desarrollo e implementación:</w:t>
      </w:r>
      <w:bookmarkEnd w:id="7"/>
    </w:p>
    <w:p w14:paraId="1BB38FFB">
      <w:pPr>
        <w:spacing w:after="120" w:line="240" w:lineRule="auto"/>
        <w:ind w:firstLine="420" w:firstLineChars="0"/>
        <w:jc w:val="both"/>
        <w:rPr>
          <w:rFonts w:ascii="Times New Roman" w:hAnsi="Times New Roman" w:cs="Times New Roman"/>
        </w:rPr>
      </w:pPr>
      <w:r>
        <w:rPr>
          <w:rFonts w:ascii="Times New Roman" w:hAnsi="Times New Roman" w:cs="Times New Roman"/>
        </w:rPr>
        <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integrando OpenXR, XR Interaction Toolkit y pruebas en Meta Quest 2, realizando revisiones frecuentes para mejorar progresivamente la escala percibida, la claridad de las ayudas y la coherencia entre sistemas.</w:t>
      </w:r>
    </w:p>
    <w:p w14:paraId="21489B41">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8" w:name="_Toc547"/>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4. Prueba:</w:t>
      </w:r>
      <w:bookmarkEnd w:id="8"/>
    </w:p>
    <w:p w14:paraId="1B406076">
      <w:pPr>
        <w:spacing w:after="120" w:line="240" w:lineRule="auto"/>
        <w:ind w:firstLine="420" w:firstLineChars="0"/>
        <w:jc w:val="both"/>
        <w:rPr>
          <w:rFonts w:ascii="Times New Roman" w:hAnsi="Times New Roman" w:cs="Times New Roman"/>
        </w:rPr>
      </w:pPr>
      <w:r>
        <w:rPr>
          <w:rFonts w:ascii="Times New Roman" w:hAnsi="Times New Roman" w:cs="Times New Roman"/>
        </w:rPr>
        <w:t>Por último, el prototipo se sometió a un ciclo de pruebas continuas que incluyeron mediciones de rendimiento con el Profiler de Unity, validación de la lógica de tareas, semáforos y condiciones de victoria, y comprobaciones de los modos visuales en editor, simulador XR y visor. Simultáneamente se organizaron sesiones breves con usuarios para recoger impresiones sobre la usabilidad, la comprensión de las tareas, la inmersión y la utilidad del simulador como herramienta de sensibilización. Los problemas detectados —posición de triggers, volumen del audio, intensidad del desenfoque visual, respuesta del bastón o condiciones de fallo— se corrigieron antes de cerrar la versión final del prototipo y de iniciar la redacción definitiva de los capítulos de diseño, desarrollo y evaluación de la memoria.</w:t>
      </w:r>
    </w:p>
    <w:p w14:paraId="586B7F0D">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s-ES" w:eastAsia="zh-CN" w:bidi="ar-SA"/>
          <w14:ligatures w14:val="standardContextual"/>
        </w:rPr>
      </w:pPr>
      <w:bookmarkStart w:id="9" w:name="_Toc32751"/>
      <w:r>
        <w:rPr>
          <w:rFonts w:ascii="Times New Roman" w:hAnsi="Times New Roman" w:cs="Times New Roman" w:eastAsiaTheme="majorEastAsia"/>
          <w:b/>
          <w:color w:val="104862" w:themeColor="accent1" w:themeShade="BF"/>
          <w:kern w:val="2"/>
          <w:sz w:val="22"/>
          <w:szCs w:val="40"/>
          <w:lang w:val="es-ES" w:eastAsia="zh-CN" w:bidi="ar-SA"/>
          <w14:ligatures w14:val="standardContextual"/>
        </w:rPr>
        <w:t>1.5 Estructura del documento</w:t>
      </w:r>
      <w:bookmarkEnd w:id="9"/>
    </w:p>
    <w:p w14:paraId="61A56631">
      <w:pPr>
        <w:spacing w:after="120" w:line="240" w:lineRule="auto"/>
        <w:jc w:val="both"/>
        <w:rPr>
          <w:rFonts w:ascii="Times New Roman" w:hAnsi="Times New Roman" w:cs="Times New Roman"/>
        </w:rPr>
      </w:pPr>
      <w:r>
        <w:rPr>
          <w:rFonts w:ascii="Times New Roman" w:hAnsi="Times New Roman" w:cs="Times New Roman"/>
        </w:rPr>
        <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
      </w:r>
    </w:p>
    <w:p w14:paraId="6337C35C">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10" w:name="_Toc7512"/>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Sección 1: Introducción</w:t>
      </w:r>
      <w:bookmarkEnd w:id="10"/>
    </w:p>
    <w:p w14:paraId="7F05ED2C">
      <w:pPr>
        <w:spacing w:after="120" w:line="240" w:lineRule="auto"/>
        <w:jc w:val="both"/>
        <w:rPr>
          <w:rFonts w:ascii="Times New Roman" w:hAnsi="Times New Roman" w:cs="Times New Roman"/>
        </w:rPr>
      </w:pPr>
      <w:r>
        <w:rPr>
          <w:rFonts w:ascii="Times New Roman" w:hAnsi="Times New Roman" w:cs="Times New Roman"/>
        </w:rPr>
        <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
      </w:r>
    </w:p>
    <w:p w14:paraId="298099D4">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11" w:name="_Toc9827"/>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Sección 2: Análisis del problema</w:t>
      </w:r>
      <w:bookmarkEnd w:id="11"/>
    </w:p>
    <w:p w14:paraId="32393CC9">
      <w:pPr>
        <w:spacing w:after="120" w:line="240" w:lineRule="auto"/>
        <w:jc w:val="both"/>
        <w:rPr>
          <w:rFonts w:ascii="Times New Roman" w:hAnsi="Times New Roman" w:cs="Times New Roman"/>
        </w:rPr>
      </w:pPr>
      <w:r>
        <w:rPr>
          <w:rFonts w:ascii="Times New Roman" w:hAnsi="Times New Roman" w:cs="Times New Roman"/>
        </w:rPr>
        <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
      </w:r>
    </w:p>
    <w:p w14:paraId="75CACD9A">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12" w:name="_Toc13917"/>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Sección 3: Marco teórico</w:t>
      </w:r>
      <w:bookmarkEnd w:id="12"/>
    </w:p>
    <w:p w14:paraId="36E845F6">
      <w:pPr>
        <w:spacing w:after="120" w:line="240" w:lineRule="auto"/>
        <w:jc w:val="both"/>
        <w:rPr>
          <w:rFonts w:ascii="Times New Roman" w:hAnsi="Times New Roman" w:cs="Times New Roman"/>
        </w:rPr>
      </w:pPr>
      <w:r>
        <w:rPr>
          <w:rFonts w:ascii="Times New Roman" w:hAnsi="Times New Roman" w:cs="Times New Roman"/>
        </w:rPr>
        <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
      </w:r>
    </w:p>
    <w:p w14:paraId="677582EA">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13" w:name="_Toc22606"/>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Sección 4: Diseño de la solución</w:t>
      </w:r>
      <w:bookmarkEnd w:id="13"/>
    </w:p>
    <w:p w14:paraId="2ADDB620">
      <w:pPr>
        <w:spacing w:after="120" w:line="240" w:lineRule="auto"/>
        <w:jc w:val="both"/>
        <w:rPr>
          <w:rFonts w:ascii="Times New Roman" w:hAnsi="Times New Roman" w:cs="Times New Roman"/>
        </w:rPr>
      </w:pPr>
      <w:r>
        <w:rPr>
          <w:rFonts w:ascii="Times New Roman" w:hAnsi="Times New Roman" w:cs="Times New Roman"/>
        </w:rPr>
        <w:t>El cuarto capítulo describe el diseño del prototipo: requisitos, experiencia de usuario, escenario urbano, simulación de la visión reducida mediante distintos modos visuales e interacción no visual con bastón virtual, audio espacial y señales sonoras.</w:t>
      </w:r>
    </w:p>
    <w:p w14:paraId="13E25802">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14" w:name="_Toc17230"/>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Sección 5: Desarrollo de la solución</w:t>
      </w:r>
      <w:bookmarkEnd w:id="14"/>
    </w:p>
    <w:p w14:paraId="4A255247">
      <w:pPr>
        <w:spacing w:after="120" w:line="240" w:lineRule="auto"/>
        <w:jc w:val="both"/>
        <w:rPr>
          <w:rFonts w:ascii="Times New Roman" w:hAnsi="Times New Roman" w:cs="Times New Roman"/>
        </w:rPr>
      </w:pPr>
      <w:r>
        <w:rPr>
          <w:rFonts w:ascii="Times New Roman" w:hAnsi="Times New Roman" w:cs="Times New Roman"/>
        </w:rPr>
        <w:t>El quinto capítulo expone la implementación en Unity, la organización de escenas y scripts, la integración de modelos tridimensionales, la lógica de tareas, el tráfico, los modos visuales y la adaptación final a realidad virtual con OpenXR y Meta Quest 2.</w:t>
      </w:r>
    </w:p>
    <w:p w14:paraId="41BF7626">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15" w:name="_Toc31878"/>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Sección 6: Pruebas</w:t>
      </w:r>
      <w:bookmarkEnd w:id="15"/>
    </w:p>
    <w:p w14:paraId="577C304D">
      <w:pPr>
        <w:spacing w:after="120" w:line="240" w:lineRule="auto"/>
        <w:jc w:val="both"/>
        <w:rPr>
          <w:rFonts w:ascii="Times New Roman" w:hAnsi="Times New Roman" w:cs="Times New Roman"/>
        </w:rPr>
      </w:pPr>
      <w:r>
        <w:rPr>
          <w:rFonts w:ascii="Times New Roman" w:hAnsi="Times New Roman" w:cs="Times New Roman"/>
        </w:rPr>
        <w:t>El sexto capítulo documenta las pruebas funcionales en editor, simulador XR y visor, las comprobaciones de rendimiento y las sesiones con usuarios orientadas a evaluar la comprensión, la usabilidad y la utilidad del simulador.</w:t>
      </w:r>
    </w:p>
    <w:p w14:paraId="396A9FD1">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16" w:name="_Toc23596"/>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Sección 7: Resultados</w:t>
      </w:r>
      <w:bookmarkEnd w:id="16"/>
    </w:p>
    <w:p w14:paraId="648B2077">
      <w:pPr>
        <w:spacing w:after="120" w:line="240" w:lineRule="auto"/>
        <w:jc w:val="both"/>
        <w:rPr>
          <w:rFonts w:ascii="Times New Roman" w:hAnsi="Times New Roman" w:cs="Times New Roman"/>
        </w:rPr>
      </w:pPr>
      <w:r>
        <w:rPr>
          <w:rFonts w:ascii="Times New Roman" w:hAnsi="Times New Roman" w:cs="Times New Roman"/>
        </w:rPr>
        <w:t>En el séptimo capítulo se presentan los principales hallazgos: rendimiento del sistema, estabilidad de la interacción en realidad virtual, impresiones de los participantes y limitaciones detectadas durante la evaluación.</w:t>
      </w:r>
    </w:p>
    <w:p w14:paraId="526EB9AC">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17" w:name="_Toc28028"/>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Sección 8: Conclusiones</w:t>
      </w:r>
      <w:bookmarkEnd w:id="17"/>
    </w:p>
    <w:p w14:paraId="546A1DA1">
      <w:pPr>
        <w:spacing w:after="120" w:line="240" w:lineRule="auto"/>
        <w:jc w:val="both"/>
        <w:rPr>
          <w:rFonts w:ascii="Times New Roman" w:hAnsi="Times New Roman" w:cs="Times New Roman"/>
        </w:rPr>
      </w:pPr>
      <w:r>
        <w:rPr>
          <w:rFonts w:ascii="Times New Roman" w:hAnsi="Times New Roman" w:cs="Times New Roman"/>
        </w:rPr>
        <w:t>El octavo capítulo resume las aportaciones del trabajo y valora en qué medida se han cumplido los objetivos planteados al inicio del proyecto.</w:t>
      </w:r>
    </w:p>
    <w:p w14:paraId="1E5EC53C">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18" w:name="_Toc29234"/>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Sección 9: Trabajos futuros</w:t>
      </w:r>
      <w:bookmarkEnd w:id="18"/>
    </w:p>
    <w:p w14:paraId="4C2BBCED">
      <w:pPr>
        <w:spacing w:after="120" w:line="240" w:lineRule="auto"/>
        <w:jc w:val="both"/>
        <w:rPr>
          <w:rFonts w:ascii="Times New Roman" w:hAnsi="Times New Roman" w:cs="Times New Roman"/>
        </w:rPr>
      </w:pPr>
      <w:r>
        <w:rPr>
          <w:rFonts w:ascii="Times New Roman" w:hAnsi="Times New Roman" w:cs="Times New Roman"/>
        </w:rPr>
        <w:t>El noveno capítulo propone posibles líneas de evolución, como la ampliación del escenario, nuevos modos visuales, mejoras en audio y hápticos o la realización de estudios con un mayor número de participantes.</w:t>
      </w:r>
    </w:p>
    <w:p w14:paraId="7356050D">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19" w:name="_Toc7632"/>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Sección 10: Bibliografía</w:t>
      </w:r>
      <w:bookmarkEnd w:id="19"/>
    </w:p>
    <w:p w14:paraId="2A5DA380">
      <w:pPr>
        <w:spacing w:after="120" w:line="240" w:lineRule="auto"/>
        <w:jc w:val="both"/>
        <w:rPr>
          <w:rFonts w:ascii="Times New Roman" w:hAnsi="Times New Roman" w:cs="Times New Roman"/>
        </w:rPr>
      </w:pPr>
      <w:r>
        <w:rPr>
          <w:rFonts w:ascii="Times New Roman" w:hAnsi="Times New Roman" w:cs="Times New Roman"/>
        </w:rPr>
        <w:t>El décimo capítulo reúne las referencias académicas, técnicas e institucionales consultadas, organizadas según el estilo APA.</w:t>
      </w:r>
    </w:p>
    <w:p w14:paraId="77523F0F">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s-ES" w:eastAsia="zh-CN" w:bidi="ar-SA"/>
          <w14:ligatures w14:val="standardContextual"/>
        </w:rPr>
      </w:pPr>
      <w:bookmarkStart w:id="20" w:name="_Toc676"/>
      <w:r>
        <w:rPr>
          <w:rFonts w:ascii="Times New Roman" w:hAnsi="Times New Roman" w:cs="Times New Roman" w:eastAsiaTheme="majorEastAsia"/>
          <w:b/>
          <w:color w:val="104862" w:themeColor="accent1" w:themeShade="BF"/>
          <w:kern w:val="2"/>
          <w:sz w:val="22"/>
          <w:szCs w:val="32"/>
          <w:lang w:val="es-ES" w:eastAsia="zh-CN" w:bidi="ar-SA"/>
          <w14:ligatures w14:val="standardContextual"/>
        </w:rPr>
        <w:t>Sección 11: Anexos</w:t>
      </w:r>
      <w:bookmarkEnd w:id="20"/>
    </w:p>
    <w:p w14:paraId="41705CF9">
      <w:pPr>
        <w:spacing w:after="120" w:line="240" w:lineRule="auto"/>
        <w:jc w:val="both"/>
        <w:rPr>
          <w:rFonts w:ascii="Times New Roman" w:hAnsi="Times New Roman" w:cs="Times New Roman"/>
        </w:rPr>
      </w:pPr>
      <w:r>
        <w:rPr>
          <w:rFonts w:ascii="Times New Roman" w:hAnsi="Times New Roman" w:cs="Times New Roman"/>
        </w:rPr>
        <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
      </w:r>
    </w:p>
    <w:p w14:paraId="2CD480AF">
      <w:pPr>
        <w:pStyle w:val="12"/>
        <w:keepNext w:val="0"/>
        <w:keepLines w:val="0"/>
        <w:pageBreakBefore/>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12" w:lineRule="atLeast"/>
        <w:ind w:left="880" w:leftChars="0" w:right="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4"/>
          <w:szCs w:val="24"/>
          <w:shd w:val="clear" w:fill="FFFFFF"/>
          <w:lang w:val="es-ES"/>
        </w:rPr>
        <w:t>2 Análisis del problema</w:t>
      </w:r>
    </w:p>
    <w:p w14:paraId="3FA2F387">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0" w:leftChars="0" w:right="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Este capítulo analiza las dificultades de movilidad urbana asociadas a la discapacidad visual, las barreras presentes en la ciudad y el transporte público, la necesidad de sensibilización social y las limitaciones de las soluciones existentes. Este análisis permite delimitar el problema abordado por VLVS: Un Paso a Ciegas y situar su aportación respecto a otras propuestas.</w:t>
      </w:r>
    </w:p>
    <w:p w14:paraId="7AC7FC7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2.1 Discapacidad visual y movilidad urbana</w:t>
      </w:r>
    </w:p>
    <w:p w14:paraId="3DFD6AD2">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movilidad urbana no se limita a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
      </w:r>
    </w:p>
    <w:p w14:paraId="79CAA1B2">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
      </w:r>
    </w:p>
    <w:p w14:paraId="0F01EB57">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
      </w:r>
    </w:p>
    <w:p w14:paraId="5AAB3BEC">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
      </w:r>
    </w:p>
    <w:p w14:paraId="152C7EF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
      </w:r>
    </w:p>
    <w:p w14:paraId="192B49F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Desde el enfoque de derechos, la discapacidad no debe entenderse únicamente como una limitación individual, sino también como el resultado de un entorno que no contempla la diversidad funcional (Real Patronato sobre Discapacidad, s. f.). En el ámbito de la movilidad urbana, muchas barreras podrían reducirse mediante señalización accesible, referencias comprensibles y recorridos seguros. El prototipo representa algunas de las consecuencias prácticas que produce la ausencia de estos apoyos.</w:t>
      </w:r>
    </w:p>
    <w:p w14:paraId="53660B5B">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2.2 Barreras en entornos urbanos y transporte público</w:t>
      </w:r>
    </w:p>
    <w:p w14:paraId="2F26694E">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
      </w:r>
    </w:p>
    <w:p w14:paraId="3490D94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
      </w:r>
    </w:p>
    <w:p w14:paraId="7CDD367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
      </w:r>
    </w:p>
    <w:p w14:paraId="50D109FC">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transporte público añade otra capa de complejidad. Localizar una parada, saber cuándo llega un autobús, encontrar la entrada del metro o reconocer la línea correcta son tareas que suelen apoyarse en información visual. Cuando esa información no está adaptada, aumenta la dependencia de ayuda externa, aplicaciones accesibles o del conocimiento previo del recorrido. La localización de una entrada de metro constituye, por tanto, una situación representativa de la movilidad urbana.</w:t>
      </w:r>
    </w:p>
    <w:p w14:paraId="3A1ACD34">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2.3 Necesidad de concienciación social</w:t>
      </w:r>
    </w:p>
    <w:p w14:paraId="5C3EAB2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
      </w:r>
    </w:p>
    <w:p w14:paraId="16C09156">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
      </w:r>
    </w:p>
    <w:p w14:paraId="285D770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campañas, las charlas y los materiales divulgativos contribuyen a difundir información sobre accesibilidad, aunque no siempre permiten comprender cómo una limitación visual afecta a una tarea concreta de desplazamiento. Las herramientas digitales e inmersivas ofrecen la posibilidad de representar estas situaciones de manera controlada, si bien muchas propuestas se concentran en los efectos visuales y no incorporan un recorrido completo, como se analiza en el apartado 2.4.</w:t>
      </w:r>
    </w:p>
    <w:p w14:paraId="62EC1B91">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realidad virtual permite recrear situaciones concretas sin exponer al usuario a un riesgo real y puede utilizarse como apoyo en talleres, exposiciones, asignaturas o demostraciones. Su función es ilustrar determinadas barreras y estrategias de orientación; no equivale a la experiencia de las personas con discapacidad visual ni sustituye su testimonio.</w:t>
      </w:r>
    </w:p>
    <w:p w14:paraId="54EF40DB">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VLVS: Un Paso a Ciegas, la sensibilización se integra en el recorrido. El usuario debe avanzar, detectar obstáculos, interpretar señales sonoras, cruzar una zona con tráfico y alcanzar un destino. La secuencia relaciona la limitación visual con decisiones de movilidad y con la disponibilidad de apoyos accesibles.</w:t>
      </w:r>
    </w:p>
    <w:p w14:paraId="0AE6EEA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2.4 Análisis de soluciones existentes</w:t>
      </w:r>
    </w:p>
    <w:p w14:paraId="6D08D044">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Antes de iniciar el desarrollo se analizaron varias soluciones relacionadas con la simulación de alteraciones visuales y la movilidad en entornos virtuales: XREye (s. f.), See What I See (NEI, 2024), Tengo Baja Visión VR (Retina Gipuzkoa Begisare, s. f.) y BlindSimulator (Funnybon, s. f.). La selección no constituye un catálogo exhaustivo, pero reúne propuestas representativas para situar el proyecto.</w:t>
      </w:r>
    </w:p>
    <w:p w14:paraId="7D88F2E7">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
      </w:r>
    </w:p>
    <w:p w14:paraId="5E89A29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
      </w:r>
    </w:p>
    <w:p w14:paraId="04BC5A0D">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
      </w:r>
    </w:p>
    <w:p w14:paraId="4FE63F9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
      </w:r>
    </w:p>
    <w:p w14:paraId="4C07053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BlindSimulator es la referencia más próxima al planteamiento de VLVS: Un Paso a Ciegas. Ambas propuestas limitan la información visual e incorporan sonido y bastón, aunque VLVS se organiza en torno a un recorrido urbano cerrado, tres tareas progresivas, modos visuales seleccionables y una pantalla final con datos básicos de la sesión. Su alcance se limita a un prototipo académico desarrollado y documentado en Unity.</w:t>
      </w:r>
    </w:p>
    <w:p w14:paraId="3E6684B0">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revisión también confirma que la movilidad depende de la interacción entre la información visual, los apoyos no visuales y las condiciones del entorno. Esta relación fundamentó la incorporación de semáforos sonoros, audio espacial, zonas de peligro, detección de obstáculos y retroalimentación háptica.</w:t>
      </w:r>
    </w:p>
    <w:p w14:paraId="21D6CA4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soluciones revisadas presentan tres tendencias principales: predominio de la simulación de síntomas visuales, integración limitada de apoyos sonoros y hápticos, y escasez de recorridos breves con tareas evaluables. VLVS aborda estos aspectos mediante una secuencia urbana compuesta por acera, cruce y acceso al metro, con apoyos no visuales y registro básico de resultados. El prototipo se plantea como una herramienta de sensibilización de alcance acotado.</w:t>
      </w:r>
    </w:p>
    <w:p w14:paraId="50FE1105">
      <w:pPr>
        <w:pStyle w:val="12"/>
        <w:keepNext w:val="0"/>
        <w:keepLines w:val="0"/>
        <w:pageBreakBefore/>
        <w:widowControl/>
        <w:suppressLineNumbers w:val="0"/>
        <w:pBdr>
          <w:top w:val="none" w:color="auto" w:sz="0" w:space="0"/>
          <w:left w:val="none" w:color="auto" w:sz="0" w:space="0"/>
          <w:bottom w:val="none" w:color="auto" w:sz="0" w:space="0"/>
          <w:right w:val="none" w:color="auto" w:sz="0" w:space="0"/>
        </w:pBdr>
        <w:shd w:val="clear" w:fill="FFFFFF"/>
        <w:spacing w:before="24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4"/>
          <w:szCs w:val="24"/>
          <w:shd w:val="clear" w:fill="FFFFFF"/>
          <w:lang w:val="es-ES"/>
        </w:rPr>
        <w:t>3 Marco teórico</w:t>
      </w:r>
    </w:p>
    <w:p w14:paraId="11EF9F00">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Este capítulo presenta los conceptos teóricos y técnicos que fundamentan el diseño del prototipo. Se abordan la accesibilidad universal, la discapacidad visual, la realidad virtual, la interacción no visual y las tecnologías utilizadas durante el desarrollo.</w:t>
      </w:r>
    </w:p>
    <w:p w14:paraId="112D4272">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3.1 Accesibilidad universal y diseño inclusivo</w:t>
      </w:r>
    </w:p>
    <w:p w14:paraId="00E063E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
      </w:r>
    </w:p>
    <w:p w14:paraId="159A188A">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los desplazamientos cotidianos, una acera estrecha, un obstáculo mal situado, la ausencia de pavimento podotáctil o un semáforo sin señal acústica pueden dificultar la orientación y aumentar la percepción de inseguridad. Estas barreras condicionan la autonomía y pueden llevar a evitar determinados trayectos.</w:t>
      </w:r>
    </w:p>
    <w:p w14:paraId="400ACCA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 En términos cotidianos, eso significa que una ciudad no debería depender de que cada persona con discapacidad visual memorice cada esquina, sino de que el propio espacio ofrezca referencias comprensibles para distintos cuerpos y distintas formas de percibir.</w:t>
      </w:r>
    </w:p>
    <w:p w14:paraId="4CFE120D">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diseño inclusivo aplica estos principios desde las primeras fases del proceso de creación, en lugar de añadir adaptaciones una vez definida la solución. En movilidad urbana, esto implica ofrecer la información mediante varios canales, disponer referencias reconocibles y evitar que las señales de peligro dependan exclusivamente de la visión. Algunas medidas, como el pavimento podotáctil o la señalización acústica, también facilitan el uso del entorno a personas con necesidades diferentes.</w:t>
      </w:r>
    </w:p>
    <w:p w14:paraId="491400AA">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Estos principios se trasladan al prototipo mediante semáforos sonoros, audio espacial, retroalimentación háptica del bastón y una secuencia de tareas. La combinación permite estudiar cómo los apoyos no visuales intervienen cuando la información visual resulta insuficiente.</w:t>
      </w:r>
    </w:p>
    <w:p w14:paraId="4A5C5002">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3.2 Discapacidad visual</w:t>
      </w:r>
    </w:p>
    <w:p w14:paraId="3B54D81E">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discapacidad visual agrupa situaciones muy distintas. Una persona puede tener baja visión, visión borrosa, pérdida de campo visual, sensibilidad al contraste o ceguera total, y no todas estas condiciones se manifiestan de la misma forma en la vida diaria. Leer el número de un autobús a cierta distancia, reconocer un escalón en una zona poco iluminada o distinguir un bordillo del asfalto cuando hay reflejos en el suelo son tareas sencillas para muchas personas y, sin embargo, pueden resultar exigentes para otras. La OMS (2024) distingue entre distintos tipos de alteración visual y subraya que su impacto va más allá de la salud ocular: afecta la educación, el empleo, la movilidad, la autonomía y el riesgo de accidentes.</w:t>
      </w:r>
    </w:p>
    <w:p w14:paraId="4280A51B">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Una persona con baja visión puede orientarse con restos de visión útil si el entorno está bien iluminado y contrastado; otra, con visión muy reducida, dependerá casi por completo del oído, del tacto o de la memoria del recorrido. Por eso el prototipo no intenta reproducir con exactitud un diagnóstico concreto, sino representar distintos grados de dificultad visual dentro de una experiencia interactiva.</w:t>
      </w:r>
    </w:p>
    <w:p w14:paraId="12F68C01">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 No se trata, por tanto, de una situación marginal: forma parte del paisaje social y urbano en el que se inserta este trabajo.</w:t>
      </w:r>
    </w:p>
    <w:p w14:paraId="6BBABB26">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movilidad es uno de los ámbitos en los que estas limitaciones se hacen más visibles. Realizar compras, acudir a una cita, utilizar el transporte público o cruzar una calle exige tomar decisiones rápidas con información incompleta. Pigeon et al. (2025) muestran que la independencia al desplazarse depende de factores como la edad, el uso de bastón o perro guía, la percepción de peligro y la accesibilidad del entorno. Barasche-Berdah et al. (2023) añaden que las barreras urbanas influyen en la confianza, la actividad física y la participación social.</w:t>
      </w:r>
    </w:p>
    <w:p w14:paraId="2D05FFDD">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VLVS: Un Paso a Ciegas representa estas dificultades funcionales mediante un recorrido urbano breve que exige interpretar señales, evitar obstáculos y alcanzar un destino con información visual limitada. Los modos incluidos no corresponden a diagnósticos clínicos concretos, sino a distintos niveles de alteración perceptiva utilizados con fines pedagógicos.</w:t>
      </w:r>
    </w:p>
    <w:p w14:paraId="5EA7EA0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3.3 Realidad virtual</w:t>
      </w:r>
    </w:p>
    <w:p w14:paraId="6D966EF6">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3.3.1 Definiciones</w:t>
      </w:r>
    </w:p>
    <w:p w14:paraId="579E9A5D">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realidad virtual (RV) genera entornos tridimensionales interactivos que responden a los movimientos del usuario y producen una sensación de presencia. Esta sensación depende, entre otros factores, de la latencia, el seguimiento de la cabeza y los controladores, la representación estereoscópica y la coherencia entre la información visual, sonora y háptica.</w:t>
      </w:r>
    </w:p>
    <w:p w14:paraId="1FB3B18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visores de RV sitúan el punto de vista del usuario dentro del entorno y permiten interactuar mediante controladores con seguimiento espacial y, en muchos casos, retroalimentación háptica. Estas características hacen posible recrear tareas de orientación y desplazamiento en condiciones controladas.</w:t>
      </w:r>
    </w:p>
    <w:p w14:paraId="4FD7B317">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este proyecto, la RV se utiliza para relacionar la alteración visual con acciones y decisiones dentro de un escenario urbano. A diferencia de una imagen filtrada, el entorno interactivo exige desplazarse, interpretar señales y responder a las consecuencias de cada acción.</w:t>
      </w:r>
    </w:p>
    <w:p w14:paraId="78DC8340">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3.3.2 RV como herramienta educativa y de sensibilización</w:t>
      </w:r>
    </w:p>
    <w:p w14:paraId="069C6524">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los últimos años han aparecido varias experiencias que utilizan la RV para acercar la discapacidad visual a públicos que no la viven de forma habitual. Algunas se centran en mostrar síntomas concretos; otras se orientan más a la comprensión social o a la movilidad con apoyos no visuales. El apartado 2.4 recoge el análisis detallado de las principales referencias consultadas.</w:t>
      </w:r>
    </w:p>
    <w:p w14:paraId="63E6167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experiencias revisadas muestran la utilidad de la RV en talleres y contextos formativos, pero también evidencian limitaciones recurrentes: predominio de la reproducción visual, escenas poco estructuradas y escasa integración de tareas, riesgo y apoyos no visuales. Estos elementos se incorporaron como requisitos de diseño del prototipo.</w:t>
      </w:r>
    </w:p>
    <w:p w14:paraId="0AEA47CB">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3.4 Interacción no visual (audio y hápticos)</w:t>
      </w:r>
    </w:p>
    <w:p w14:paraId="115CF8F7">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
      </w:r>
    </w:p>
    <w:p w14:paraId="1186E7A4">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
      </w:r>
    </w:p>
    <w:p w14:paraId="639BACF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audio y la retroalimentación háptica complementan la información visual durante el recorrido. El sonido permite localizar objetivos y reconocer situaciones de riesgo, mientras que las vibraciones del mando aportan información sobre el contacto del bastón con superficies y obstáculos. La combinación de estos canales reduce la dependencia de los marcadores visuales.</w:t>
      </w:r>
    </w:p>
    <w:p w14:paraId="403F79A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3.5 Tecnologías para el desarrollo</w:t>
      </w:r>
    </w:p>
    <w:p w14:paraId="5074A2A4">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desarrollo del prototipo se apoyó en herramientas de edición de código y modelado 3D, paquetes de Unity para realidad virtual y un visor Meta Quest 2. En los apartados siguientes se describe la función concreta de cada recurso dentro del proyecto.</w:t>
      </w:r>
    </w:p>
    <w:p w14:paraId="4AFF9C54">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3.5.1 Software</w:t>
      </w:r>
    </w:p>
    <w:p w14:paraId="3BF6F50C">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Visual Studio Code</w:t>
      </w:r>
    </w:p>
    <w:p w14:paraId="1A15890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Visual Studio Code se utilizó para editar y depurar los scripts en C#. Su integración con Unity facilitó la navegación entre clases, la revisión de errores de compilación y el mantenimiento de componentes como GameManager, TaskManager, TrafficLightController, CaneHapticSystem y SpatialAudioManager.</w:t>
      </w:r>
    </w:p>
    <w:p w14:paraId="0F079FFD">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Unity Hub y Unity Editor</w:t>
      </w:r>
    </w:p>
    <w:p w14:paraId="42621F4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Unity Hub se utilizó para gestionar la versión del motor, y Unity 6000.0.58f2 constituyó el entorno principal de desarrollo. En él se construyeron las escenas Main.unity y Level_Street.unity, se configuraron la física, el audio, la interfaz y la iluminación, y se integraron los recursos tridimensionales y los paquetes XR. Las pruebas se ejecutaron tanto en el editor como en el visor Meta Quest 2.</w:t>
      </w:r>
    </w:p>
    <w:p w14:paraId="7A6B4ABC">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Autodesk 3ds Max</w:t>
      </w:r>
    </w:p>
    <w:p w14:paraId="0603F2E2">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Autodesk 3ds Max se utilizó para modelar y adaptar elementos del entorno urbano, ajustar escalas y jerarquías, preparar las mallas y exportarlas mediante FBX. Este flujo permitió mantener proporciones coherentes en aceras, edificios, señales y mobiliario antes de su integración en Unity.</w:t>
      </w:r>
    </w:p>
    <w:p w14:paraId="6D6516D3">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Blender</w:t>
      </w:r>
    </w:p>
    <w:p w14:paraId="2D4E150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Blender se empleó para revisar la topología, adaptar modelos existentes y realizar correcciones puntuales en elementos sencillos del escenario. Los archivos se exportaron en FBX para mantener un flujo compatible con Unity. La combinación de ambas herramientas respondió a la distribución de tareas de modelado y ajuste durante el desarrollo.</w:t>
      </w:r>
    </w:p>
    <w:p w14:paraId="54E560EB">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Git</w:t>
      </w:r>
    </w:p>
    <w:p w14:paraId="5AC9F37E">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Git se utilizó para registrar cambios, recuperar versiones anteriores y organizar el trabajo por iteraciones. El historial del repositorio documentó modificaciones en los modos visuales, el bastón háptico, los semáforos sonoros y la lógica de tareas, y permitió regresar a versiones funcionales cuando aparecieron regresiones.</w:t>
      </w:r>
    </w:p>
    <w:p w14:paraId="555EE26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3.5.2 Paquetes de Unity</w:t>
      </w:r>
    </w:p>
    <w:p w14:paraId="04C34C7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OpenXR Plugin (1.15.1)</w:t>
      </w:r>
    </w:p>
    <w:p w14:paraId="2516F05C">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OpenXR Plugin se configuró como capa de compatibilidad entre Unity y el visor. El paquete habilitó el seguimiento de cabeza y controladores, la presentación estereoscópica y los perfiles de entrada necesarios para ejecutar la versión de PC con Meta Quest 2 y probar el desplazamiento, el bastón y la respuesta háptica.</w:t>
      </w:r>
    </w:p>
    <w:p w14:paraId="50B1F2DA">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XR Interaction Toolkit (3.0.10)</w:t>
      </w:r>
    </w:p>
    <w:p w14:paraId="159D8F33">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XR Interaction Toolkit se utilizó para configurar la locomoción, la interacción con los controladores y los impulsos hápticos mediante componentes como HapticImpulsePlayer. Sus componentes base permitieron integrar estas funciones con la lógica específica de tareas, modos visuales y señales sonoras.</w:t>
      </w:r>
    </w:p>
    <w:p w14:paraId="6A0DD47B">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Input System (1.14.2)</w:t>
      </w:r>
    </w:p>
    <w:p w14:paraId="2EB27B9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Input System gestionó las acciones y asignaciones de controles utilizadas en el editor y en los mandos de Meta Quest 2. Se empleó para vincular botones y gatillos con los menús, la pausa, la confirmación y la interacción con el bastón virtual.</w:t>
      </w:r>
    </w:p>
    <w:p w14:paraId="52E431A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Universal Render Pipeline (17.0.4)</w:t>
      </w:r>
    </w:p>
    <w:p w14:paraId="0198226C">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Universal Render Pipeline se configuró para renderizar Level_Street con un coste gráfico compatible con la realidad virtual. El ajuste priorizó la fluidez y la legibilidad del entorno frente al fotorrealismo, manteniendo iluminación y sombras suficientes para reconocer el espacio con los modos visuales activos.</w:t>
      </w:r>
    </w:p>
    <w:p w14:paraId="6C9973DB">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AI Navigation (2.0.9)</w:t>
      </w:r>
    </w:p>
    <w:p w14:paraId="55D21D16">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AI Navigation se incorporó para definir superficies transitables y comprobar la continuidad de determinados recorridos del escenario. Su uso fue auxiliar, ya que el prototipo se centra en el desplazamiento del usuario y no en comportamientos complejos de inteligencia artificial.</w:t>
      </w:r>
    </w:p>
    <w:p w14:paraId="72E07C93">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Unity FBX (5.1.5)</w:t>
      </w:r>
    </w:p>
    <w:p w14:paraId="54C41E3D">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Unity FBX se utilizó para importar los modelos creados en 3ds Max y Blender, conservar sus jerarquías y aplicar los materiales del proyecto. El paquete facilitó la actualización de elementos del mobiliario, la señalización y el cruce principal.</w:t>
      </w:r>
    </w:p>
    <w:p w14:paraId="510777BE">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3.5.3 Hardware</w:t>
      </w:r>
    </w:p>
    <w:p w14:paraId="3B798F6A">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Meta Quest 2</w:t>
      </w:r>
    </w:p>
    <w:p w14:paraId="35DC64CE">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Meta Quest 2 fue el dispositivo utilizado para validar la experiencia inmersiva. El seguimiento de seis grados de libertad, los controladores con respuesta háptica y la compatibilidad con OpenXR permitieron comprobar la locomoción, el uso del bastón, el audio espacial y los modos visuales. La versión final se probó con el visor conectado al ordenador, mientras que la ejecución autónoma quedó fuera del alcance de la entrega.</w:t>
      </w:r>
    </w:p>
    <w:p w14:paraId="3F3A3213">
      <w:pPr>
        <w:pStyle w:val="12"/>
        <w:keepNext w:val="0"/>
        <w:keepLines w:val="0"/>
        <w:pageBreakBefore/>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4"/>
          <w:szCs w:val="24"/>
          <w:shd w:val="clear" w:fill="FFFFFF"/>
          <w:lang w:val="es-ES"/>
        </w:rPr>
        <w:t>4 Diseño de la solución</w:t>
      </w:r>
    </w:p>
    <w:p w14:paraId="108B03D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Este capítulo describe los requisitos, el flujo de usuario, la organización del escenario, los modos visuales y los sistemas de interacción de VLVS: Un Paso a Ciegas. Las decisiones se revisaron durante las pruebas en el visor para comprobar su comprensión con los efectos visuales activos.</w:t>
      </w:r>
    </w:p>
    <w:p w14:paraId="0F7E1117">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4.1 Requisitos</w:t>
      </w:r>
    </w:p>
    <w:p w14:paraId="02B925DE">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requisitos se definieron progresivamente a partir de los objetivos, el análisis del problema y las pruebas de las primeras versiones. La iteración inicial, basada principalmente en la reducción de la información visual, no ofrecía objetivos suficientes para orientar el recorrido. Por ello se incorporaron tareas secuenciales, retroalimentación del bastón, audio hacia el destino, avisos de peligro, semáforos sonoros y una pantalla final de resultados.</w:t>
      </w:r>
    </w:p>
    <w:p w14:paraId="116FFFA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Entre los requisitos funcionales se estableció la selección de un modo visual antes de cargar el nivel y la conservación de esa elección durante la sesión. El recorrido se dividió en tres tareas consecutivas —avanzar por la acera, cruzar la calzada y encontrar la entrada del metro— y únicamente se destacó el objetivo activo, con el fin de reducir la saturación de marcadores.</w:t>
      </w:r>
    </w:p>
    <w:p w14:paraId="1C80909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interacción debía ofrecer información más allá de la imagen. El bastón virtual distingue superficies mediante sonido y vibración; el audio espacial indica la dirección del destino; la calzada dispone de avisos específicos; y los semáforos proporcionan una referencia temporal para el cruce. Las colisiones y la permanencia en zonas de riesgo afectan a la salud, mientras que la pantalla final registra el tiempo, las colisiones y las pistas utilizadas.</w:t>
      </w:r>
    </w:p>
    <w:p w14:paraId="19DEB114">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requisitos técnicos incluyeron un escenario ejecutado con Universal Render Pipeline, rendimiento estable en realidad virtual, código modular en C#, control de versiones con Git y compatibilidad con OpenXR. Los modos visuales se definieron como recursos pedagógicos y no como reproducciones clínicas de patologías concretas (OMS, 2024; NEI, 2024).</w:t>
      </w:r>
    </w:p>
    <w:p w14:paraId="363893C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4.2 Diseño de la experiencia</w:t>
      </w:r>
    </w:p>
    <w:p w14:paraId="779C42A3">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VLVS: Virtual Low-Vision Simulator. Un Paso a Ciegas es una simulación urbana de realidad virtual destinada a actividades de sensibilización y formación. El recorrido presenta un fragmento de ciudad en el que el usuario debe orientarse con bastón y audio, evitar obstáculos, cruzar una calzada y localizar la entrada del metro.</w:t>
      </w:r>
    </w:p>
    <w:p w14:paraId="765B785E">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destinatarios principales son estudiantes, docentes y público general participante en talleres de accesibilidad. La experiencia representa determinadas barreras de movilidad en un entorno controlado, sin atribuir a la simulación equivalencia con la experiencia cotidiana de las personas con discapacidad visual. El diseño incorpora tareas secuenciales, apoyos no visuales, avisos de riesgo y una pantalla final con datos de la sesión.</w:t>
      </w:r>
    </w:p>
    <w:p w14:paraId="7FBB471D">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experiencia combina tres grupos funcionales: los modos visuales que limitan la percepción del entorno; las señales espaciales, sonoras y hápticas que apoyan la orientación; y los elementos de estado y progreso, como la salud, el tiempo, la lista de tareas y la pantalla de resultados.</w:t>
      </w:r>
    </w:p>
    <w:p w14:paraId="085A310A">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plataforma principal de desarrollo y prueba fue un ordenador con Meta Quest 2 conectado mediante cable y configurado a través de OpenXR. Se prepararon ajustes para Meta Quest, pero la versión autónoma para Android no se validó en la entrega. Esta limitación se recoge en los trabajos futuros; el flujo de menús, las tareas y las reglas se mantuvieron independientes de la plataforma.</w:t>
      </w:r>
    </w:p>
    <w:p w14:paraId="3A408B6D">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Bucle principal del juego</w:t>
      </w:r>
    </w:p>
    <w:p w14:paraId="0D9BE61B">
      <w:pPr>
        <w:pStyle w:val="12"/>
        <w:keepNext w:val="0"/>
        <w:keepLines w:val="0"/>
        <w:widowControl/>
        <w:suppressLineNumbers w:val="0"/>
        <w:pBdr>
          <w:top w:val="none" w:color="auto" w:sz="0" w:space="0"/>
        </w:pBdr>
        <w:ind w:left="880" w:leftChars="0"/>
      </w:pPr>
    </w:p>
    <w:p w14:paraId="31D28F6A">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opción Cómo jugar resume los controles y el carácter pedagógico de la simulación. Configuración permite ajustar el volumen de la interfaz y la intensidad háptica antes de que distintos usuarios compartan el visor. Main.unity concentra, por tanto, la preparación de la sesión y la carga del nivel.</w:t>
      </w:r>
    </w:p>
    <w:p w14:paraId="7472A24F">
      <w:pPr>
        <w:spacing w:before="120" w:after="60" w:line="240" w:lineRule="auto"/>
        <w:ind w:left="0" w:leftChars="0"/>
        <w:jc w:val="center"/>
        <w:rPr>
          <w:rFonts w:ascii="Times New Roman" w:hAnsi="Times New Roman" w:cs="Times New Roman"/>
        </w:rPr>
      </w:pPr>
      <w:r>
        <w:rPr>
          <w:rFonts w:ascii="Times New Roman" w:hAnsi="Times New Roman" w:cs="Times New Roman"/>
        </w:rPr>
        <w:drawing>
          <wp:inline distT="0" distB="0" distL="0" distR="0">
            <wp:extent cx="5029200" cy="3189605"/>
            <wp:effectExtent l="0" t="0" r="0" b="10795"/>
            <wp:docPr id="146608891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88918" name="图片 14"/>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29200" cy="3189721"/>
                    </a:xfrm>
                    <a:prstGeom prst="rect">
                      <a:avLst/>
                    </a:prstGeom>
                  </pic:spPr>
                </pic:pic>
              </a:graphicData>
            </a:graphic>
          </wp:inline>
        </w:drawing>
      </w:r>
    </w:p>
    <w:p w14:paraId="12D48F92">
      <w:pPr>
        <w:widowControl w:val="0"/>
        <w:spacing w:before="60" w:after="240" w:line="278" w:lineRule="auto"/>
        <w:ind w:left="0" w:leftChars="0"/>
        <w:jc w:val="center"/>
        <w:rPr>
          <w:rFonts w:ascii="Times New Roman" w:hAnsi="Times New Roman" w:eastAsia="黑体" w:cs="Times New Roman"/>
          <w:kern w:val="2"/>
          <w:sz w:val="18"/>
          <w:szCs w:val="20"/>
          <w:lang w:val="es-ES" w:eastAsia="zh-CN" w:bidi="ar-SA"/>
          <w14:ligatures w14:val="standardContextual"/>
        </w:rPr>
      </w:pPr>
      <w:r>
        <w:rPr>
          <w:rFonts w:ascii="Times New Roman" w:hAnsi="Times New Roman" w:eastAsia="黑体" w:cs="Times New Roman"/>
          <w:kern w:val="2"/>
          <w:sz w:val="18"/>
          <w:szCs w:val="20"/>
          <w:lang w:val="es-ES" w:eastAsia="zh-CN" w:bidi="ar-SA"/>
          <w14:ligatures w14:val="standardContextual"/>
        </w:rPr>
        <w:t>Figura 1. Menú principal de VLVS: Un Paso a Ciegas. Elaboración propia.</w:t>
      </w:r>
    </w:p>
    <w:p w14:paraId="33A5A071">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Tras iniciar, el usuario accede al panel de selección de nivel; en la versión actual solo está habilitado Level_Street, aunque la interfaz ya contempla la posibilidad de añadir más escenarios en el futuro. Mantener ese paso intermedio, aunque hoy solo exista un nivel, permite escalar el prototipo sin rediseñar el flujo de menús. A continuación elige uno de los tres modos de visión en el VisionModeSelectPanel: Modo para baja visión, Modo discapacidad visual o Modo de enfermedades visuales. El VisionModeManager guarda la selección en PlayerPrefs y la reaplica al cargar la escena de juego, de modo que la misma ruta puede repetirse con distintos grados de limitación visual sin reconfigurar la sesión manualmente. Después aparece el GameIntroPanel, donde se explican los controles básicos —movimiento con el joystick, uso del bastón, pausa y ajustes— y se recuerda que la simulación es pedagógica.</w:t>
      </w:r>
    </w:p>
    <w:p w14:paraId="146C7552">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Una vez cargada Level_Street, el GameManager arranca el temporizador y activa el HUD con salud y tiempo. El usuario aparece en un punto de inicio situado entre edificios residenciales, no directamente en la acera abierta del cruce: debe avanzar primero por un paso estrecho flanqueado por fachadas antes de llegar a la calle principal. Ese tramo de arranque no constituye una tarea independiente: el HUD puede mostrar ya task_1 activa, pero el sistema no registra ningún hito hasta que el jugador alcanza la acera abierta. Entra con el bastón virtual en la mano y la vista ya limitada según el modo elegido. Desde el primer instante, la experiencia mezcla exploración y objetivo: no basta con mirar la escena; hay que avanzar.</w:t>
      </w:r>
    </w:p>
    <w:p w14:paraId="20DCAF31">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Antes de completar cualquier tarea, el jugador abandona la zona de nacimiento y recorre un paso angosto entre edificios donde el espacio libre se reduce y proliferan pequeños obstáculos en el suelo. Ese tramo funciona como introducción espacial: obliga a explorar con el bastón en un entorno confinado, a sortear latas, bolsas, cajas y contenedores de basura, y a percibir las fachadas laterales como límites físicos inmediatos, pero no genera por sí solo el completado de ningún objetivo. La primera tarea —task_1, «Cruzando la acera»— se activa desde el inicio de la partida y solo se marca como completada cuando el jugador entra en el volumen de la pasarela peatonal situado en la acera principal, ya fuera del callejón de arranque. Hasta entonces el riesgo es menor que en la calzada, pero la visión está filtrada y el jugador debe acostumbrarse al bastón y al HUD mientras avanza hacia la zona donde puede cerrar la fase. Al entrar en task_1, el TaskManager marca la tarea como completada, registra una pista y desbloquea la segunda fase. Hasta ese momento solo el primer objetivo muestra un marcador verde cilíndrico en el entorno; a partir de ahí, la atención se desplaza hacia el cruce. Esa restricción responde a una decisión de diseño explícita: con visión reducida, mostrar varios objetivos a la vez saturaría la escena y reforzaría la dependencia de la vista; mostrar solo la tarea activa obliga a leer la lista en pantalla y a usar el audio cuando el marcador deja de ser útil.</w:t>
      </w:r>
    </w:p>
    <w:p w14:paraId="3BFAD3C0">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En la práctica, esta fase concentra varios aprendizajes a la vez: interpretar una señal sonora como referencia temporal, distinguir acera de calzada, tolerar la presencia de tráfico y corregir una mala decisión si se pisa la vía demasiado pronto. Si pisa la calzada antes de tiempo o se queda demasiado tiempo en ella, la salud baja y la sensación de riesgo aumenta.</w:t>
      </w:r>
    </w:p>
    <w:p w14:paraId="5B1C8036">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tercera tarea lleva al usuario hacia la entrada del metro. Aquí el audio espacial del objetivo cobra más importancia, porque el destino queda algo apartado del cruce y el marcador visual puede pasar desapercibido con ciertos modos activos. Tras el cruce, el recorrido cambia de ritmo: ya no se trata tanto de evitar vehículos como de localizar un destino lateral en un entorno más abierto. En modos con campo visual muy reducido o desenfoque intenso, muchos usuarios dejan de buscar referencias lejanas y empiezan a confiar en la dirección del sonido de la meta, lo que reproduce —de forma simplificada— una lógica habitual de orientación no visual en ciudad.</w:t>
      </w:r>
    </w:p>
    <w:p w14:paraId="3D650701">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efecto visual de visión, de modo que el final de la sesión sigue perteneciendo visualmente al mismo universo del recorrido y no parece una pantalla separada del juego.</w:t>
      </w:r>
    </w:p>
    <w:p w14:paraId="5FE8AAAF">
      <w:pPr>
        <w:spacing w:before="120" w:after="60" w:line="240" w:lineRule="auto"/>
        <w:ind w:left="0" w:leftChars="0"/>
        <w:jc w:val="center"/>
        <w:rPr>
          <w:rFonts w:ascii="Times New Roman" w:hAnsi="Times New Roman" w:cs="Times New Roman"/>
        </w:rPr>
      </w:pPr>
      <w:r>
        <w:rPr>
          <w:rFonts w:ascii="Times New Roman" w:hAnsi="Times New Roman" w:cs="Times New Roman"/>
        </w:rPr>
        <w:drawing>
          <wp:inline distT="0" distB="0" distL="0" distR="0">
            <wp:extent cx="5029200" cy="2797175"/>
            <wp:effectExtent l="0" t="0" r="0" b="9525"/>
            <wp:docPr id="119258677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6775" name="图片 13"/>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29200" cy="2797364"/>
                    </a:xfrm>
                    <a:prstGeom prst="rect">
                      <a:avLst/>
                    </a:prstGeom>
                  </pic:spPr>
                </pic:pic>
              </a:graphicData>
            </a:graphic>
          </wp:inline>
        </w:drawing>
      </w:r>
    </w:p>
    <w:p w14:paraId="4BBC50FE">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60" w:beforeAutospacing="0" w:after="240" w:afterAutospacing="0" w:line="12" w:lineRule="atLeast"/>
        <w:ind w:left="880" w:leftChars="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18"/>
          <w:szCs w:val="18"/>
          <w:shd w:val="clear" w:fill="FFFFFF"/>
          <w:lang w:val="es-ES"/>
        </w:rPr>
        <w:t>Figura 2. Pantalla de resultados de una sesión completada con éxito. Elaboración propia.</w:t>
      </w:r>
    </w:p>
    <w:p w14:paraId="0135282D">
      <w:pPr>
        <w:spacing w:before="120" w:after="60" w:line="240" w:lineRule="auto"/>
        <w:ind w:left="0" w:leftChars="0"/>
        <w:jc w:val="center"/>
        <w:rPr>
          <w:rFonts w:ascii="Times New Roman" w:hAnsi="Times New Roman" w:cs="Times New Roman"/>
        </w:rPr>
      </w:pPr>
      <w:r>
        <w:rPr>
          <w:rFonts w:ascii="Times New Roman" w:hAnsi="Times New Roman" w:cs="Times New Roman"/>
        </w:rPr>
        <w:drawing>
          <wp:inline distT="0" distB="0" distL="0" distR="0">
            <wp:extent cx="5029200" cy="3066415"/>
            <wp:effectExtent l="0" t="0" r="0" b="6985"/>
            <wp:docPr id="141121003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10031" name="图片 12"/>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29200" cy="3066807"/>
                    </a:xfrm>
                    <a:prstGeom prst="rect">
                      <a:avLst/>
                    </a:prstGeom>
                  </pic:spPr>
                </pic:pic>
              </a:graphicData>
            </a:graphic>
          </wp:inline>
        </w:drawing>
      </w:r>
    </w:p>
    <w:p w14:paraId="7DFAD32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60" w:beforeAutospacing="0" w:after="240" w:afterAutospacing="0" w:line="12" w:lineRule="atLeast"/>
        <w:ind w:left="880" w:leftChars="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18"/>
          <w:szCs w:val="18"/>
          <w:shd w:val="clear" w:fill="FFFFFF"/>
          <w:lang w:val="es-ES"/>
        </w:rPr>
        <w:t>Figura 3. Pantalla de resultados de una sesión fallida. Elaboración propia.</w:t>
      </w:r>
    </w:p>
    <w:p w14:paraId="0C8BCCC3">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bucle principal sigue esta secuencia: menú, selección de nivel, selección del modo visual, introducción, Level_Street, tres tareas consecutivas, meta y pantalla de resultados. La repetición de la sesión permite comparar modos visuales y analizar las dificultades observadas en el recorrido.</w:t>
      </w:r>
    </w:p>
    <w:p w14:paraId="2442E7A4">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Acciones del jugador y reglas de la partida</w:t>
      </w:r>
    </w:p>
    <w:p w14:paraId="18AA7F6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Durante la experiencia, el usuario se desplaza en primera persona mediante la locomoción continua del XR Origin, controla el bastón con el mando y consulta la lista de tareas. Desde la pausa puede modificar el volumen y la respuesta háptica, reiniciar el nivel o volver al menú principal. La interfaz se limita a los elementos necesarios para la orientación y el seguimiento de la sesión.</w:t>
      </w:r>
    </w:p>
    <w:p w14:paraId="4B252EA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Las acciones se agrupan en desplazamiento y exploración, orientación hacia los objetivos, gestión de la sesión y consulta del estado de partida. El bastón detecta superficies y obstáculos mediante señales sonoras y hápticas; el marcador de la tarea activa y el audio espacial apoyan la orientación; y el HUD muestra la salud, el tiempo y el progreso de las tareas.</w:t>
      </w:r>
    </w:p>
    <w:p w14:paraId="22C39A5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condición de victoria exige completar las tres tareas en orden y alcanzar la entrada del metro. TaskManager impide avanzar a la siguiente fase si no se ha completado la anterior, lo que garantiza que la sesión incluya toda la secuencia prevista.</w:t>
      </w:r>
    </w:p>
    <w:p w14:paraId="2DEDF1A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partida termina en fracaso cuando la salud, inicializada en cien puntos, se agota. Los obstáculos restan diez puntos por impacto y muestran un aviso, mientras que las zonas de peligro de la calzada aplican daño periódico sin incrementar el contador de colisiones. Esta diferencia permite distinguir los impactos con objetos de la permanencia en una zona insegura.</w:t>
      </w:r>
    </w:p>
    <w:p w14:paraId="114DCFB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0"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tiempo no provoca el fin de la partida, pero se registra como indicador de la duración del recorrido. TaskManager contabiliza las pistas activadas y la pantalla final muestra el resultado, el tiempo, las colisiones y las pistas utilizadas, manteniendo activo el modo visual seleccionado.</w:t>
      </w:r>
    </w:p>
    <w:p w14:paraId="67E97823">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4.3 Diseño de escenarios virtuales</w:t>
      </w:r>
    </w:p>
    <w:p w14:paraId="443AC4E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Para el diseño del entorno seguí un proceso parecido al de otros trabajos de producción 3D: primero definí qué debía ocurrir en el espacio, después fui colocando los elementos necesarios y por último ajusté activadores, audio y zonas de peligro hasta que el recorrido resultara comprensible con visión reducida. No empecé modelando una ciudad completa; empecé dibujando en papel el recorrido del usuario y las zonas en las que debía sentir seguridad, tensión u orientación. Ese boceto inicial marcaba tres bandas funcionales: una franja de inicio segura en acera, una franja de exposición en calzada y una franja de cierre junto al metro. Todo el modelado posterior se sometió a esa lógica, no al criterio de llenar la escena con más edificios o más tráfico.</w:t>
      </w:r>
    </w:p>
    <w:p w14:paraId="19F8BEDE">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build incluye dos escenas. Main.unity funciona como hub de menú. El jugador aparece en un espacio VR sencillo con paneles flotantes, el VisionModeManager configurado como DontDestroyOnLoad y la locomoción restringida para que no se aleje de la interfaz. Esta escena no pretende simular la calle: concentra la configuración previa —modo visual, ajustes de audio y hápticos, recordatorio pedagógico— y evita cargar en memoria el tráfico, los NavMesh y los activadores de Level_Street antes de tiempo. Level_Street.unity concentra toda la experiencia jugable.</w:t>
      </w:r>
    </w:p>
    <w:p w14:paraId="19C4F60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 La niebla no es un recurso decorativo aislado: suaviza edificios lejanos y evita que el horizonte compita con las referencias próximas que el usuario necesita para orientarse.</w:t>
      </w:r>
    </w:p>
    <w:p w14:paraId="481F0F19">
      <w:pPr>
        <w:spacing w:before="120" w:after="60" w:line="240" w:lineRule="auto"/>
        <w:ind w:left="0" w:leftChars="0"/>
        <w:jc w:val="both"/>
        <w:rPr>
          <w:rFonts w:ascii="Times New Roman" w:hAnsi="Times New Roman" w:cs="Times New Roman"/>
        </w:rPr>
      </w:pPr>
      <w:r>
        <w:rPr>
          <w:rFonts w:ascii="Times New Roman" w:hAnsi="Times New Roman" w:cs="Times New Roman"/>
        </w:rPr>
        <w:drawing>
          <wp:inline distT="0" distB="0" distL="0" distR="0">
            <wp:extent cx="5029200" cy="3447415"/>
            <wp:effectExtent l="0" t="0" r="0" b="6985"/>
            <wp:docPr id="52230550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05506" name="图片 1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029200" cy="3447660"/>
                    </a:xfrm>
                    <a:prstGeom prst="rect">
                      <a:avLst/>
                    </a:prstGeom>
                  </pic:spPr>
                </pic:pic>
              </a:graphicData>
            </a:graphic>
          </wp:inline>
        </w:drawing>
      </w:r>
    </w:p>
    <w:p w14:paraId="5CCCCC80">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60" w:beforeAutospacing="0" w:after="240" w:afterAutospacing="0" w:line="12" w:lineRule="atLeast"/>
        <w:ind w:left="880" w:leftChars="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18"/>
          <w:szCs w:val="18"/>
          <w:shd w:val="clear" w:fill="FFFFFF"/>
          <w:lang w:val="es-ES"/>
        </w:rPr>
        <w:t>Figura 4. Vista panorámica de la escena Level_Street. Elaboración propia.</w:t>
      </w:r>
    </w:p>
    <w:p w14:paraId="1441B4AE">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Composición del tramo urbano</w:t>
      </w:r>
    </w:p>
    <w:p w14:paraId="634BCA5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Diseñé un tramo urbano cerrado con edificios en los laterales que delimitan el espacio, una acera continua por donde el usuario inicia el recorrido, una calzada con tráfico en dos direcciones y un cruce central regulado por semáforos. Los edificios no solo cierran el horizonte: canalizan la atención hacia el eje peatonal y reducen rutas alternativas que podrían confundir en una demostración breve. Las fachadas combinan tonos amarillos y ladrillo para generar contraste con la acera clara y la calzada oscura, de modo que, incluso con filtros activos, sigan existiendo referencias de profundidad a media distancia.</w:t>
      </w:r>
    </w:p>
    <w:p w14:paraId="6604CD8A">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Antes de llegar al cruce, el recorrido arranca en una zona de arranque entre bloques de viviendas modelados a partir de FBX de casas de distintos tamaños. Deliberadamente estreché algunos tramos de acera —con planos Ground_Sidewalk de menos de un metro de anchura útil— para que el jugador no disponga de margen lateral amplio y deba orientarse con el bastón y el audio antes de alcanzar la calle abierta. Los edificios laterales cuentan con colliders de daño y mensajes de aviso al rozarlos, de modo que las fachadas no son solo decoración, sino límites perceptibles del espacio transitable.</w:t>
      </w:r>
    </w:p>
    <w:p w14:paraId="4293752A">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Coloqué árboles y farolas como referencias de escala y ritmo vertical; contenedores y pequeña basura en la acera para obligar al uso del bastón; y el pavimento podotáctil —modelo bland.fbx— como guía hacia el paso de peatones. La entrada de metro —modelo tran.fbx— marca el final del recorrido dentro del GoalZone. En la fase inicial del recorrido concentré la mayor densidad de obstáculos en el grupo Small Obstacle: alrededor de un centenar de instancias manuales de latas, bolsas, cajas de madera, envases y cubos de basura, cada una con DamageObject, SurfaceTag de obstáculo y retroalimentación sonora y háptica al golpearlas con el bastón. Busqué que el usuario no memorizara una ruta limpia, sino que tuviera que explorar el suelo paso a paso incluso en la zona inicialmente más segura, simulando la dificultad de transitar un espacio urbano estrecho y desordenado con visión reducida. Este bloque pertenece al diseño espacial previo a los hitos de TaskManager y no debe confundirse con una cuarta tarea.</w:t>
      </w:r>
    </w:p>
    <w:p w14:paraId="71EF9141">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Para dotar al escenario de mayor vitalidad y de una presencia peatonal creíble, añadí un sistema de transeúntes vinculado al TrafficLightController. Dos PedestrianSpawner —Spawner_NS y Spawner_EW— generan personajes sobre ocho carriles de acera con modelos humanos LOD y, como respaldo, cápsulas placeholder. Cada peatón avanza en línea recta mediante PedestrianWalker, espera en el cruce cuando la señal lo exige y se desplaza con variación de velocidad y pequeño offset lateral. No pretenden simular conductas sociales complejas, pero sí aportan movimiento en la periferia, estrechan la sensación de espacio compartido y recuerdan que la movilidad urbana no ocurre en una calle vacía.</w:t>
      </w:r>
    </w:p>
    <w:p w14:paraId="2209B714">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Cruce y señalización</w:t>
      </w:r>
    </w:p>
    <w:p w14:paraId="52BF7F64">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filtro visual reduce el contraste o estrecha el campo visible.</w:t>
      </w:r>
    </w:p>
    <w:p w14:paraId="275B02D0">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semáforos se agruparon en dos conjuntos —A y B— en función de su posición respecto al centro del cruce (intersectionCenter). Esa agrupación no responde solo a una lógica visual, sino al sistema sonoro: solo el grupo activo reproduce el tono de cruce, de forma que la señal no compita consigo misma en las cuatro esquinas.</w:t>
      </w:r>
    </w:p>
    <w:p w14:paraId="6E4ADC62">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Triggers, zonas y tráfico</w:t>
      </w:r>
    </w:p>
    <w:p w14:paraId="23CEFA51">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Distribuí siete zonas de peligro sobre la calzada y varias zonas seguras de acera mediante SidewalkSafeZone y PlayerSidewalkTracker. La distinción entre ambas no es solo numérica: las zonas seguras permiten al sistema de audio de peligro silenciarse y al daño periódico de calzada detenerse; las zonas de peligro marcan volúmenes donde permanecer en la vía tiene consecuencias continuas aunque no haya un obstáculo físico delante.</w:t>
      </w:r>
    </w:p>
    <w:p w14:paraId="1C58001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activadores de objetivo cubren el paso de acera a cruce y el cruce en sí; el GoalZone envuelve la entrada del metro. Cada activador se dimensionó con un margen suficiente para no exigir precisión milimétrica con mandos XR, pero sin volverse tan amplio que complete la tarea por accidente al rozar el volumen.</w:t>
      </w:r>
    </w:p>
    <w:p w14:paraId="27D6D340">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tráfico sale de cuatro puntos —CarSpawn_NS_L1, CarSpawn_NS_L2, CarSpawn_EW_L1 y CarSpawn_EW_L2— y los vehículos respetan una zona de parada sincronizada con las fases del semáforo (intersectionMin / intersectionMax). Separar spawners por eje permitió que el cruce se comportara como un nodo real: el tráfico norte-sur y este-oeste no comparten la misma lógica de detención, y el usuario percibe cambios de ritmo al cambiar de fase sonora.</w:t>
      </w:r>
    </w:p>
    <w:p w14:paraId="247221C6">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Elegí un fragmento corto a propósito: en las pruebas internas comprobé que un recorrido de tres a seis minutos mantiene la atención del usuario sin requerir un tutorial extenso. La escena prioriza legibilidad del espacio frente a densidad urbana: menos calles secundarias, menos tipos de vehículos y menos props interactivos, pero cada elemento colocado responde a una función de orientación, riesgo o meta.</w:t>
      </w:r>
    </w:p>
    <w:p w14:paraId="42554953">
      <w:pPr>
        <w:spacing w:before="120" w:after="60" w:line="240" w:lineRule="auto"/>
        <w:ind w:left="0" w:leftChars="0"/>
        <w:jc w:val="center"/>
        <w:rPr>
          <w:rFonts w:ascii="Times New Roman" w:hAnsi="Times New Roman" w:cs="Times New Roman"/>
        </w:rPr>
      </w:pPr>
      <w:r>
        <w:rPr>
          <w:rFonts w:ascii="Times New Roman" w:hAnsi="Times New Roman" w:cs="Times New Roman"/>
        </w:rPr>
        <w:drawing>
          <wp:inline distT="0" distB="0" distL="0" distR="0">
            <wp:extent cx="5029200" cy="3548380"/>
            <wp:effectExtent l="0" t="0" r="0" b="7620"/>
            <wp:docPr id="1149718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18035" name="图片 10"/>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029200" cy="3548777"/>
                    </a:xfrm>
                    <a:prstGeom prst="rect">
                      <a:avLst/>
                    </a:prstGeom>
                  </pic:spPr>
                </pic:pic>
              </a:graphicData>
            </a:graphic>
          </wp:inline>
        </w:drawing>
      </w:r>
    </w:p>
    <w:p w14:paraId="2C675680">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60" w:beforeAutospacing="0" w:after="240" w:afterAutospacing="0" w:line="12" w:lineRule="atLeast"/>
        <w:ind w:left="880" w:leftChars="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18"/>
          <w:szCs w:val="18"/>
          <w:shd w:val="clear" w:fill="FFFFFF"/>
          <w:lang w:val="es-ES"/>
        </w:rPr>
        <w:t>Figura 5. Detalle del cruce principal en Level_Street. Elaboración propia.</w:t>
      </w:r>
    </w:p>
    <w:p w14:paraId="67841CD1">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Para complementar la vista del cruce, las Figuras 6 y 7 documentan el callejón de arranque previo a la acera principal. La primera ofrece una vista cenital del editor con la distribución del paso estrecho y la densidad de obstáculos pequeños; la segunda muestra la misma zona en primera persona, con task_1 todavía pendiente mientras el jugador avanza por el entorno confinado.</w:t>
      </w:r>
    </w:p>
    <w:p w14:paraId="0D81D323">
      <w:pPr>
        <w:spacing w:before="120" w:after="60" w:line="240" w:lineRule="auto"/>
        <w:ind w:left="0" w:leftChars="0"/>
        <w:jc w:val="center"/>
        <w:rPr>
          <w:rFonts w:ascii="Times New Roman" w:hAnsi="Times New Roman" w:cs="Times New Roman"/>
        </w:rPr>
      </w:pPr>
      <w:r>
        <w:rPr>
          <w:rFonts w:ascii="Times New Roman" w:hAnsi="Times New Roman" w:cs="Times New Roman"/>
        </w:rPr>
        <w:drawing>
          <wp:inline distT="0" distB="0" distL="0" distR="0">
            <wp:extent cx="5486400" cy="3877310"/>
            <wp:effectExtent l="0" t="0" r="0" b="8890"/>
            <wp:docPr id="100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图片 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5A6D40DC">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60" w:beforeAutospacing="0" w:after="240" w:afterAutospacing="0" w:line="12" w:lineRule="atLeast"/>
        <w:ind w:left="880" w:leftChars="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18"/>
          <w:szCs w:val="18"/>
          <w:shd w:val="clear" w:fill="FFFFFF"/>
        </w:rPr>
        <w:t>Figura 6. Vista cenital de la zona de arranque, el paso estrecho entre edificios y la transición hacia la acera principal. Elaboración propia.</w:t>
      </w:r>
    </w:p>
    <w:p w14:paraId="3285763F">
      <w:pPr>
        <w:spacing w:before="120" w:after="60" w:line="240" w:lineRule="auto"/>
        <w:ind w:left="0" w:leftChars="0"/>
        <w:jc w:val="center"/>
        <w:rPr>
          <w:rFonts w:ascii="Times New Roman" w:hAnsi="Times New Roman" w:cs="Times New Roman"/>
        </w:rPr>
      </w:pPr>
      <w:r>
        <w:rPr>
          <w:rFonts w:ascii="Times New Roman" w:hAnsi="Times New Roman" w:cs="Times New Roman"/>
        </w:rPr>
        <w:drawing>
          <wp:inline distT="0" distB="0" distL="0" distR="0">
            <wp:extent cx="5486400" cy="3130550"/>
            <wp:effectExtent l="0" t="0" r="0" b="6350"/>
            <wp:docPr id="100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图片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2E6A6D26">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60" w:beforeAutospacing="0" w:after="240" w:afterAutospacing="0" w:line="12" w:lineRule="atLeast"/>
        <w:ind w:left="880" w:leftChars="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18"/>
          <w:szCs w:val="18"/>
          <w:shd w:val="clear" w:fill="FFFFFF"/>
        </w:rPr>
        <w:t>Figura 7. Paso estrecho inicial con obstáculos pequeños; task_1 permanece activa pero aún no completada. Elaboración propia.</w:t>
      </w:r>
    </w:p>
    <w:p w14:paraId="1E82816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4.4 Diseño de la simulación visual</w:t>
      </w:r>
    </w:p>
    <w:p w14:paraId="3F3AF69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no que memorice cómo se ve una patología en un fondo de ojo. Técnicamente, los tres efectos visuales conviven en la jerarquía de la escena, pero solo uno permanece activo según el enum VisionMode (NearlyBlind, Blurry, VisualDisability); al volver a Main.unity, el manager desactiva todas las capas para no contaminar el menú.</w:t>
      </w:r>
    </w:p>
    <w:p w14:paraId="036BC4F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Modo para baja visión</w:t>
      </w:r>
    </w:p>
    <w:p w14:paraId="0091A885">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ascii="等线" w:hAnsi="等线" w:eastAsia="等线" w:cs="等线"/>
          <w:i w:val="0"/>
          <w:iCs w:val="0"/>
          <w:caps w:val="0"/>
          <w:color w:val="000000"/>
          <w:spacing w:val="0"/>
          <w:sz w:val="22"/>
          <w:szCs w:val="22"/>
          <w:shd w:val="clear" w:fill="FFFFFF"/>
        </w:rPr>
        <w:t>El modo para baja visión reduce el campo visible a un óvalo central y oscurece casi por completo la periferia. En la Figura 8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w:t>
      </w:r>
    </w:p>
    <w:p w14:paraId="68933CCE">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el diseño de esta capa prioricé dos restricciones: que el HUD y el panel OBJETIVOS permanezcan dentro de la zona visible, y que el borde del óvalo no oculte el marcador de tarea cuando el usuario gira ligeramente la cabeza. Por eso el efecto visual se implementó como canvas de pantalla completa y no como máscara estrecha sobre el centro del mundo: la información de estado debe seguir siendo operativa aunque el entorno periférico desaparezca.</w:t>
      </w:r>
    </w:p>
    <w:p w14:paraId="1C1E00BE">
      <w:pPr>
        <w:spacing w:before="120" w:after="60" w:line="240" w:lineRule="auto"/>
        <w:ind w:left="0" w:leftChars="0"/>
        <w:jc w:val="center"/>
        <w:rPr>
          <w:rFonts w:ascii="Times New Roman" w:hAnsi="Times New Roman" w:cs="Times New Roman"/>
        </w:rPr>
      </w:pPr>
    </w:p>
    <w:p w14:paraId="05B44CD6">
      <w:pPr>
        <w:spacing w:before="120" w:after="60" w:line="240" w:lineRule="auto"/>
        <w:ind w:left="0" w:leftChars="0"/>
        <w:jc w:val="center"/>
        <w:rPr>
          <w:rFonts w:ascii="Times New Roman" w:hAnsi="Times New Roman" w:cs="Times New Roman"/>
        </w:rPr>
      </w:pPr>
      <w:r>
        <w:rPr>
          <w:rFonts w:ascii="Times New Roman" w:hAnsi="Times New Roman" w:cs="Times New Roman"/>
        </w:rPr>
        <w:drawing>
          <wp:inline distT="0" distB="0" distL="0" distR="0">
            <wp:extent cx="5029200" cy="3141980"/>
            <wp:effectExtent l="0" t="0" r="0" b="7620"/>
            <wp:docPr id="19501939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93925" name="图片 9"/>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30345FA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60" w:beforeAutospacing="0" w:after="240" w:afterAutospacing="0" w:line="12" w:lineRule="atLeast"/>
        <w:ind w:left="880" w:leftChars="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18"/>
          <w:szCs w:val="18"/>
          <w:shd w:val="clear" w:fill="FFFFFF"/>
          <w:lang w:val="es-ES"/>
        </w:rPr>
        <w:t>Figura 8. Modo para baja visión. Elaboración propia.</w:t>
      </w:r>
    </w:p>
    <w:p w14:paraId="389396F6">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Modo discapacidad visual</w:t>
      </w:r>
    </w:p>
    <w:p w14:paraId="741AEDC9">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eastAsia" w:ascii="等线" w:hAnsi="等线" w:eastAsia="等线" w:cs="等线"/>
          <w:i w:val="0"/>
          <w:iCs w:val="0"/>
          <w:caps w:val="0"/>
          <w:color w:val="000000"/>
          <w:spacing w:val="0"/>
          <w:sz w:val="22"/>
          <w:szCs w:val="22"/>
          <w:shd w:val="clear" w:fill="FFFFFF"/>
        </w:rPr>
        <w:t>El modo discapacidad visual aplica un desenfoque general sobre la imagen y es el que dejé como predeterminado porque, en las pruebas iniciales, equilibraba mejor dificultad y capacidad de completar el recorrido sin ayuda externa. En la Figura 9 se aprecia cómo los contornos de edificios, vehículos y del marcador verde pierden nitidez, pero siguen siendo reconocibles a corta distancia.</w:t>
      </w:r>
    </w:p>
    <w:p w14:paraId="1DF1103D">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Aquí el reto de diseño fue distinto al del modo anterior: no se trata de eliminar periferia, sino de retardar la lectura del espacio. El usuario puede ver algo, pero necesita acercarse para confirmar bordillos, señales o el contorno del paso de peatones. Eso hace más evidente el papel del bastón y del audio espacial sin llegar a una pantalla casi negra. También permitió que participantes con distinta sensibilidad al mareo o al desconfort visual completaran la sesión con menor abandono que en el modo más agresivo.</w:t>
      </w:r>
    </w:p>
    <w:p w14:paraId="6899D051">
      <w:pPr>
        <w:spacing w:before="120" w:after="60" w:line="240" w:lineRule="auto"/>
        <w:ind w:left="0" w:leftChars="0"/>
        <w:jc w:val="center"/>
        <w:rPr>
          <w:rFonts w:ascii="Times New Roman" w:hAnsi="Times New Roman" w:cs="Times New Roman"/>
        </w:rPr>
      </w:pPr>
      <w:r>
        <w:rPr>
          <w:rFonts w:ascii="Times New Roman" w:hAnsi="Times New Roman" w:cs="Times New Roman"/>
        </w:rPr>
        <w:drawing>
          <wp:inline distT="0" distB="0" distL="0" distR="0">
            <wp:extent cx="5029200" cy="3141980"/>
            <wp:effectExtent l="0" t="0" r="0" b="7620"/>
            <wp:docPr id="198687170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71709" name="图片 8"/>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2E51D99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60" w:beforeAutospacing="0" w:after="240" w:afterAutospacing="0" w:line="12" w:lineRule="atLeast"/>
        <w:ind w:left="880" w:leftChars="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18"/>
          <w:szCs w:val="18"/>
          <w:shd w:val="clear" w:fill="FFFFFF"/>
          <w:lang w:val="es-ES"/>
        </w:rPr>
        <w:t>Figura 9. Modo discapacidad visual. Elaboración propia.</w:t>
      </w:r>
    </w:p>
    <w:p w14:paraId="3FA6F7B6">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Modo de enfermedades visuales</w:t>
      </w:r>
    </w:p>
    <w:p w14:paraId="34C8CAA6">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eastAsia" w:ascii="等线" w:hAnsi="等线" w:eastAsia="等线" w:cs="等线"/>
          <w:i w:val="0"/>
          <w:iCs w:val="0"/>
          <w:caps w:val="0"/>
          <w:color w:val="000000"/>
          <w:spacing w:val="0"/>
          <w:sz w:val="22"/>
          <w:szCs w:val="22"/>
          <w:shd w:val="clear" w:fill="FFFFFF"/>
        </w:rPr>
        <w:t>El modo de enfermedades visuales reduce de forma más agresiva el contraste y la luminosidad mediante un velo amarillento que envuelve toda la escena. En la Figura 10 los bloques residenciales, la calzada y el cielo quedan con una tonalidad uniforme que dificulta distinguir profundidad, bordes y detalle fino, especialmente en elementos lejanos como fachadas, ventanas o vehículos.</w:t>
      </w:r>
    </w:p>
    <w:p w14:paraId="6C2057B0">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Este modo penaliza sobre todo la separación figura-fondo a distancia media y larga. Por eso el marcador verde del objetivo y las franjas del paso de peatones pierden utilidad antes que en los otros dos modos, y el diseño del escenario —contraste acera/calzada, podotáctil, señales sonoras— pasa a sostener casi por completo la orientación. En las sesiones de prueba resultó el más exigente, pero también el que mejor mostró en debates posteriores por qué un entorno urbano mal contrastado puede volver inútil incluso un resto de visión útil.</w:t>
      </w:r>
    </w:p>
    <w:p w14:paraId="602F5FE4">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En conjunto, los tres modos no representan una escala clínica, sino tres perfiles de dificultad perceptiva dentro del mismo layout. Esa decisión permitió reutilizar Level_Street sin rehacer la geometría y centrar la comparación en cómo cambia la misma ruta cuando se altera la información visual disponible.</w:t>
      </w:r>
    </w:p>
    <w:p w14:paraId="29EF1D90">
      <w:pPr>
        <w:spacing w:before="120" w:after="60" w:line="240" w:lineRule="auto"/>
        <w:ind w:left="0" w:leftChars="0"/>
        <w:jc w:val="center"/>
        <w:rPr>
          <w:rFonts w:ascii="Times New Roman" w:hAnsi="Times New Roman" w:cs="Times New Roman"/>
        </w:rPr>
      </w:pPr>
      <w:r>
        <w:rPr>
          <w:rFonts w:ascii="Times New Roman" w:hAnsi="Times New Roman" w:cs="Times New Roman"/>
        </w:rPr>
        <w:drawing>
          <wp:inline distT="0" distB="0" distL="0" distR="0">
            <wp:extent cx="5029200" cy="3143250"/>
            <wp:effectExtent l="0" t="0" r="0" b="6350"/>
            <wp:docPr id="7301305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30529" name="图片 7"/>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9200" cy="3143704"/>
                    </a:xfrm>
                    <a:prstGeom prst="rect">
                      <a:avLst/>
                    </a:prstGeom>
                  </pic:spPr>
                </pic:pic>
              </a:graphicData>
            </a:graphic>
          </wp:inline>
        </w:drawing>
      </w:r>
    </w:p>
    <w:p w14:paraId="0543A37A">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60" w:beforeAutospacing="0" w:after="240" w:afterAutospacing="0" w:line="12" w:lineRule="atLeast"/>
        <w:ind w:left="880" w:leftChars="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18"/>
          <w:szCs w:val="18"/>
          <w:shd w:val="clear" w:fill="FFFFFF"/>
          <w:lang w:val="es-ES"/>
        </w:rPr>
        <w:t>Figura 10. Modo de enfermedades visuales. Elaboración propia.</w:t>
      </w:r>
    </w:p>
    <w:p w14:paraId="6D8907A2">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12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104862"/>
          <w:spacing w:val="0"/>
          <w:sz w:val="22"/>
          <w:szCs w:val="22"/>
          <w:shd w:val="clear" w:fill="FFFFFF"/>
          <w:lang w:val="es-ES"/>
        </w:rPr>
        <w:t>4.5 Diseño de la interacción</w:t>
      </w:r>
    </w:p>
    <w:p w14:paraId="1DA96C1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La interacción se apoya en locomoción en primera persona, bastón virtual y señales no visuales. El diseño no añade mecánicas paralelas —inventario, combate o puzzles— porque cada canal sensorial ya cumple una función específica en la simulación.</w:t>
      </w:r>
    </w:p>
    <w:p w14:paraId="5A9ECB1B">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Bastón virtual y superficies</w:t>
      </w:r>
    </w:p>
    <w:p w14:paraId="7EE8DCB8">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bastón —objeto prefabricado BlindCane— lleva un CaneDetector en la punta que reconoce superficies mediante SurfaceTag. El sistema distingue, como mínimo, las categorías Ground, Wall, Wood, Metal, Obstacle y TactilePaving. Al golpear, el sistema calcula la intensidad del impacto en función de la velocidad del bastón (minHitSpeed / maxHitSpeed) y envía un impulso háptico al mando con intensidad variable a través de CaneHapticSystem.</w:t>
      </w:r>
    </w:p>
    <w:p w14:paraId="7C5ED206">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Si el usuario arrastra el bastón por el suelo o el podotáctil durante más de 0,35 segundos (slideContactDelay), el audio pasa de golpe puntual a deslizamiento continuo, siempre que la velocidad supere minSlideSpeed. Esa transición imita la exploración real del suelo y evita una ráfaga de sonidos repetitivos al rozar una misma superficie. Los obstáculos físicos usan DamageObject y pueden llevar un clip o mensaje propio; el podotáctil, en cambio, se diseñó como superficie continua sin daño, para reforzar la idea de guía segura hacia el paso de peatones.</w:t>
      </w:r>
    </w:p>
    <w:p w14:paraId="6B33D2A2">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Audio espacial y semáforos</w:t>
      </w:r>
    </w:p>
    <w:p w14:paraId="00231AC1">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El audio espacial del objetivo se intensifica al acercarse hasta un radio de unos veinticinco metros (goalMaxDistance), con un volumen mínimo residual para que la meta nunca desaparezca por completo del paisaje sonoro. El audio de peligro pulsa cuando el jugador está en la calzada y se silencia en acera gracias al PlayerSidewalkTracker, con intervalos que se acortan al aproximarse a zonas de mayor riesgo (dangerSlowInterval / dangerFastInterval).</w:t>
      </w:r>
    </w:p>
    <w:p w14:paraId="44BA1C70">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semáforos alternan dos grupos cada dieciocho segundos, con una pausa de 0,8 segundos entre fases, y reproducen un tono en bucle mientras el grupo está activo; el tráfico del eje correspondiente se detiene en consecuencia. El TrafficLightController vincula cada grupo con un spawner —norte-sur o este-oeste— de forma que la señal sonora no solo informe al peatón, sino que también condicione el movimiento visible de vehículos en el eje activo. Esa coherencia entre oído y movimiento del entorno fue clave para que la señal se interpretara como referencia temporal y no como ruido ambiental.</w:t>
      </w:r>
    </w:p>
    <w:p w14:paraId="03849AEC">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60" w:afterAutospacing="0" w:line="12" w:lineRule="atLeast"/>
        <w:ind w:left="880" w:leftChars="0" w:right="0" w:firstLine="0"/>
        <w:jc w:val="left"/>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b/>
          <w:bCs/>
          <w:i w:val="0"/>
          <w:iCs w:val="0"/>
          <w:caps w:val="0"/>
          <w:color w:val="000000"/>
          <w:spacing w:val="0"/>
          <w:sz w:val="22"/>
          <w:szCs w:val="22"/>
          <w:shd w:val="clear" w:fill="FFFFFF"/>
        </w:rPr>
        <w:t>Daño, peligro y mapa de interacción</w:t>
      </w:r>
    </w:p>
    <w:p w14:paraId="65674E9A">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22"/>
          <w:szCs w:val="22"/>
          <w:shd w:val="clear" w:fill="FFFFFF"/>
        </w:rPr>
        <w:t>Los obstáculos con DamageObject restan salud, incrementan el contador de colisiones y muestran un mensaje breve en ObstacleHitHintUI. Las zonas de peligro hacen daño periódico sin contar como colisión, lo que permite diferenciar en la interfaz final un impacto puntual de una permanencia insegura en la vía.</w:t>
      </w:r>
    </w:p>
    <w:p w14:paraId="3C5CA813">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20" w:afterAutospacing="0" w:line="12" w:lineRule="atLeast"/>
        <w:ind w:left="880" w:leftChars="0" w:right="0" w:firstLine="0"/>
        <w:jc w:val="both"/>
        <w:rPr>
          <w:rFonts w:hint="default" w:ascii="Times New Roman" w:hAnsi="Times New Roman" w:cs="Times New Roman"/>
          <w:i w:val="0"/>
          <w:iCs w:val="0"/>
          <w:caps w:val="0"/>
          <w:color w:val="000000"/>
          <w:spacing w:val="0"/>
          <w:sz w:val="22"/>
          <w:szCs w:val="22"/>
        </w:rPr>
      </w:pPr>
      <w:r>
        <w:rPr>
          <w:rFonts w:hint="eastAsia" w:ascii="等线" w:hAnsi="等线" w:eastAsia="等线" w:cs="等线"/>
          <w:i w:val="0"/>
          <w:iCs w:val="0"/>
          <w:caps w:val="0"/>
          <w:color w:val="000000"/>
          <w:spacing w:val="0"/>
          <w:sz w:val="22"/>
          <w:szCs w:val="22"/>
          <w:shd w:val="clear" w:fill="FFFFFF"/>
        </w:rPr>
        <w:t>En la Figura 11 se resume en planta la disposición de zonas seguras de acera, zonas de peligro en la calzada, los tres puntos de tarea y el GoalZone junto a la entrada del metro. Este diagrama cerró la fase de diseño de interacción: permitió comprobar que ningún activador quedaba aislado del sistema de audio o del flujo de tareas, y que el usuario siempre atraviesa, en orden, una zona de exploración, una zona de exposición y una zona de cierre orientado por meta sonora.</w:t>
      </w:r>
    </w:p>
    <w:p w14:paraId="44DC2530">
      <w:pPr>
        <w:spacing w:before="120" w:after="60" w:line="240" w:lineRule="auto"/>
        <w:ind w:left="0" w:leftChars="0"/>
        <w:jc w:val="center"/>
        <w:rPr>
          <w:rFonts w:ascii="Times New Roman" w:hAnsi="Times New Roman" w:cs="Times New Roman"/>
        </w:rPr>
      </w:pPr>
      <w:r>
        <w:rPr>
          <w:rFonts w:ascii="Times New Roman" w:hAnsi="Times New Roman" w:cs="Times New Roman"/>
        </w:rPr>
        <w:drawing>
          <wp:inline distT="0" distB="0" distL="0" distR="0">
            <wp:extent cx="5029200" cy="4640580"/>
            <wp:effectExtent l="0" t="0" r="0" b="7620"/>
            <wp:docPr id="603626649" name="图片 6" descr="C:/Users/25350/Desktop/Esquema en planta de un cruce.jpgEsquema en planta de un cru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26649" name="图片 6" descr="C:/Users/25350/Desktop/Esquema en planta de un cruce.jpgEsquema en planta de un cruce"/>
                    <pic:cNvPicPr>
                      <a:picLocks noChangeAspect="1"/>
                    </pic:cNvPicPr>
                  </pic:nvPicPr>
                  <pic:blipFill>
                    <a:blip r:embed="rId15"/>
                    <a:srcRect t="4242" b="4242"/>
                    <a:stretch>
                      <a:fillRect/>
                    </a:stretch>
                  </pic:blipFill>
                  <pic:spPr>
                    <a:xfrm>
                      <a:off x="0" y="0"/>
                      <a:ext cx="5029200" cy="4641081"/>
                    </a:xfrm>
                    <a:prstGeom prst="rect">
                      <a:avLst/>
                    </a:prstGeom>
                  </pic:spPr>
                </pic:pic>
              </a:graphicData>
            </a:graphic>
          </wp:inline>
        </w:drawing>
      </w:r>
    </w:p>
    <w:p w14:paraId="6E490EFF">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60" w:beforeAutospacing="0" w:after="240" w:afterAutospacing="0" w:line="12" w:lineRule="atLeast"/>
        <w:ind w:left="660" w:leftChars="300" w:right="0" w:firstLine="0"/>
        <w:jc w:val="center"/>
        <w:rPr>
          <w:rFonts w:hint="default" w:ascii="Times New Roman" w:hAnsi="Times New Roman" w:cs="Times New Roman"/>
          <w:i w:val="0"/>
          <w:iCs w:val="0"/>
          <w:caps w:val="0"/>
          <w:color w:val="000000"/>
          <w:spacing w:val="0"/>
          <w:sz w:val="22"/>
          <w:szCs w:val="22"/>
        </w:rPr>
      </w:pPr>
      <w:r>
        <w:rPr>
          <w:rFonts w:hint="default" w:ascii="Times New Roman" w:hAnsi="Times New Roman" w:cs="Times New Roman"/>
          <w:i w:val="0"/>
          <w:iCs w:val="0"/>
          <w:caps w:val="0"/>
          <w:color w:val="000000"/>
          <w:spacing w:val="0"/>
          <w:sz w:val="18"/>
          <w:szCs w:val="18"/>
          <w:shd w:val="clear" w:fill="FFFFFF"/>
          <w:lang w:val="es-ES"/>
        </w:rPr>
        <w:t>Figura 11. Esquema en planta del cruce y de la trayectoria prevista. Elaboración propia.</w:t>
      </w:r>
    </w:p>
    <w:p w14:paraId="7D523239">
      <w:pPr>
        <w:keepNext/>
        <w:keepLines/>
        <w:pageBreakBefore/>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s-ES" w:eastAsia="zh-CN" w:bidi="ar-SA"/>
          <w14:ligatures w14:val="standardContextual"/>
        </w:rPr>
      </w:pPr>
      <w:bookmarkStart w:id="21" w:name="_Toc7756"/>
      <w:r>
        <w:rPr>
          <w:rFonts w:ascii="Times New Roman" w:hAnsi="Times New Roman" w:cs="Times New Roman" w:eastAsiaTheme="majorEastAsia"/>
          <w:b/>
          <w:color w:val="104862" w:themeColor="accent1" w:themeShade="BF"/>
          <w:kern w:val="2"/>
          <w:sz w:val="24"/>
          <w:szCs w:val="48"/>
          <w:lang w:val="es-ES" w:eastAsia="zh-CN" w:bidi="ar-SA"/>
          <w14:ligatures w14:val="standardContextual"/>
        </w:rPr>
        <w:t>5 Desarrollo de la solución</w:t>
      </w:r>
      <w:bookmarkEnd w:id="21"/>
    </w:p>
    <w:p w14:paraId="2AAF71DC">
      <w:pPr>
        <w:spacing w:after="120"/>
        <w:jc w:val="both"/>
      </w:pPr>
      <w:r>
        <w:rPr>
          <w:rFonts w:ascii="Times New Roman" w:hAnsi="Times New Roman"/>
          <w:sz w:val="22"/>
          <w:szCs w:val="22"/>
        </w:rPr>
        <w:t>A continuación se describen los pasos seguidos para desarrollar el prototipo, desde la configuración inicial en Unity hasta la integración de los sistemas de interacción VR, la lógica de tareas, el tráfico y el audio espacial. La descripción abarca la creación del proyecto con URP, la organización de carpetas, la importación de modelos, la puesta en marcha del XR Interaction Toolkit y la programación de los módulos en C#, así como las pruebas en PC y Meta Quest 2.</w:t>
      </w:r>
    </w:p>
    <w:p w14:paraId="0AD60C71">
      <w:pPr>
        <w:spacing w:after="120"/>
        <w:jc w:val="both"/>
      </w:pPr>
      <w:r>
        <w:rPr>
          <w:rFonts w:ascii="Times New Roman" w:hAnsi="Times New Roman"/>
          <w:sz w:val="22"/>
          <w:szCs w:val="22"/>
        </w:rPr>
        <w:t>Este capítulo no repite el diseño funcional ya descrito en el apartado 4, sino que explica cómo se materializó en el motor. El criterio adoptado fue ir de lo general a lo particular: primero un entorno ejecutable con locomoción VR estable, después los apoyos de accesibilidad —modos de visión, bastón, audio— y por último los sistemas que conviven en la misma escena y pueden interferir entre sí, como el tráfico, los semáforos y el mezclado sonoro. Esa secuencia respondió tanto al tiempo disponible del TFG como a la necesidad de probar cada bloque de forma aislada antes de integrarlo en Level_Street.</w:t>
      </w:r>
    </w:p>
    <w:p w14:paraId="0621565C">
      <w:pPr>
        <w:spacing w:after="120"/>
        <w:jc w:val="both"/>
      </w:pPr>
      <w:r>
        <w:rPr>
          <w:rFonts w:ascii="Times New Roman" w:hAnsi="Times New Roman"/>
          <w:sz w:val="22"/>
          <w:szCs w:val="22"/>
        </w:rPr>
        <w:t>En la práctica, el desarrollo se repartió entre tres tipos de trabajo que se solaparon en distintas fases. El primero fue de configuración: versión de Unity, paquetes XR, pipeline de renderizado y estructura de carpetas. El segundo fue de autoría de contenido: importación de modelos FBX, materiales, prefabs de vehículos y montaje de la escena urbana. El tercero fue de programación: scripts en C# para el flujo de partida, las tareas, el daño, el tráfico y el audio espacial. Cada vez que un módulo funcionaba en una escena de prueba, lo pasaba a la escena principal y registraba el avance en Git, de modo que siempre pude volver a un estado estable si una integración rompía algo que ya estaba validado.</w:t>
      </w:r>
    </w:p>
    <w:p w14:paraId="36A09C84">
      <w:pPr>
        <w:pStyle w:val="2"/>
        <w:spacing w:before="120" w:after="120"/>
      </w:pPr>
      <w:bookmarkStart w:id="22" w:name="_Toc10583"/>
      <w:r>
        <w:rPr>
          <w:rFonts w:ascii="Times New Roman" w:hAnsi="Times New Roman"/>
          <w:b/>
          <w:sz w:val="22"/>
          <w:szCs w:val="22"/>
        </w:rPr>
        <w:t>5.1 Software</w:t>
      </w:r>
      <w:bookmarkEnd w:id="22"/>
    </w:p>
    <w:p w14:paraId="6BE1BB4F">
      <w:pPr>
        <w:spacing w:after="120"/>
        <w:jc w:val="both"/>
      </w:pPr>
      <w:r>
        <w:rPr>
          <w:rFonts w:ascii="Times New Roman" w:hAnsi="Times New Roman"/>
          <w:sz w:val="22"/>
          <w:szCs w:val="22"/>
        </w:rPr>
        <w:t>Se configuró el proyecto en Unity Hub con la versión 6000.0.58f2. Se eligió Unity porque concentra en un solo entorno la escena, la física, el audio, la interfaz y la lógica de juego, y porque ya se había utilizado en asignaturas anteriores del grado. Como editor de código utilicé Visual Studio, integrado con Unity mediante el paquete com.unity.ide.visualstudio para depurar scripts C#, poner breakpoints en GameManager o TrafficLightController y revisar en tiempo de ejecución qué referencias faltaban en el Inspector.</w:t>
      </w:r>
    </w:p>
    <w:p w14:paraId="514F1758">
      <w:pPr>
        <w:spacing w:after="120"/>
        <w:jc w:val="both"/>
      </w:pPr>
      <w:r>
        <w:rPr>
          <w:rFonts w:ascii="Times New Roman" w:hAnsi="Times New Roman"/>
          <w:sz w:val="22"/>
          <w:szCs w:val="22"/>
        </w:rPr>
        <w:t>Para el renderizado se activó Universal Render Pipeline 17.0.4 y se configuró el asset PC_RPAsset con una calidad media orientada a RV. La prioridad no era el fotorrealismo, sino mantener un framerate estable con overlays activos, sombras razonables en objetos cercanos y materiales legibles para acera, asfalto y fachadas. En un simulador de visión limitada, la legibilidad del suelo y del borde de la calzada importa más que el detalle lejano de los edificios; por eso se ajustaron la iluminación y los materiales de Level_Street pensando en contraste y lectura cercana, no en una ciudad hiperdetallada. URP también facilitó mantener un perfil único para PC y visor, sin tener que rehacer shaders al cambiar de plataforma.</w:t>
      </w:r>
    </w:p>
    <w:p w14:paraId="248B5370">
      <w:pPr>
        <w:spacing w:after="120"/>
        <w:jc w:val="both"/>
      </w:pPr>
      <w:r>
        <w:rPr>
          <w:rFonts w:ascii="Times New Roman" w:hAnsi="Times New Roman"/>
          <w:sz w:val="22"/>
          <w:szCs w:val="22"/>
        </w:rPr>
        <w:t>La realidad virtual se implementó sobre OpenXR 1.15.1. Se instaló el paquete desde el Package Manager, habilité el loader en Windows Standalone y configuré perfiles para la familia Meta Quest y mandos Touch. Sobre esa base integré XR Interaction Toolkit 3.0.10, que aporta locomoción continua, interacción por rayo y envío de impulsos hápticos mediante HapticImpulsePlayer. Se partió del prefab XR Origin (XR Rig) incluido en los Starter Assets del toolkit y lo adapté a Main.unity y Level_Street.unity, conservando la jerarquía estándar —cámara, manos, interactor y nodo Locomotion— porque más adelante el GameplayFreezeController necesitaba desactivar ese nodo al pausar o al terminar la partida.</w:t>
      </w:r>
    </w:p>
    <w:p w14:paraId="11E68AB5">
      <w:pPr>
        <w:spacing w:after="120"/>
        <w:jc w:val="both"/>
      </w:pPr>
      <w:r>
        <w:rPr>
          <w:rFonts w:ascii="Times New Roman" w:hAnsi="Times New Roman"/>
          <w:sz w:val="22"/>
          <w:szCs w:val="22"/>
        </w:rPr>
        <w:t>El Input System 1.14.2 gestiona las acciones del rig XR. La lógica propia del juego se implementó en C# y se organizó por responsabilidades en carpetas como Assets/Scripts/SceneLogic, Accessibility, Audio y Traffic, dejando los scripts del bastón en Assets/Scenes/Scripts por su vinculación directa con el prefab BlindCane. Los recursos visuales y de interfaz quedaron separados en Assets/Model, Assets/Prefab, Assets/UI y Assets/Localizacion, lo que permitió localizar rápidamente modelos, sonidos de impacto o paneles de menú sin mezclarlos con la lógica de escena.</w:t>
      </w:r>
    </w:p>
    <w:p w14:paraId="74AFAEA4">
      <w:pPr>
        <w:spacing w:after="120"/>
        <w:jc w:val="both"/>
      </w:pPr>
      <w:r>
        <w:rPr>
          <w:rFonts w:ascii="Times New Roman" w:hAnsi="Times New Roman"/>
          <w:sz w:val="22"/>
          <w:szCs w:val="22"/>
        </w:rPr>
        <w:t>Se importaron modelos con com.unity.formats.fbx 5.1.5 —tranvía, contenedores, edificios, coches— y se utilizó TextMesh Pro para la interfaz: menús, HUD, lista de tareas y pantalla de resultados. Para la escena urbana se combinaron assets propios y modelos externos, revisando escala y pivote al importar para que coincidieran con los colliders de acera y calzada. También se instaló AI Navigation 2.0.9, aunque el tráfico final no se apoyó en NavMesh sino en spawners con trayectorias definidas; se dejó disponible por si en versiones futuras quisiera variar rutas o añadir agentes con comportamiento más complejo.</w:t>
      </w:r>
    </w:p>
    <w:p w14:paraId="0A29ACF2">
      <w:pPr>
        <w:spacing w:after="120"/>
        <w:jc w:val="both"/>
      </w:pPr>
      <w:r>
        <w:rPr>
          <w:rFonts w:ascii="Times New Roman" w:hAnsi="Times New Roman"/>
          <w:sz w:val="22"/>
          <w:szCs w:val="22"/>
        </w:rPr>
        <w:t>Durante todo el desarrollo se utilizó Git: cada vez que un sistema funcionaba de forma aislada se realizaba un commit antes de integrarlo en la escena principal. Esa rutina fue especialmente útil con el cruce de tráfico y los semáforos, donde un ajuste en los límites intersectionMin e intersectionMax podía desincronizar coches y señales sonoras. Los commits intermedios permitieron comparar versiones y recuperar una configuración estable sin rehacer todo el nivel.</w:t>
      </w:r>
    </w:p>
    <w:p w14:paraId="3A6B22B1">
      <w:pPr>
        <w:pStyle w:val="2"/>
        <w:spacing w:before="120" w:after="120"/>
      </w:pPr>
      <w:bookmarkStart w:id="23" w:name="_Toc30941"/>
      <w:r>
        <w:rPr>
          <w:rFonts w:ascii="Times New Roman" w:hAnsi="Times New Roman"/>
          <w:b/>
          <w:sz w:val="22"/>
          <w:szCs w:val="22"/>
        </w:rPr>
        <w:t>5.2 Hardware</w:t>
      </w:r>
      <w:bookmarkEnd w:id="23"/>
    </w:p>
    <w:p w14:paraId="1FBD4F63">
      <w:pPr>
        <w:spacing w:after="120"/>
        <w:jc w:val="both"/>
      </w:pPr>
      <w:r>
        <w:rPr>
          <w:rFonts w:ascii="Times New Roman" w:hAnsi="Times New Roman"/>
          <w:sz w:val="22"/>
          <w:szCs w:val="22"/>
        </w:rPr>
        <w:t>El desarrollo y las pruebas principales se realizaron en un PC con Windows 11, GPU NVIDIA y dieciséis gigabytes de RAM. Ese equipo asumió la compilación del proyecto, la edición de escenas con URP activo y, en la mayoría de las sesiones de prueba, también el renderizado en el visor. Se conectó un Meta Quest 2 mediante Oculus Link para validar la experiencia con hápticos reales, campo visual del casco y sensación de desplazamiento en primera persona. Los mandos Touch fueron imprescindibles: en el simulador XR del editor podía comprobar la lógica del bastón y la locomoción, pero la intensidad de la vibración al golpear un obstáculo o al deslizar la punta por el pavimento solo resultaba fiable con hardware físico.</w:t>
      </w:r>
    </w:p>
    <w:p w14:paraId="62FB9907">
      <w:pPr>
        <w:spacing w:after="120"/>
        <w:jc w:val="both"/>
      </w:pPr>
      <w:r>
        <w:rPr>
          <w:rFonts w:ascii="Times New Roman" w:hAnsi="Times New Roman"/>
          <w:sz w:val="22"/>
          <w:szCs w:val="22"/>
        </w:rPr>
        <w:t>La elección de probar por cable respondió al contexto del TFG. En el laboratorio era más sencillo repetir sesiones con distintos modos de visión, ajustar scripts y volver a entrar en Level_Street sin depender de empaquetados Android ni de la latencia inalámbrica. Además, el PC ofrecía más margen para depurar picos de rendimiento cuando convivían overlays visuales, vehículos activos y varias fuentes de audio espacial.</w:t>
      </w:r>
    </w:p>
    <w:p w14:paraId="1657FBFE">
      <w:pPr>
        <w:spacing w:after="120"/>
        <w:jc w:val="both"/>
      </w:pPr>
      <w:r>
        <w:rPr>
          <w:rFonts w:ascii="Times New Roman" w:hAnsi="Times New Roman"/>
          <w:sz w:val="22"/>
          <w:szCs w:val="22"/>
        </w:rPr>
        <w:t>Se dejó preparada la build Android con arquitectura ARM64 y SDK mínimo veintitrés, coherente con Quest, pero el loader XR de Android quedó vacío en la entrega. Las pruebas en Quest se hicieron por cable, con el PC asumiendo el renderizado. Aun así, mantuve el perfil Android porque el diseño del proyecto —OpenXR, Input System, prefabs XR— ya contempla una posible portabilidad futura; lo que faltó en esta entrega no fue la estructura del código, sino tiempo para validar de forma exhaustiva una build autónoma en el visor.</w:t>
      </w:r>
    </w:p>
    <w:p w14:paraId="5FD7555A">
      <w:pPr>
        <w:pStyle w:val="2"/>
        <w:spacing w:before="120" w:after="120"/>
      </w:pPr>
      <w:bookmarkStart w:id="24" w:name="_Toc22598"/>
      <w:r>
        <w:rPr>
          <w:rFonts w:ascii="Times New Roman" w:hAnsi="Times New Roman"/>
          <w:b/>
          <w:sz w:val="22"/>
          <w:szCs w:val="22"/>
        </w:rPr>
        <w:t>5.3 Implementación</w:t>
      </w:r>
      <w:bookmarkEnd w:id="24"/>
    </w:p>
    <w:p w14:paraId="0F9DECDC">
      <w:pPr>
        <w:spacing w:after="120"/>
        <w:jc w:val="both"/>
      </w:pPr>
      <w:r>
        <w:rPr>
          <w:rFonts w:ascii="Times New Roman" w:hAnsi="Times New Roman"/>
          <w:sz w:val="22"/>
          <w:szCs w:val="22"/>
        </w:rPr>
        <w:t>No se implementaron todos los sistemas a la vez. Primero se consiguió que el jugador se moviera en Level_Street con el rig XR y locomoción continua. Después se añadió el bastón y se calibraron superficies en BaseSystemTest.unity, una escena reducida donde era posible probar impactos, deslizamientos y retroalimentación háptica sin el ruido del tráfico ni de las tareas. Luego se incorporó TaskManager, los activadores de objetivo y el marcador visual de la tarea activa. Por último se integró tráfico, semáforos, peatones y audio espacial, que fue la parte más delicada porque cada sistema funcionaba por separado pero interfería con los demás al convivir en la misma escena.</w:t>
      </w:r>
    </w:p>
    <w:p w14:paraId="797ADBCC">
      <w:pPr>
        <w:spacing w:before="120" w:after="60"/>
      </w:pPr>
      <w:r>
        <w:rPr>
          <w:rFonts w:ascii="Times New Roman" w:hAnsi="Times New Roman"/>
          <w:b/>
          <w:sz w:val="22"/>
          <w:szCs w:val="22"/>
        </w:rPr>
        <w:t>Ciclo de partida y gestión de tareas</w:t>
      </w:r>
    </w:p>
    <w:p w14:paraId="03B24D09">
      <w:pPr>
        <w:spacing w:after="120"/>
        <w:jc w:val="both"/>
      </w:pPr>
      <w:r>
        <w:rPr>
          <w:rFonts w:ascii="Times New Roman" w:hAnsi="Times New Roman"/>
          <w:sz w:val="22"/>
          <w:szCs w:val="22"/>
        </w:rPr>
        <w:t>El GameManager, en Assets/Scripts/SceneLogic/GameManager.cs, controla el ciclo de partida: inicio, pausa, victoria y derrota. Al cargar el nivel arranca el temporizador, activa el HUD y expone el estado PLAYING; si la salud llega a cero, registra el fracaso y congela la acción. Al completar el recorrido, congela la locomoción mediante GameplayFreezeController —que desactiva el nodo Locomotion del XR Origin— y envía estadísticas al ResultUIController: tiempo empleado, número de colisiones con obstáculos y pistas activadas. Distinguí además las colisiones físicas registradas por DamageObject del daño periódico de las zonas de peligro en calzada, para que la pantalla final refleje mejor qué tipo de error cometió el usuario.</w:t>
      </w:r>
    </w:p>
    <w:p w14:paraId="6A9981FD">
      <w:pPr>
        <w:spacing w:after="120"/>
        <w:jc w:val="both"/>
      </w:pPr>
      <w:r>
        <w:rPr>
          <w:rFonts w:ascii="Times New Roman" w:hAnsi="Times New Roman"/>
          <w:sz w:val="22"/>
          <w:szCs w:val="22"/>
        </w:rPr>
        <w:t>El TaskManager mantiene tres tareas en orden estricto y solo permite completar la pendiente: task_1 «Cruzando la acera», task_2 «Cruzando el carril» y task_3 «Encuentra la entrada del metro». Cada objetivo se asocia a un ObjectiveTriggerZone en la escena; si el jugador entra en una zona posterior sin haber completado la anterior, el sistema rechaza el avance. Cuando una tarea se completa, el componente ObjectiveZoneVisual oculta el marcador cilíndrico verde y el flujo pasa a la siguiente entrada de la lista. En la Figura 12 se aprecia el Inspector de Unity con ambos componentes en el objeto Managers: el GameManager registra el estado de partida, las estadísticas de tiempo, colisiones y pistas, y las referencias al HUD y a la pantalla de resultados; el TaskManager define las tres entradas con sus descripciones en español. Esta organización en un único bloque de gestión permitió centralizar la lógica del flujo jugable y revisar, desde el propio Inspector, qué valores y referencias intervenían en cada fase de la experiencia.</w:t>
      </w:r>
    </w:p>
    <w:p w14:paraId="2A70D5BC">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2616200" cy="5080000"/>
            <wp:effectExtent l="0" t="0" r="0" b="0"/>
            <wp:docPr id="3456623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62335" name="图片 5"/>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616793" cy="5080000"/>
                    </a:xfrm>
                    <a:prstGeom prst="rect">
                      <a:avLst/>
                    </a:prstGeom>
                  </pic:spPr>
                </pic:pic>
              </a:graphicData>
            </a:graphic>
          </wp:inline>
        </w:drawing>
      </w:r>
    </w:p>
    <w:p w14:paraId="236F3CB7">
      <w:pPr>
        <w:widowControl w:val="0"/>
        <w:spacing w:before="60" w:after="240" w:line="278" w:lineRule="auto"/>
        <w:jc w:val="center"/>
        <w:rPr>
          <w:rFonts w:ascii="Times New Roman" w:hAnsi="Times New Roman" w:eastAsia="黑体" w:cs="Times New Roman"/>
          <w:kern w:val="2"/>
          <w:sz w:val="18"/>
          <w:szCs w:val="20"/>
          <w:lang w:val="es-ES" w:eastAsia="zh-CN" w:bidi="ar-SA"/>
          <w14:ligatures w14:val="standardContextual"/>
        </w:rPr>
      </w:pPr>
      <w:r>
        <w:rPr>
          <w:rFonts w:ascii="Times New Roman" w:hAnsi="Times New Roman" w:eastAsia="黑体" w:cs="Times New Roman"/>
          <w:kern w:val="2"/>
          <w:sz w:val="18"/>
          <w:szCs w:val="20"/>
          <w:lang w:val="es-ES" w:eastAsia="zh-CN" w:bidi="ar-SA"/>
          <w14:ligatures w14:val="standardContextual"/>
        </w:rPr>
        <w:t>Figura 12. Componentes GameManager y TaskManager en el Inspector de Unity. Elaboración propia.</w:t>
      </w:r>
    </w:p>
    <w:p w14:paraId="25573970">
      <w:pPr>
        <w:spacing w:before="120" w:after="60"/>
      </w:pPr>
      <w:r>
        <w:rPr>
          <w:rFonts w:ascii="Times New Roman" w:hAnsi="Times New Roman"/>
          <w:b/>
          <w:sz w:val="22"/>
          <w:szCs w:val="22"/>
        </w:rPr>
        <w:t>Modos de visión y bastón</w:t>
      </w:r>
    </w:p>
    <w:p w14:paraId="75EF6E24">
      <w:pPr>
        <w:spacing w:after="120"/>
        <w:jc w:val="both"/>
      </w:pPr>
      <w:r>
        <w:rPr>
          <w:rFonts w:ascii="Times New Roman" w:hAnsi="Times New Roman"/>
          <w:sz w:val="22"/>
          <w:szCs w:val="22"/>
        </w:rPr>
        <w:t>El VisionModeManager persiste entre Main y Level_Street gracias a DontDestroyOnLoad, guarda el modo seleccionado en PlayerPrefs y activa la capa visual correspondiente al cargar el nivel mediante RegisterSceneOverlays. De este modo, la elección hecha en el menú se mantiene sin reconfigurar la sesión manualmente. En la escena de juego, cada modo activa un overlay distinto —baja visión, discapacidad visual o enfermedades visuales— que convive con el HUD y con el resto de la interfaz.</w:t>
      </w:r>
    </w:p>
    <w:p w14:paraId="7F828AFB">
      <w:pPr>
        <w:spacing w:after="120"/>
        <w:jc w:val="both"/>
      </w:pPr>
      <w:r>
        <w:rPr>
          <w:rFonts w:ascii="Times New Roman" w:hAnsi="Times New Roman"/>
          <w:sz w:val="22"/>
          <w:szCs w:val="22"/>
        </w:rPr>
        <w:t>El bastón utiliza CaneDetector, CaneAudioSystem y CaneHapticSystem en la punta del prefab BlindCane. El detector mide la velocidad del movimiento para calcular la intensidad del impacto y distingue un golpe puntual de un deslizamiento continuo sobre acera o calzada mediante SurfaceTag. Esa separación fue importante para que el usuario recibiera una respuesta creíble al explorar el entorno: un golpe seco contra un contenedor no suena ni vibra igual que arrastrar la punta por el pavimento. Los clips de audio del bastón están en Assets/UI/Audio/Cane, diferenciados por material y tipo de obstáculo.</w:t>
      </w:r>
    </w:p>
    <w:p w14:paraId="38D7CDCF">
      <w:pPr>
        <w:spacing w:before="120" w:after="60"/>
      </w:pPr>
      <w:r>
        <w:rPr>
          <w:rFonts w:ascii="Times New Roman" w:hAnsi="Times New Roman"/>
          <w:b/>
          <w:sz w:val="22"/>
          <w:szCs w:val="22"/>
        </w:rPr>
        <w:t>Tráfico, semáforos y zonas de riesgo</w:t>
      </w:r>
    </w:p>
    <w:p w14:paraId="51111EFA">
      <w:pPr>
        <w:spacing w:after="120"/>
        <w:jc w:val="both"/>
      </w:pPr>
      <w:r>
        <w:rPr>
          <w:rFonts w:ascii="Times New Roman" w:hAnsi="Times New Roman"/>
          <w:sz w:val="22"/>
          <w:szCs w:val="22"/>
        </w:rPr>
        <w:t>El sistema de tráfico agrupa dos TrafficSpawner por eje —norte-sur y este-oeste—, cada uno con varios carriles definidos en TrafficLaneConfig, intervalo de aparición, velocidad y tope de vehículos activos. Los prefabs de coches y camiones se instancian de forma aleatoria y avanzan hasta un punto de desaparición al otro lado de la escena. El TrafficLightController alterna dos grupos de señales peatonales cada dieciocho segundos, reproduce honglvdeng.mp3 en bucle mientras un grupo está activo y bloquea el tráfico del eje correspondiente mediante SetCrossingBlocked. Entre fases deja una breve pausa —switchPause— para que el cambio de señal resulte perceptible.</w:t>
      </w:r>
    </w:p>
    <w:p w14:paraId="29B3CC8B">
      <w:pPr>
        <w:spacing w:after="120"/>
        <w:jc w:val="both"/>
      </w:pPr>
      <w:r>
        <w:rPr>
          <w:rFonts w:ascii="Times New Roman" w:hAnsi="Times New Roman"/>
          <w:sz w:val="22"/>
          <w:szCs w:val="22"/>
        </w:rPr>
        <w:t>El sistema peatonal replica esa lógica de carriles, pero sobre las aceras. PedestrianSpawner instancia prefabs desde Assets/Prefab/Pedestrians, registra cada instancia en PedestrianWalker y consulta el estado del TrafficLightController para detener el avance en la zona del cruce. Se ajustaron spawnInterval, maxActivePedestrians y releaseDelay para que el flujo humano acompañe al tráfico sin saturar la acera ni tapar el audio de meta. Los obstáculos pequeños del tramo inicial no se generan por script: están agrupados bajo Small Obstacle y utilizan AutoFitTriggerToMesh para que el collider de DamageObject se adapte al mesh importado, lo que facilitó colocar decenas de elementos en un pasillo estrecho sin calibrar cada activador a mano.</w:t>
      </w:r>
    </w:p>
    <w:p w14:paraId="2FFCBC1A">
      <w:pPr>
        <w:spacing w:after="120"/>
        <w:jc w:val="both"/>
      </w:pPr>
      <w:r>
        <w:rPr>
          <w:rFonts w:ascii="Times New Roman" w:hAnsi="Times New Roman"/>
          <w:sz w:val="22"/>
          <w:szCs w:val="22"/>
        </w:rPr>
        <w:t>Uno de los errores que más tiempo requirió fue que los coches atravesaban el cruce porque intersectionMin e intersectionMax no coincidían con la geometría real del paso de peatones. Se reajustaron esos valores en el Inspector, probando en Play Mode hasta que el bloqueo del tráfico y la señal sonora quedaron sincronizados. En paralelo, configuré SidewalkSafeZone y PlayerSidewalkTracker para saber si el jugador seguía en acera, y DangerZone para aplicar daño periódico cuando permanece en calzada. Esa distinción entre tropiezo con un obstáculo y permanencia en zona peligrosa también quedó reflejada en las estadísticas que muestra el GameManager.</w:t>
      </w:r>
    </w:p>
    <w:p w14:paraId="70320550">
      <w:pPr>
        <w:spacing w:before="120" w:after="60"/>
      </w:pPr>
      <w:r>
        <w:rPr>
          <w:rFonts w:ascii="Times New Roman" w:hAnsi="Times New Roman"/>
          <w:b/>
          <w:sz w:val="22"/>
          <w:szCs w:val="22"/>
        </w:rPr>
        <w:t>Audio espacial e interfaz en juego</w:t>
      </w:r>
    </w:p>
    <w:p w14:paraId="19B6DC4B">
      <w:pPr>
        <w:spacing w:after="120"/>
        <w:jc w:val="both"/>
      </w:pPr>
      <w:r>
        <w:rPr>
          <w:rFonts w:ascii="Times New Roman" w:hAnsi="Times New Roman"/>
          <w:sz w:val="22"/>
          <w:szCs w:val="22"/>
        </w:rPr>
        <w:t>El SpatialAudioManager orienta con audio de meta hacia el objetivo activo y advierte con pulsos de peligro cuando el jugador sale de la acera. El volumen del objetivo se modula según la distancia a la cabeza del jugador; el audio de peligro acelera su ritmo a medida que el usuario se adentra en la calzada. Fue necesario priorizar en el mezclador el audio de objetivo y de peligro por encima del motor de los coches, porque en una prueba inicial el tráfico tapaba las señales que debían guiar al jugador. También se configuró el sistema para que dejara de actualizar el audio espacial cuando la partida está pausada o terminada, para evitar pulsos de peligro o indicaciones de meta fuera de contexto en la pantalla de resultados.</w:t>
      </w:r>
    </w:p>
    <w:p w14:paraId="71CB7B00">
      <w:pPr>
        <w:spacing w:after="120"/>
        <w:jc w:val="both"/>
      </w:pPr>
      <w:r>
        <w:rPr>
          <w:rFonts w:ascii="Times New Roman" w:hAnsi="Times New Roman"/>
          <w:sz w:val="22"/>
          <w:szCs w:val="22"/>
        </w:rPr>
        <w:t>En la Figura 13 se muestra el HUD activo durante una partida, con salud, tiempo, estado PLAYING y la lista de objetivos con la primera tarea resaltada. La distribución del HUD en la zona superior de la imagen evita tapar el centro visual del recorrido y permite consultar el estado de la sesión sin ocultar los elementos más relevantes del espacio urbano. La lista de tareas se actualiza cuando TaskManager emite el evento OnTasksChanged, de modo que el jugador siempre ve cuál es el objetivo pendiente sin depender únicamente del marcador verde en escena —algo especialmente importante en los modos con campo visual muy reducido.</w:t>
      </w:r>
    </w:p>
    <w:p w14:paraId="77B6AEB7">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2647950" cy="1247775"/>
            <wp:effectExtent l="0" t="0" r="6350" b="9525"/>
            <wp:docPr id="63430359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03597" name="图片 4"/>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6B711CA7">
      <w:pPr>
        <w:widowControl w:val="0"/>
        <w:spacing w:before="60" w:after="240" w:line="278" w:lineRule="auto"/>
        <w:jc w:val="center"/>
        <w:rPr>
          <w:rFonts w:ascii="Times New Roman" w:hAnsi="Times New Roman" w:eastAsia="黑体" w:cs="Times New Roman"/>
          <w:kern w:val="2"/>
          <w:sz w:val="18"/>
          <w:szCs w:val="20"/>
          <w:lang w:val="es-ES" w:eastAsia="zh-CN" w:bidi="ar-SA"/>
          <w14:ligatures w14:val="standardContextual"/>
        </w:rPr>
      </w:pPr>
      <w:r>
        <w:rPr>
          <w:rFonts w:ascii="Times New Roman" w:hAnsi="Times New Roman" w:eastAsia="黑体" w:cs="Times New Roman"/>
          <w:kern w:val="2"/>
          <w:sz w:val="18"/>
          <w:szCs w:val="20"/>
          <w:lang w:val="es-ES" w:eastAsia="zh-CN" w:bidi="ar-SA"/>
          <w14:ligatures w14:val="standardContextual"/>
        </w:rPr>
        <w:t>Figura 13. HUD durante una partida en Level_Street. Elaboración propia.</w:t>
      </w:r>
    </w:p>
    <w:p w14:paraId="79465329">
      <w:pPr>
        <w:spacing w:after="120"/>
        <w:jc w:val="both"/>
      </w:pPr>
      <w:r>
        <w:rPr>
          <w:rFonts w:ascii="Times New Roman" w:hAnsi="Times New Roman"/>
          <w:sz w:val="22"/>
          <w:szCs w:val="22"/>
        </w:rPr>
        <w:t>En conjunto, la implementación siguió una lógica modular: cada script tiene una responsabilidad clara, pero el comportamiento final emerge de su interacción en Level_Street. El menú selecciona el modo visual, el GameManager marca el ritmo de la sesión, el TaskManager secuencia los objetivos, el bastón y el audio espacial compensan la información que la vista ya no ofrece, el tráfico con sus semáforos introduce la tensión del cruce urbano y los peatones añaden movimiento en las aceras, recordando que el espacio urbano es compartido. Esa arquitectura no pretendía ser un motor reutilizable, sino una base suficientemente ordenada para que el prototipo pudiera evolucionar —añadiendo escenarios, afinando filtros visuales o validando la build Android— sin rehacer el flujo completo de la experiencia.</w:t>
      </w:r>
    </w:p>
    <w:p w14:paraId="01AD7F9B">
      <w:pPr>
        <w:keepNext/>
        <w:keepLines/>
        <w:pageBreakBefore/>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s-ES" w:eastAsia="zh-CN" w:bidi="ar-SA"/>
          <w14:ligatures w14:val="standardContextual"/>
        </w:rPr>
      </w:pPr>
      <w:bookmarkStart w:id="25" w:name="_Toc12364"/>
      <w:r>
        <w:rPr>
          <w:rFonts w:ascii="Times New Roman" w:hAnsi="Times New Roman" w:cs="Times New Roman" w:eastAsiaTheme="majorEastAsia"/>
          <w:b/>
          <w:color w:val="104862" w:themeColor="accent1" w:themeShade="BF"/>
          <w:kern w:val="2"/>
          <w:sz w:val="24"/>
          <w:szCs w:val="48"/>
          <w:lang w:val="es-ES" w:eastAsia="zh-CN" w:bidi="ar-SA"/>
          <w14:ligatures w14:val="standardContextual"/>
        </w:rPr>
        <w:t>6 Pruebas</w:t>
      </w:r>
      <w:bookmarkEnd w:id="25"/>
    </w:p>
    <w:p w14:paraId="13117BE1">
      <w:pPr>
        <w:spacing w:after="120"/>
        <w:jc w:val="both"/>
      </w:pPr>
      <w:r>
        <w:rPr>
          <w:rFonts w:ascii="Times New Roman" w:hAnsi="Times New Roman"/>
          <w:sz w:val="22"/>
          <w:szCs w:val="22"/>
        </w:rPr>
        <w:t>Antes de dar por cerrado el prototipo se sometió la experiencia a un ciclo de pruebas continuas: módulos aislados, integración en escena, sesiones en visor y una pequeña validación con compañeros del grado. No se implementaron tests automatizados con Unity Test Framework; todas las comprobaciones fueron manuales, complementadas con XR Device Simulator cuando no tenía el visor a mano.</w:t>
      </w:r>
    </w:p>
    <w:p w14:paraId="1D9EE056">
      <w:pPr>
        <w:spacing w:after="120"/>
        <w:jc w:val="both"/>
      </w:pPr>
      <w:r>
        <w:rPr>
          <w:rFonts w:ascii="Times New Roman" w:hAnsi="Times New Roman"/>
          <w:sz w:val="22"/>
          <w:szCs w:val="22"/>
        </w:rPr>
        <w:t>Esta decisión respondió al alcance y al tiempo del TFG. El objetivo no era certificar el software con una batería formal de regresión, sino comprobar que el flujo descrito en los capítulos 4 y 5 funcionaba de extremo a extremo y que un usuario sin conocimiento previo del proyecto podía completar el recorrido en modo discapacidad visual. Por ello se combinaron tres niveles de comprobación: pruebas de componente en escenas reducidas, pruebas de integración en Level_Street y pruebas de uso con hardware XR real. Cada fallo detectado —un semáforo desincronizado, un audio tapado por el tráfico, un marcador visible cuando no debía estarlo— llevaba de nuevo al apartado de implementación antes de considerar cerrada la versión entregada.</w:t>
      </w:r>
    </w:p>
    <w:p w14:paraId="6CB7BA5F">
      <w:pPr>
        <w:spacing w:after="120"/>
        <w:jc w:val="both"/>
      </w:pPr>
      <w:r>
        <w:rPr>
          <w:rFonts w:ascii="Times New Roman" w:hAnsi="Times New Roman"/>
          <w:sz w:val="22"/>
          <w:szCs w:val="22"/>
        </w:rPr>
        <w:t>Tampoco se trataron las pruebas como una fase final aislada. Cada vez que se integró un sistema nuevo se repitió al menos una pasada por los criterios básicos: ¿el jugador puede moverse?, ¿la tarea activa avanza solo cuando corresponde?, ¿el audio de peligro distingue acera de calzada?, ¿la sesión termina con estadísticas coherentes? Esa repetición manual resultó tediosa, pero en RV muchos problemas solo se perciben con el visor puesto: la escala del bastón, la legibilidad del HUD con overlay activo o la sensación de urgencia en el cruce no aparecen con la misma claridad en el Game view del editor.</w:t>
      </w:r>
    </w:p>
    <w:p w14:paraId="6AE2355F">
      <w:pPr>
        <w:pStyle w:val="2"/>
        <w:spacing w:before="120" w:after="120"/>
      </w:pPr>
      <w:bookmarkStart w:id="26" w:name="_Toc25831"/>
      <w:r>
        <w:rPr>
          <w:rFonts w:ascii="Times New Roman" w:hAnsi="Times New Roman"/>
          <w:b/>
          <w:sz w:val="22"/>
          <w:szCs w:val="22"/>
        </w:rPr>
        <w:t>6.1 Plan de pruebas</w:t>
      </w:r>
      <w:bookmarkEnd w:id="26"/>
    </w:p>
    <w:p w14:paraId="4F25B1D3">
      <w:pPr>
        <w:spacing w:after="120"/>
        <w:jc w:val="both"/>
      </w:pPr>
      <w:r>
        <w:rPr>
          <w:rFonts w:ascii="Times New Roman" w:hAnsi="Times New Roman"/>
          <w:sz w:val="22"/>
          <w:szCs w:val="22"/>
        </w:rPr>
        <w:t>Se organizó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conversación posterior sobre claridad de tareas y utilidad del audio. Como criterio general establecí que un usuario debía poder completar las tres tareas en modo discapacidad visual sin errores bloqueantes y que el framerate debía mantenerse por encima de setenta y dos FPS en PC con tráfico activo.</w:t>
      </w:r>
    </w:p>
    <w:p w14:paraId="7E7AFD3C">
      <w:pPr>
        <w:spacing w:after="120"/>
        <w:jc w:val="both"/>
      </w:pPr>
      <w:r>
        <w:rPr>
          <w:rFonts w:ascii="Times New Roman" w:hAnsi="Times New Roman"/>
          <w:sz w:val="22"/>
          <w:szCs w:val="22"/>
        </w:rPr>
        <w:t>La fase 1 se centró en el prefab BlindCane y en los scripts CaneDetector, CaneAudioSystem y CaneHapticSystem. En BaseSystemTest.unity coloqué planos con distintos SurfaceTag —acera, pared, pavimento táctil, obstáculo— y comprobé que el sonido y la vibración variaban de forma perceptible. También verifiqué la transición entre impacto puntual y deslizamiento continuo, porque esa distinción condiciona la credibilidad del bastón como apoyo exploratorio.</w:t>
      </w:r>
    </w:p>
    <w:p w14:paraId="12F1300C">
      <w:pPr>
        <w:spacing w:after="120"/>
        <w:jc w:val="both"/>
      </w:pPr>
      <w:r>
        <w:rPr>
          <w:rFonts w:ascii="Times New Roman" w:hAnsi="Times New Roman"/>
          <w:sz w:val="22"/>
          <w:szCs w:val="22"/>
        </w:rPr>
        <w:t>La fase 2 probó la lógica de partida sin depender del hardware XR. Desde el editor se ejecutó Level_Street con el simulador de dispositivo y revisé que GameManager arrancara el temporizador, que TaskManager rechazara tareas fuera de orden, que DamageObject y DangerZone aplicaran daños distintos y que ResultUIController mostrara victoria o derrota con datos coherentes. Esta fase permitió depurar activadores y referencias del Inspector antes de encadenar sesiones con visor.</w:t>
      </w:r>
    </w:p>
    <w:p w14:paraId="5AC90846">
      <w:pPr>
        <w:spacing w:after="120"/>
        <w:jc w:val="both"/>
      </w:pPr>
      <w:r>
        <w:rPr>
          <w:rFonts w:ascii="Times New Roman" w:hAnsi="Times New Roman"/>
          <w:sz w:val="22"/>
          <w:szCs w:val="22"/>
        </w:rPr>
        <w:t>La fase 3 fue la más representativa del uso previsto. Se conectó Meta Quest 2 por cable, se activaron los tres modos de visión y repetí el recorrido completo comprobando overlays, audio espacial, semáforos, tráfico y hápticos. En esta fase se detectó la mayoría de los problemas de balance: volumen insuficiente del objetivo, vibración demasiado suave en golpes leves y sensación de saturación sonora en el cruce.</w:t>
      </w:r>
    </w:p>
    <w:p w14:paraId="40EFDBEA">
      <w:pPr>
        <w:spacing w:after="120"/>
        <w:jc w:val="both"/>
      </w:pPr>
      <w:r>
        <w:rPr>
          <w:rFonts w:ascii="Times New Roman" w:hAnsi="Times New Roman"/>
          <w:sz w:val="22"/>
          <w:szCs w:val="22"/>
        </w:rPr>
        <w:t>La fase 4 incorporó observación externa. Tres compañeros del grado —sin experiencia previa con el proyecto ni con discapacidad visual— completaron una sesión cada uno en modo discapacidad visual. No apliqué un cuestionario estandarizado; tras cada prueba mantuve una conversación breve de cinco a diez minutos sobre qué parte del recorrido resultó más difícil, si entendieron las tareas y si el audio les ayudó a orientarse. Esas notas orientaron ajustes de volumen y de redacción en el GameIntroPanel, pero no sustituyen un estudio con usuarios expertos ni con personas con discapacidad visual real.</w:t>
      </w:r>
    </w:p>
    <w:p w14:paraId="7E216441">
      <w:pPr>
        <w:spacing w:after="120"/>
        <w:jc w:val="both"/>
      </w:pPr>
      <w:r>
        <w:rPr>
          <w:rFonts w:ascii="Times New Roman" w:hAnsi="Times New Roman"/>
          <w:sz w:val="22"/>
          <w:szCs w:val="22"/>
        </w:rPr>
        <w:t>Como criterios de aceptación se definieron cuatro umbrales. Funcionalidad: completar task_1, task_2 y task_3 en orden y alcanzar GoalZone sin bloqueos. Accesibilidad operativa: distinguir acera y calzada mediante bastón, audio de peligro y señal sonora del cruce. Persistencia: conservar modo visual y ajustes de volumen/hápticos entre sesiones. Rendimiento: mantener al menos setenta y dos FPS de media en PC con tráfico activo y overlays encendidos. Ningún criterio exigía perfección clínica ni tiempos de recorrido homogéneos; buscaba un prototipo demostrable y estable para talleres formativos.</w:t>
      </w:r>
    </w:p>
    <w:p w14:paraId="266BA070">
      <w:pPr>
        <w:pStyle w:val="2"/>
        <w:spacing w:before="120" w:after="120"/>
      </w:pPr>
      <w:bookmarkStart w:id="27" w:name="_Toc29377"/>
      <w:r>
        <w:rPr>
          <w:rFonts w:ascii="Times New Roman" w:hAnsi="Times New Roman"/>
          <w:b/>
          <w:sz w:val="22"/>
          <w:szCs w:val="22"/>
        </w:rPr>
        <w:t>6.2 Pruebas funcionales</w:t>
      </w:r>
      <w:bookmarkEnd w:id="27"/>
    </w:p>
    <w:p w14:paraId="7F33E0C3">
      <w:pPr>
        <w:spacing w:after="120"/>
        <w:jc w:val="both"/>
      </w:pPr>
      <w:r>
        <w:rPr>
          <w:rFonts w:ascii="Times New Roman" w:hAnsi="Times New Roman"/>
          <w:sz w:val="22"/>
          <w:szCs w:val="22"/>
        </w:rPr>
        <w:t>Se comprobó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comprobé que la alarma no sonaba; al pisar la calzada, sí. Los semáforos alternaron fases con tono audible y el tráfico se detuvo de forma coherente tras corregir los límites del cruce. La pausa congeló la locomoción y los ajustes de volumen y hápticos se conservaron tras reiniciar.</w:t>
      </w:r>
    </w:p>
    <w:p w14:paraId="47237487">
      <w:pPr>
        <w:spacing w:before="120" w:after="60"/>
      </w:pPr>
      <w:r>
        <w:rPr>
          <w:rFonts w:ascii="Times New Roman" w:hAnsi="Times New Roman"/>
          <w:b/>
          <w:sz w:val="22"/>
          <w:szCs w:val="22"/>
        </w:rPr>
        <w:t>Persistencia y flujo de tareas</w:t>
      </w:r>
    </w:p>
    <w:p w14:paraId="110A52C8">
      <w:pPr>
        <w:spacing w:after="120"/>
        <w:jc w:val="both"/>
      </w:pPr>
      <w:r>
        <w:rPr>
          <w:rFonts w:ascii="Times New Roman" w:hAnsi="Times New Roman"/>
          <w:sz w:val="22"/>
          <w:szCs w:val="22"/>
        </w:rPr>
        <w:t>Se verificó que VisionModeManager guarda el modo en PlayerPrefs y lo reaplica al cargar Level_Street. Tras cerrar la aplicación y volver a iniciar, la selección del menú se mantuvo en las tres combinaciones probadas. En cuanto a tareas, intenté entrar en task_2 y task_3 sin completar las anteriores; TaskManager rechazó el avance y el marcador verde solo apareció sobre la tarea pendiente. Cuando una fase se completaba, ObjectiveZoneVisual ocultaba el cilindro correspondiente y la lista del HUD tachaba la entrada anterior. La pantalla de victoria solo se activó tras completar las tres tareas y entrar en GoalZone; si la salud llegaba a cero antes, ResultUIController mostraba fracaso con la razón indicada.</w:t>
      </w:r>
    </w:p>
    <w:p w14:paraId="7D3DD52A">
      <w:pPr>
        <w:spacing w:before="120" w:after="60"/>
      </w:pPr>
      <w:r>
        <w:rPr>
          <w:rFonts w:ascii="Times New Roman" w:hAnsi="Times New Roman"/>
          <w:b/>
          <w:sz w:val="22"/>
          <w:szCs w:val="22"/>
        </w:rPr>
        <w:t>Bastón, acera y zonas de peligro</w:t>
      </w:r>
    </w:p>
    <w:p w14:paraId="658FCF1B">
      <w:pPr>
        <w:spacing w:after="120"/>
        <w:jc w:val="both"/>
      </w:pPr>
      <w:r>
        <w:rPr>
          <w:rFonts w:ascii="Times New Roman" w:hAnsi="Times New Roman"/>
          <w:sz w:val="22"/>
          <w:szCs w:val="22"/>
        </w:rPr>
        <w:t>En las pruebas del bastón se golpearon acera, pared, contenedor y pavimento táctil. El cambio de clip y la intensidad háptica fueron perceptibles en visor, especialmente al pasar del impacto seco al deslizamiento sobre superficie continua. Para las zonas de riesgo caminé por la acera junto a una DangerZone sin que sonara la alarma; al pisar calzada, SpatialAudioManager activó los pulsos de peligro y DangerZone aplicó daño periódico sin incrementar el contador de colisiones físicas. Esa diferencia se comprobó también en la pantalla final, donde un usuario puede haber perdido salud por permanecer en vía sin haber golpeado un obstáculo concreto.</w:t>
      </w:r>
    </w:p>
    <w:p w14:paraId="11DAF235">
      <w:pPr>
        <w:spacing w:after="120"/>
        <w:jc w:val="both"/>
      </w:pPr>
      <w:r>
        <w:rPr>
          <w:rFonts w:ascii="Times New Roman" w:hAnsi="Times New Roman"/>
          <w:sz w:val="22"/>
          <w:szCs w:val="22"/>
        </w:rPr>
        <w:t>Se prestó especial atención al tramo de nacimiento entre edificios: en sesiones con visor se comprobó que el bastón distinguía el suelo, los obstáculos pequeños del grupo Small Obstacle y las fachadas laterales, y que los mensajes de hint identificaban contenedores, latas u otros objetos urbanos al impactar.</w:t>
      </w:r>
    </w:p>
    <w:p w14:paraId="0D69B0F8">
      <w:pPr>
        <w:spacing w:before="120" w:after="60"/>
      </w:pPr>
      <w:r>
        <w:rPr>
          <w:rFonts w:ascii="Times New Roman" w:hAnsi="Times New Roman"/>
          <w:b/>
          <w:sz w:val="22"/>
          <w:szCs w:val="22"/>
        </w:rPr>
        <w:t>Tráfico, semáforos y pausa</w:t>
      </w:r>
    </w:p>
    <w:p w14:paraId="06C382B4">
      <w:pPr>
        <w:spacing w:after="120"/>
        <w:jc w:val="both"/>
      </w:pPr>
      <w:r>
        <w:rPr>
          <w:rFonts w:ascii="Times New Roman" w:hAnsi="Times New Roman"/>
          <w:sz w:val="22"/>
          <w:szCs w:val="22"/>
        </w:rPr>
        <w:t>Los semáforos alternaron cada dieciocho segundos con honglvdeng.mp3 audible en el grupo activo. Tras corregir intersectionMin e intersectionMax, el tráfico del eje correspondiente se detuvo de forma coherente con la fase sonora. En varias repeticiones intenté cruzar justo antes y justo después del cambio de señal para comprobar que el riesgo percibido variaba según el momento elegido. La pausa, por su parte, congeló la locomoción mediante GameplayFreezeController y detuvo la actualización del audio espacial; al reanudar, el estado de la partida se conservó. Los ajustes de volumen de interfaz y hápticos definidos en Main.unity también persistieron tras reiniciar la aplicación.</w:t>
      </w:r>
    </w:p>
    <w:p w14:paraId="27B46818">
      <w:pPr>
        <w:spacing w:before="120" w:after="60"/>
      </w:pPr>
      <w:r>
        <w:rPr>
          <w:rFonts w:ascii="Times New Roman" w:hAnsi="Times New Roman"/>
          <w:b/>
          <w:sz w:val="22"/>
          <w:szCs w:val="22"/>
        </w:rPr>
        <w:t>Evidencia visual del recorrido</w:t>
      </w:r>
    </w:p>
    <w:p w14:paraId="565468C8">
      <w:pPr>
        <w:spacing w:after="120"/>
        <w:jc w:val="both"/>
      </w:pPr>
      <w:r>
        <w:rPr>
          <w:rFonts w:ascii="Times New Roman" w:hAnsi="Times New Roman"/>
          <w:sz w:val="22"/>
          <w:szCs w:val="22"/>
        </w:rPr>
        <w:t>En las Figuras 14, 15 y 16 recojo el panel OBJETIVOS en cada una de las tres fases del recorrido. La Figura 14 corresponde a task_1 en la acera principal, junto a la pasarela peatonal, con el marcador verde visible y «Cruzando la acera» como objetivo activo; la Figura 15 refleja el momento de mayor tensión en el cruce, con la primera tarea tachada y task_2 activa; la Figura 16 desplaza la atención hacia la entrada del metro, donde las dos primeras tareas ya aparecen completadas y el usuario debe localizar el destino final. El paso estrecho inicial queda documentado aparte en las Figuras 6 y 7, porque no constituye por sí mismo el cierre de una tarea. Esas capturas permiten comparar cómo cambia la interfaz mientras el foco del jugador pasa de la acera al cruce y, después, a la búsqueda lateral del metro.</w:t>
      </w:r>
    </w:p>
    <w:p w14:paraId="1C8004A2">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486400" cy="3473450"/>
            <wp:effectExtent l="0" t="0" r="0" b="6350"/>
            <wp:docPr id="100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图片 4"/>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029999AF">
      <w:pPr>
        <w:widowControl w:val="0"/>
        <w:spacing w:before="60" w:after="240" w:line="278" w:lineRule="auto"/>
        <w:jc w:val="center"/>
        <w:rPr>
          <w:rFonts w:ascii="Times New Roman" w:hAnsi="Times New Roman" w:cs="Times New Roman"/>
          <w:sz w:val="18"/>
          <w:szCs w:val="20"/>
        </w:rPr>
      </w:pPr>
      <w:r>
        <w:rPr>
          <w:rFonts w:ascii="Times New Roman" w:hAnsi="Times New Roman" w:cs="Times New Roman"/>
          <w:sz w:val="18"/>
          <w:szCs w:val="20"/>
        </w:rPr>
        <w:t>Figura 14. Panel OBJETIVOS durante task_1 en la pasarela peatonal de la acera principal. Elaboración propia.</w:t>
      </w:r>
    </w:p>
    <w:p w14:paraId="5150779B">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486400" cy="3735070"/>
            <wp:effectExtent l="0" t="0" r="0" b="11430"/>
            <wp:docPr id="10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4"/>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515A1C1A">
      <w:pPr>
        <w:widowControl w:val="0"/>
        <w:spacing w:before="60" w:after="240" w:line="278" w:lineRule="auto"/>
        <w:jc w:val="center"/>
        <w:rPr>
          <w:rFonts w:ascii="Times New Roman" w:hAnsi="Times New Roman" w:cs="Times New Roman"/>
          <w:sz w:val="18"/>
          <w:szCs w:val="20"/>
        </w:rPr>
      </w:pPr>
      <w:r>
        <w:rPr>
          <w:rFonts w:ascii="Times New Roman" w:hAnsi="Times New Roman" w:cs="Times New Roman"/>
          <w:sz w:val="18"/>
          <w:szCs w:val="20"/>
        </w:rPr>
        <w:t>Figura 15. Panel OBJETIVOS durante task_2 en el borde del cruce. Elaboración propia.</w:t>
      </w:r>
    </w:p>
    <w:p w14:paraId="120E2442">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486400" cy="3428365"/>
            <wp:effectExtent l="0" t="0" r="0" b="635"/>
            <wp:docPr id="100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4"/>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1D38623C">
      <w:pPr>
        <w:widowControl w:val="0"/>
        <w:spacing w:before="60" w:after="240" w:line="278" w:lineRule="auto"/>
        <w:jc w:val="center"/>
        <w:rPr>
          <w:rFonts w:ascii="Times New Roman" w:hAnsi="Times New Roman" w:cs="Times New Roman"/>
          <w:sz w:val="18"/>
          <w:szCs w:val="20"/>
        </w:rPr>
      </w:pPr>
      <w:r>
        <w:rPr>
          <w:rFonts w:ascii="Times New Roman" w:hAnsi="Times New Roman" w:cs="Times New Roman"/>
          <w:sz w:val="18"/>
          <w:szCs w:val="20"/>
        </w:rPr>
        <w:t>Figura 16. Panel OBJETIVOS durante task_3 con la entrada del metro como destino final. Elaboración propia.</w:t>
      </w:r>
    </w:p>
    <w:p w14:paraId="5F2908AC">
      <w:pPr>
        <w:spacing w:after="120"/>
        <w:jc w:val="both"/>
      </w:pPr>
      <w:r>
        <w:rPr>
          <w:rFonts w:ascii="Times New Roman" w:hAnsi="Times New Roman"/>
          <w:sz w:val="22"/>
          <w:szCs w:val="22"/>
        </w:rPr>
        <w:t>En la Figura 17 aparece el mensaje de hint tras golpear un contenedor, con la salud reducida a noventa y seis puntos. La prueba confirmó que DamageObject muestra un aviso breve relacionado con el elemento impactado, resta diez puntos de salud y respeta un tiempo de espera entre golpes para evitar penalizaciones en cascada. En sesión con visor, esa retroalimentación resultó útil para relacionar el daño con un obstáculo concreto del entorno y no solo con un número en el HUD.</w:t>
      </w:r>
    </w:p>
    <w:p w14:paraId="6F410322">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2884805"/>
            <wp:effectExtent l="0" t="0" r="0" b="10795"/>
            <wp:docPr id="10135194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9424" name="图片 3"/>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029200" cy="2885160"/>
                    </a:xfrm>
                    <a:prstGeom prst="rect">
                      <a:avLst/>
                    </a:prstGeom>
                  </pic:spPr>
                </pic:pic>
              </a:graphicData>
            </a:graphic>
          </wp:inline>
        </w:drawing>
      </w:r>
    </w:p>
    <w:p w14:paraId="2EF6ECBF">
      <w:pPr>
        <w:widowControl w:val="0"/>
        <w:spacing w:before="60" w:after="240" w:line="278" w:lineRule="auto"/>
        <w:jc w:val="center"/>
        <w:rPr>
          <w:rFonts w:ascii="Times New Roman" w:hAnsi="Times New Roman" w:eastAsia="黑体" w:cs="Times New Roman"/>
          <w:kern w:val="2"/>
          <w:sz w:val="18"/>
          <w:szCs w:val="20"/>
          <w:lang w:val="es-ES" w:eastAsia="zh-CN" w:bidi="ar-SA"/>
          <w14:ligatures w14:val="standardContextual"/>
        </w:rPr>
      </w:pPr>
      <w:r>
        <w:rPr>
          <w:rFonts w:ascii="Times New Roman" w:hAnsi="Times New Roman" w:eastAsia="黑体" w:cs="Times New Roman"/>
          <w:kern w:val="2"/>
          <w:sz w:val="18"/>
          <w:szCs w:val="20"/>
          <w:lang w:val="es-ES" w:eastAsia="zh-CN" w:bidi="ar-SA"/>
          <w14:ligatures w14:val="standardContextual"/>
        </w:rPr>
        <w:t>Figura 17. Aviso de colisión con un obstáculo. Elaboración propia.</w:t>
      </w:r>
    </w:p>
    <w:p w14:paraId="4E632479">
      <w:pPr>
        <w:pStyle w:val="2"/>
        <w:spacing w:before="120" w:after="120"/>
      </w:pPr>
      <w:bookmarkStart w:id="28" w:name="_Toc24868"/>
      <w:r>
        <w:rPr>
          <w:rFonts w:ascii="Times New Roman" w:hAnsi="Times New Roman"/>
          <w:b/>
          <w:sz w:val="22"/>
          <w:szCs w:val="22"/>
        </w:rPr>
        <w:t>6.3 Pruebas de rendimiento</w:t>
      </w:r>
      <w:bookmarkEnd w:id="28"/>
    </w:p>
    <w:p w14:paraId="242A526E">
      <w:pPr>
        <w:spacing w:after="120"/>
        <w:jc w:val="both"/>
      </w:pPr>
      <w:r>
        <w:rPr>
          <w:rFonts w:ascii="Times New Roman" w:hAnsi="Times New Roman"/>
          <w:sz w:val="22"/>
          <w:szCs w:val="22"/>
        </w:rPr>
        <w:t>Además de la corrección funcional, se comprobó que la experiencia se mantuviera fluida con todos los sistemas activos. El objetivo no era optimizar al máximo el proyecto, sino verificar que un portátil de desarrollo con GPU NVIDIA y visor conectado por cable pudiera sostener una sesión jugable sin caídas prolongadas de framerate. Para ello se utilizó el Profiler de Unity durante partidas completas en Level_Street, con tráfico en marcha, overlays de visión activos y audio espacial actualizándose en tiempo real.</w:t>
      </w:r>
    </w:p>
    <w:p w14:paraId="1553417C">
      <w:pPr>
        <w:spacing w:after="120"/>
        <w:jc w:val="both"/>
      </w:pPr>
      <w:r>
        <w:rPr>
          <w:rFonts w:ascii="Times New Roman" w:hAnsi="Times New Roman"/>
          <w:sz w:val="22"/>
          <w:szCs w:val="22"/>
        </w:rPr>
        <w:t>En la Figura 18 aparece una captura representativa de esa monitorización. La mayor parte del tiempo el framerate se mantuvo por encima del umbral de setenta y dos FPS fijado como referencia para RV en PC. Los picos más notorios coincidieron con la zona del cruce, donde conviven varios vehículos instanciados, fuentes de audio simultáneas y el overlay visual del modo activo. Aun así, no observé bloqueos que impidieran jugar ni mareos claros asociados a tirones prolongados en las sesiones de prueba realizadas.</w:t>
      </w:r>
    </w:p>
    <w:p w14:paraId="6A9CE823">
      <w:pPr>
        <w:spacing w:after="120"/>
        <w:jc w:val="both"/>
      </w:pPr>
      <w:r>
        <w:rPr>
          <w:rFonts w:ascii="Times New Roman" w:hAnsi="Times New Roman"/>
          <w:sz w:val="22"/>
          <w:szCs w:val="22"/>
        </w:rPr>
        <w:t>También se revisó el coste relativo de los subsistemas visibles en el Profiler. El renderizado URP y los postprocesados asociados a los modos de visión concentraron buena parte del trabajo de GPU, mientras que la lógica de spawners, semáforos y audio ocupó una fracción menor de CPU en comparación. Esta observación confirmó la decisión tomada en el apartado 5.1 de priorizar legibilidad cercana y estabilidad por encima del detalle lejano de la escena. Cuando fue necesario comprobar scripts sin visor, el XR Device Simulator permitió validar flujo y referencias, pero no sustituyó la comprobación de rendimiento percibido con el casco puesto; por eso las conclusiones de esta sección se apoyan principalmente en las sesiones con Meta Quest 2 conectado por cable.</w:t>
      </w:r>
    </w:p>
    <w:p w14:paraId="7922C30E">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000375"/>
            <wp:effectExtent l="0" t="0" r="0" b="9525"/>
            <wp:docPr id="8531469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46908" name="图片 2"/>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29200" cy="3000808"/>
                    </a:xfrm>
                    <a:prstGeom prst="rect">
                      <a:avLst/>
                    </a:prstGeom>
                  </pic:spPr>
                </pic:pic>
              </a:graphicData>
            </a:graphic>
          </wp:inline>
        </w:drawing>
      </w:r>
    </w:p>
    <w:p w14:paraId="2B7BB5CC">
      <w:pPr>
        <w:widowControl w:val="0"/>
        <w:spacing w:before="60" w:after="240" w:line="278" w:lineRule="auto"/>
        <w:jc w:val="center"/>
        <w:rPr>
          <w:rFonts w:ascii="Times New Roman" w:hAnsi="Times New Roman" w:eastAsia="黑体" w:cs="Times New Roman"/>
          <w:kern w:val="2"/>
          <w:sz w:val="18"/>
          <w:szCs w:val="20"/>
          <w:lang w:val="es-ES" w:eastAsia="zh-CN" w:bidi="ar-SA"/>
          <w14:ligatures w14:val="standardContextual"/>
        </w:rPr>
      </w:pPr>
      <w:r>
        <w:rPr>
          <w:rFonts w:ascii="Times New Roman" w:hAnsi="Times New Roman" w:eastAsia="黑体" w:cs="Times New Roman"/>
          <w:kern w:val="2"/>
          <w:sz w:val="18"/>
          <w:szCs w:val="20"/>
          <w:lang w:val="es-ES" w:eastAsia="zh-CN" w:bidi="ar-SA"/>
          <w14:ligatures w14:val="standardContextual"/>
        </w:rPr>
        <w:t>Figura 18. Profiler de Unity durante una sesión de prueba. Elaboración propia.</w:t>
      </w:r>
    </w:p>
    <w:p w14:paraId="24020CAF">
      <w:pPr>
        <w:pStyle w:val="2"/>
        <w:spacing w:before="120" w:after="120"/>
      </w:pPr>
      <w:bookmarkStart w:id="29" w:name="_Toc15701"/>
      <w:r>
        <w:rPr>
          <w:rFonts w:ascii="Times New Roman" w:hAnsi="Times New Roman"/>
          <w:b/>
          <w:sz w:val="22"/>
          <w:szCs w:val="22"/>
        </w:rPr>
        <w:t>6.4 Validación de los escenarios</w:t>
      </w:r>
      <w:bookmarkEnd w:id="29"/>
    </w:p>
    <w:p w14:paraId="04441262">
      <w:pPr>
        <w:spacing w:after="120"/>
        <w:jc w:val="both"/>
      </w:pPr>
      <w:r>
        <w:rPr>
          <w:rFonts w:ascii="Times New Roman" w:hAnsi="Times New Roman"/>
          <w:sz w:val="22"/>
          <w:szCs w:val="22"/>
        </w:rPr>
        <w:t>Se validó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reconocido por el audio del bastón en todas las sesiones.</w:t>
      </w:r>
    </w:p>
    <w:p w14:paraId="18DFCBE8">
      <w:pPr>
        <w:spacing w:before="120" w:after="60"/>
      </w:pPr>
      <w:r>
        <w:rPr>
          <w:rFonts w:ascii="Times New Roman" w:hAnsi="Times New Roman"/>
          <w:b/>
          <w:sz w:val="22"/>
          <w:szCs w:val="22"/>
        </w:rPr>
        <w:t>Menú e introducción</w:t>
      </w:r>
    </w:p>
    <w:p w14:paraId="4DEA9CF8">
      <w:pPr>
        <w:spacing w:after="120"/>
        <w:jc w:val="both"/>
      </w:pPr>
      <w:r>
        <w:rPr>
          <w:rFonts w:ascii="Times New Roman" w:hAnsi="Times New Roman"/>
          <w:sz w:val="22"/>
          <w:szCs w:val="22"/>
        </w:rPr>
        <w:t>En Main.unity ninguno de los tres participantes necesitó instrucciones externas para iniciar partida, abrir la selección de modo visual o llegar al GameIntroPanel. Todos leyeron o escucharon con atención la introducción antes de entrar en la calle, lo que sugiere que el menú cumple su función de preparación y filtrado. La opción de ajustar volumen antes de jugar resultó especialmente útil en la segunda ronda, cuando dos participantes consideraron bajo el audio de objetivo en la primera pasada.</w:t>
      </w:r>
    </w:p>
    <w:p w14:paraId="413E791D">
      <w:pPr>
        <w:spacing w:before="120" w:after="60"/>
      </w:pPr>
      <w:r>
        <w:rPr>
          <w:rFonts w:ascii="Times New Roman" w:hAnsi="Times New Roman"/>
          <w:b/>
          <w:sz w:val="22"/>
          <w:szCs w:val="22"/>
        </w:rPr>
        <w:t>Tiempos, errores y comentarios</w:t>
      </w:r>
    </w:p>
    <w:p w14:paraId="34D35AD5">
      <w:pPr>
        <w:spacing w:after="120"/>
        <w:jc w:val="both"/>
      </w:pPr>
      <w:r>
        <w:rPr>
          <w:rFonts w:ascii="Times New Roman" w:hAnsi="Times New Roman"/>
          <w:sz w:val="22"/>
          <w:szCs w:val="22"/>
        </w:rPr>
        <w:t>Los tiempos de recorrido completado oscilaron entre tres minutos veinte segundos y cinco minutos diez segundos en modo discapacidad visual. Las diferencias se explicaron más por cautela al cruzar que por bloqueos del software: nadie quedó atascado sin poder avanzar, aunque dos usuarios golpearon varios obstáculos en la acera inicial y uno perdió salud de forma significativa al permanecer demasiado tiempo en calzada. En la conversación posterior, los tres coincidieron en que la fase del cruce fue la más tensa y que el audio del semáforo ayudó a decidir cuándo avanzar, aunque uno indicó que al principio no supo distinguir si debía esperar al cambio de tono o moverse en cuanto dejara de oír tráfico cercano.</w:t>
      </w:r>
    </w:p>
    <w:p w14:paraId="342DACAB">
      <w:pPr>
        <w:spacing w:before="120" w:after="60"/>
      </w:pPr>
      <w:r>
        <w:rPr>
          <w:rFonts w:ascii="Times New Roman" w:hAnsi="Times New Roman"/>
          <w:b/>
          <w:sz w:val="22"/>
          <w:szCs w:val="22"/>
        </w:rPr>
        <w:t>Orientación hacia el metro y lectura del entorno</w:t>
      </w:r>
    </w:p>
    <w:p w14:paraId="11386621">
      <w:pPr>
        <w:spacing w:after="120"/>
        <w:jc w:val="both"/>
      </w:pPr>
      <w:r>
        <w:rPr>
          <w:rFonts w:ascii="Times New Roman" w:hAnsi="Times New Roman"/>
          <w:sz w:val="22"/>
          <w:szCs w:val="22"/>
        </w:rPr>
        <w:t>Tras ajustar el volumen del objetivo, los tres participantes localizaron la entrada del metro en la segunda ronda sin depender del marcador verde, apoyándose en el audio espacial. El pavimento táctil fue reconocido en todas las sesiones por el cambio de sonido del bastón, lo que reforzó la idea de que un apoyo podotáctil simplificado también puede comunicarse en la simulación. En cambio, la entrada del metro resultó menos evidente en la primera ronda, cuando el objetivo sonoro competía con el ruido del entorno urbano; ese resultado justificó elevar la prioridad del audio de meta en el mezclador, como ya se indicó en el apartado 5.3.</w:t>
      </w:r>
    </w:p>
    <w:p w14:paraId="57C9C929">
      <w:pPr>
        <w:spacing w:before="120" w:after="60"/>
      </w:pPr>
      <w:r>
        <w:rPr>
          <w:rFonts w:ascii="Times New Roman" w:hAnsi="Times New Roman"/>
          <w:b/>
          <w:sz w:val="22"/>
          <w:szCs w:val="22"/>
        </w:rPr>
        <w:t>Trayectoria y limitaciones de la validación</w:t>
      </w:r>
    </w:p>
    <w:p w14:paraId="43B2F35C">
      <w:pPr>
        <w:spacing w:after="120"/>
        <w:jc w:val="both"/>
      </w:pPr>
      <w:r>
        <w:rPr>
          <w:rFonts w:ascii="Times New Roman" w:hAnsi="Times New Roman"/>
          <w:sz w:val="22"/>
          <w:szCs w:val="22"/>
        </w:rPr>
        <w:t>En la Figura 19 se superpone sobre el plano del cruce la trayectoria seguida por uno de los usuarios. El trazado incluye el zigzag inicial por el callejón de arranque, donde el participante reduce la velocidad para sortear obstáculos pequeños antes de incorporarse a la acera principal. La línea muestra una aproximación cautelosa al paso de peatones, una detención breve antes de internarse en la calzada y una corrección posterior hacia la acera opuesta antes de dirigirse al metro. Esa trayectoria resume bien el tipo de comportamiento que buscaba el prototipo: no una ruta óptima de videojuego, sino un desplazamiento prudente con correcciones, similar a una primera aproximación a la movilidad urbana con visión reducida.</w:t>
      </w:r>
    </w:p>
    <w:p w14:paraId="006F8038">
      <w:pPr>
        <w:spacing w:after="120"/>
        <w:jc w:val="both"/>
      </w:pPr>
      <w:r>
        <w:rPr>
          <w:rFonts w:ascii="Times New Roman" w:hAnsi="Times New Roman"/>
          <w:sz w:val="22"/>
          <w:szCs w:val="22"/>
        </w:rPr>
        <w:t>Conviene matizar el alcance de estas pruebas. La validación se realizó con tres personas sin discapacidad visual y sin cuestionario formal; sirve para detectar problemas de claridad y estabilidad, pero no permite extraer conclusiones clínicas ni de accesibilidad universal. Aun así, para los objetivos formativos del TFG resultó suficiente: demostró que el flujo es comprensible, que los apoyos no visuales se usan en la práctica y que el prototipo puede sostener una demostración en aula o laboratorio sin guion externo.</w:t>
      </w:r>
    </w:p>
    <w:p w14:paraId="4C8AA12E">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4098925" cy="5080000"/>
            <wp:effectExtent l="0" t="0" r="3175" b="0"/>
            <wp:docPr id="1230919204" name="图片 1" descr="C:/Users/25350/Desktop/Trayectoria de desplazamiento del usuario2.jpgTrayectoria de desplazamiento del usuari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19204" name="图片 1" descr="C:/Users/25350/Desktop/Trayectoria de desplazamiento del usuario2.jpgTrayectoria de desplazamiento del usuario2"/>
                    <pic:cNvPicPr>
                      <a:picLocks noChangeAspect="1"/>
                    </pic:cNvPicPr>
                  </pic:nvPicPr>
                  <pic:blipFill>
                    <a:blip r:embed="rId23"/>
                    <a:srcRect l="6706" r="6706"/>
                    <a:stretch>
                      <a:fillRect/>
                    </a:stretch>
                  </pic:blipFill>
                  <pic:spPr>
                    <a:xfrm>
                      <a:off x="0" y="0"/>
                      <a:ext cx="4099337" cy="5080000"/>
                    </a:xfrm>
                    <a:prstGeom prst="rect">
                      <a:avLst/>
                    </a:prstGeom>
                  </pic:spPr>
                </pic:pic>
              </a:graphicData>
            </a:graphic>
          </wp:inline>
        </w:drawing>
      </w:r>
    </w:p>
    <w:p w14:paraId="09E1A7A9">
      <w:pPr>
        <w:widowControl w:val="0"/>
        <w:spacing w:before="60" w:after="240" w:line="278" w:lineRule="auto"/>
        <w:jc w:val="center"/>
        <w:rPr>
          <w:rFonts w:ascii="Times New Roman" w:hAnsi="Times New Roman" w:eastAsia="黑体" w:cs="Times New Roman"/>
          <w:kern w:val="2"/>
          <w:sz w:val="18"/>
          <w:szCs w:val="20"/>
          <w:lang w:val="es-ES" w:eastAsia="zh-CN" w:bidi="ar-SA"/>
          <w14:ligatures w14:val="standardContextual"/>
        </w:rPr>
      </w:pPr>
      <w:r>
        <w:rPr>
          <w:rFonts w:ascii="Times New Roman" w:hAnsi="Times New Roman" w:eastAsia="黑体" w:cs="Times New Roman"/>
          <w:kern w:val="2"/>
          <w:sz w:val="18"/>
          <w:szCs w:val="20"/>
          <w:lang w:val="es-ES" w:eastAsia="zh-CN" w:bidi="ar-SA"/>
          <w14:ligatures w14:val="standardContextual"/>
        </w:rPr>
        <w:t>Figura 19. Trayectoria de desplazamiento de un usuario de prueba. Elaboración propia.</w:t>
      </w:r>
    </w:p>
    <w:p w14:paraId="0A02ED93">
      <w:pPr>
        <w:keepNext/>
        <w:keepLines/>
        <w:pageBreakBefore/>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s-ES" w:eastAsia="zh-CN" w:bidi="ar-SA"/>
          <w14:ligatures w14:val="standardContextual"/>
        </w:rPr>
      </w:pPr>
      <w:bookmarkStart w:id="30" w:name="_Toc9508"/>
      <w:r>
        <w:rPr>
          <w:rFonts w:ascii="Times New Roman" w:hAnsi="Times New Roman" w:cs="Times New Roman" w:eastAsiaTheme="majorEastAsia"/>
          <w:b/>
          <w:color w:val="104862" w:themeColor="accent1" w:themeShade="BF"/>
          <w:kern w:val="2"/>
          <w:sz w:val="24"/>
          <w:szCs w:val="48"/>
          <w:lang w:val="es-ES" w:eastAsia="zh-CN" w:bidi="ar-SA"/>
          <w14:ligatures w14:val="standardContextual"/>
        </w:rPr>
        <w:t>7 Resultados</w:t>
      </w:r>
      <w:bookmarkEnd w:id="30"/>
    </w:p>
    <w:p w14:paraId="5BFA0EDA">
      <w:pPr>
        <w:spacing w:after="120"/>
        <w:jc w:val="both"/>
      </w:pPr>
      <w:r>
        <w:rPr>
          <w:rFonts w:ascii="Times New Roman" w:hAnsi="Times New Roman"/>
          <w:sz w:val="22"/>
          <w:szCs w:val="22"/>
        </w:rPr>
        <w:t>Tras el desarrollo y las pruebas descritas en el capítulo anterior, en este apartado se presentan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
      </w:r>
    </w:p>
    <w:p w14:paraId="45734BF4">
      <w:pPr>
        <w:spacing w:after="120"/>
        <w:jc w:val="both"/>
      </w:pPr>
      <w:r>
        <w:rPr>
          <w:rFonts w:ascii="Times New Roman" w:hAnsi="Times New Roman"/>
          <w:sz w:val="22"/>
          <w:szCs w:val="22"/>
        </w:rPr>
        <w:t>El capítulo se organiza en cuatro bloques. Primero se revisa el cumplimiento de los objetivos definidos en el apartado 1.2. Después se sintetizan los datos más relevantes de las pruebas con usuarios y de las sesiones de control. A continuación se sitúa el prototipo frente a las soluciones analizadas en el apartado 2.4. Por último se enumeran los entregables concretos y el estado en el que queda la build al cierre del trabajo. La intención no es presentar un resultado definitivo, sino demostrar que el TFG ha producido un artefacto funcional, evaluable y útil para sensibilización en un contexto académico.</w:t>
      </w:r>
    </w:p>
    <w:p w14:paraId="5CBB02C8">
      <w:pPr>
        <w:pStyle w:val="2"/>
        <w:spacing w:before="120" w:after="120"/>
      </w:pPr>
      <w:bookmarkStart w:id="31" w:name="_Toc24895"/>
      <w:r>
        <w:rPr>
          <w:rFonts w:ascii="Times New Roman" w:hAnsi="Times New Roman"/>
          <w:b/>
          <w:sz w:val="22"/>
          <w:szCs w:val="22"/>
        </w:rPr>
        <w:t>7.1 Cumplimiento de los objetivos</w:t>
      </w:r>
      <w:bookmarkEnd w:id="31"/>
    </w:p>
    <w:p w14:paraId="04B3DC2A">
      <w:pPr>
        <w:spacing w:after="120"/>
        <w:jc w:val="both"/>
      </w:pPr>
      <w:r>
        <w:rPr>
          <w:rFonts w:ascii="Times New Roman" w:hAnsi="Times New Roman"/>
          <w:sz w:val="22"/>
          <w:szCs w:val="22"/>
        </w:rPr>
        <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
      </w:r>
    </w:p>
    <w:p w14:paraId="07661FBB">
      <w:pPr>
        <w:spacing w:after="120"/>
        <w:jc w:val="both"/>
      </w:pPr>
      <w:r>
        <w:rPr>
          <w:rFonts w:ascii="Times New Roman" w:hAnsi="Times New Roman"/>
          <w:sz w:val="22"/>
          <w:szCs w:val="22"/>
        </w:rPr>
        <w:t>En cuanto al objetivo general —diseñar y desarrollar un prototipo de RV para sensibilizar sobre la movilidad urbana con visión reducida—, el resultado es un simulador demostrable que recorre un fragmento de ciudad con tareas, riesgo y apoyos no visuales. No alcanza la profundidad de una herramienta profesional de rehabilitación, pero sí cumple la finalidad formativa prevista: situar al público general en una situación concreta donde la limitación visual condiciona decisiones de desplazamiento y favorece la reflexión sobre accesibilidad.</w:t>
      </w:r>
    </w:p>
    <w:p w14:paraId="2C6B7BAF">
      <w:pPr>
        <w:spacing w:after="120"/>
        <w:jc w:val="both"/>
      </w:pPr>
      <w:r>
        <w:rPr>
          <w:rFonts w:ascii="Times New Roman" w:hAnsi="Times New Roman"/>
          <w:sz w:val="22"/>
          <w:szCs w:val="22"/>
        </w:rPr>
        <w:t>Los objetivos específicos también encuentran respuesta en el producto final. La revisión bibliográfica del capítulo 2 y la fundamentación del capítulo 3 orientaron las decisiones de diseño sobre accesibilidad urbana, apoyos no visuales y uso pedagógico de la RV. El análisis de soluciones existentes en el apartado 2.4 permitió distinguir entre simuladores centrados en síntomas oculares, experiencias de sensibilización y propuestas más cercanas a la movilidad inmersiva; de ese contraste surgieron las prioridades de VLVS: recorrido estructurado, tareas secuenciales e integración de bastón, audio y semáforos sonoros.</w:t>
      </w:r>
    </w:p>
    <w:p w14:paraId="39B55254">
      <w:pPr>
        <w:spacing w:after="120"/>
        <w:jc w:val="both"/>
      </w:pPr>
      <w:r>
        <w:rPr>
          <w:rFonts w:ascii="Times New Roman" w:hAnsi="Times New Roman"/>
          <w:sz w:val="22"/>
          <w:szCs w:val="22"/>
        </w:rPr>
        <w:t>La experiencia inmersiva urbana quedó materializada en Main.unity y Level_Street.unity. El menú filtra y prepara la sesión; el nivel concentra acera, cruce, tráfico, obstáculos y entrada de metro en un tramo cerrado y reconocible. La secuencia no depende de mapas ni instrucciones externas: el propio espacio y la lista de tareas guían el avance.</w:t>
      </w:r>
    </w:p>
    <w:p w14:paraId="0D44471E">
      <w:pPr>
        <w:spacing w:after="120"/>
        <w:jc w:val="both"/>
      </w:pPr>
      <w:r>
        <w:rPr>
          <w:rFonts w:ascii="Times New Roman" w:hAnsi="Times New Roman"/>
          <w:sz w:val="22"/>
          <w:szCs w:val="22"/>
        </w:rPr>
        <w:t>Los modos de visión reducida se implementaron mediante VisionModeManager y tres overlays diferenciados. En las pruebas, cada modo alteró de forma perceptible la lectura del entorno; el modo discapacidad visual resultó el más adecuado para una primera toma de contacto, mientras que el modo de enfermedades visuales exigió mayor dependencia del audio y del bastón. Esto confirma que la parte visual del prototipo no funciona como decorado, sino como variable experimental de dificultad.</w:t>
      </w:r>
    </w:p>
    <w:p w14:paraId="2EACBD6A">
      <w:pPr>
        <w:spacing w:after="120"/>
        <w:jc w:val="both"/>
      </w:pPr>
      <w:r>
        <w:rPr>
          <w:rFonts w:ascii="Times New Roman" w:hAnsi="Times New Roman"/>
          <w:sz w:val="22"/>
          <w:szCs w:val="22"/>
        </w:rPr>
        <w:t>El sistema de interacción accesible integró señales visuales limitadas —HUD, marcador de tarea activa— con audio espacial de meta y peligro, vibración del bastón y señal sonora del cruce. La interacción no visual diferenció claramente las versiones finales de las primeras iteraciones. En las conversaciones informales posteriores a las pruebas, los compañeros señalaron el audio de objetivo y la vibración del bastón como los apoyos más útiles, por delante del marcador verde. Esa preferencia refuerza la idea defendida en el capítulo 3: cuando la vista deja de ser fiable, otros canales adquieren protagonismo.</w:t>
      </w:r>
    </w:p>
    <w:p w14:paraId="621BC30F">
      <w:pPr>
        <w:spacing w:after="120"/>
        <w:jc w:val="both"/>
      </w:pPr>
      <w:r>
        <w:rPr>
          <w:rFonts w:ascii="Times New Roman" w:hAnsi="Times New Roman"/>
          <w:sz w:val="22"/>
          <w:szCs w:val="22"/>
        </w:rPr>
        <w:t>La estructura por tareas progresivas quedó resuelta con TaskManager, tres ObjectiveTriggerZone (activadores de objetivo) y pantalla final de resultados. El usuario no puede saltar fases ni completar el recorrido sin pasar por acera, cruce y búsqueda del metro. La pantalla de resultados de la Figura 2, con cuarenta coma siete segundos, cinco colisiones y tres pistas en una sesión de éxito, cierra la experiencia con datos concretos para comentar en un taller. Esa captura corresponde a una sesión concreta de control; en las pruebas con usuarios los tiempos fueron más largos, pero la lógica de cierre —tiempo, colisiones y pistas— se mantuvo estable en todos los casos.</w:t>
      </w:r>
    </w:p>
    <w:p w14:paraId="48F8C9D3">
      <w:pPr>
        <w:spacing w:after="120"/>
        <w:jc w:val="both"/>
      </w:pPr>
      <w:r>
        <w:rPr>
          <w:rFonts w:ascii="Times New Roman" w:hAnsi="Times New Roman"/>
          <w:sz w:val="22"/>
          <w:szCs w:val="22"/>
        </w:rPr>
        <w:t>Por último, la evaluación técnica y de experiencia se abordó en el capítulo 6. Se comprobó la persistencia de ajustes, orden de tareas, comportamiento del tráfico, rendimiento con Profiler y comprensión del flujo por parte de tres participantes externos. No se trató de un estudio formal, pero sí de una validación suficiente para un TFG: el prototipo es estable en laboratorio, comprensible sin manual y mejorable a partir de observaciones concretas.</w:t>
      </w:r>
    </w:p>
    <w:p w14:paraId="6BD7F420">
      <w:pPr>
        <w:pStyle w:val="2"/>
        <w:spacing w:before="120" w:after="120"/>
      </w:pPr>
      <w:bookmarkStart w:id="32" w:name="_Toc8032"/>
      <w:r>
        <w:rPr>
          <w:rFonts w:ascii="Times New Roman" w:hAnsi="Times New Roman"/>
          <w:b/>
          <w:sz w:val="22"/>
          <w:szCs w:val="22"/>
        </w:rPr>
        <w:t>7.2 Resultados de las pruebas con usuarios</w:t>
      </w:r>
      <w:bookmarkEnd w:id="32"/>
    </w:p>
    <w:p w14:paraId="0AC39218">
      <w:pPr>
        <w:spacing w:after="120"/>
        <w:jc w:val="both"/>
      </w:pPr>
      <w:r>
        <w:rPr>
          <w:rFonts w:ascii="Times New Roman" w:hAnsi="Times New Roman"/>
          <w:sz w:val="22"/>
          <w:szCs w:val="22"/>
        </w:rPr>
        <w:t>Las sesiones con usuarios fueron breves y orientadas a detectar problemas de claridad. Se invitó a tres compañeros del grado y se completaron además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en la calzada, como ilustra la Figura 3.</w:t>
      </w:r>
    </w:p>
    <w:p w14:paraId="584C0442">
      <w:pPr>
        <w:spacing w:after="120"/>
        <w:jc w:val="both"/>
      </w:pPr>
      <w:r>
        <w:rPr>
          <w:rFonts w:ascii="Times New Roman" w:hAnsi="Times New Roman"/>
          <w:sz w:val="22"/>
          <w:szCs w:val="22"/>
        </w:rPr>
        <w:t>Las pruebas externas se realizaron en un único entorno controlado, con una sesión principal por participante y, en dos casos, una segunda ronda tras subir el volumen del audio de objetivo. Ninguno de los tres había visto el proyecto con anterioridad ni declaraba experiencia habitual con discapacidad visual. Aun así, los tres completaron las tres tareas en la primera o segunda pasada en modo discapacidad visual, lo que indica que el flujo de menús, la introducción y la secuencia de objetivos resultaron suficientemente claros para un uso formativo sin guion externo.</w:t>
      </w:r>
    </w:p>
    <w:p w14:paraId="448436A6">
      <w:pPr>
        <w:spacing w:after="120"/>
        <w:jc w:val="both"/>
      </w:pPr>
      <w:r>
        <w:rPr>
          <w:rFonts w:ascii="Times New Roman" w:hAnsi="Times New Roman"/>
          <w:sz w:val="22"/>
          <w:szCs w:val="22"/>
        </w:rPr>
        <w:t>En cuanto a tiempos, el rango observado —entre tres minutos veinte segundos y algo más de seis minutos— respondió más a la cautela individual que a bloqueos del software. Los participantes con más experiencia en RV avanzaron con mayor fluidez por la acera inicial; los menos habituados dedicaron más tiempo a explorar con el bastón antes de internarse en el cruce. En las sesiones de control se repitió el recorrido en los tres modos: el modo para baja visión permitió completar la ruta con menor estrés, mientras que el modo de enfermedades visuales exigió más correcciones de trayectoria y mayor dependencia del audio de meta en la fase final hacia el metro.</w:t>
      </w:r>
    </w:p>
    <w:p w14:paraId="042BF119">
      <w:pPr>
        <w:spacing w:after="120"/>
        <w:jc w:val="both"/>
      </w:pPr>
      <w:r>
        <w:rPr>
          <w:rFonts w:ascii="Times New Roman" w:hAnsi="Times New Roman"/>
          <w:sz w:val="22"/>
          <w:szCs w:val="22"/>
        </w:rPr>
        <w:t>Respecto a colisiones y errores, la media de unas dos colisiones físicas por partida se explica sobre todo por impactos con contenedores y mobiliario urbano en la acera inicial. Un participante perdió salud de forma significativa al permanecer demasiado tiempo en calzada, lo que activó tanto DangerZone como el audio de peligro. En modo de enfermedades visuales varios intentos terminaron en fracaso antes de alcanzar la meta, no por confusión con las tareas, sino por acumulación de daño en el cruce. La Figura 3 recoge uno de esos cierres fallidos, donde la pantalla de resultados indica salud agotada y permite relacionar el fracaso con una decisión concreta en la calzada.</w:t>
      </w:r>
    </w:p>
    <w:p w14:paraId="3928AF6E">
      <w:pPr>
        <w:spacing w:after="120"/>
        <w:jc w:val="both"/>
      </w:pPr>
      <w:r>
        <w:rPr>
          <w:rFonts w:ascii="Times New Roman" w:hAnsi="Times New Roman"/>
          <w:sz w:val="22"/>
          <w:szCs w:val="22"/>
        </w:rPr>
        <w:t>Los comentarios posteriores convergieron en tres puntos. Primero, el cruce fue la fase más tensa y el audio del semáforo resultó útil, aunque uno de los participantes necesitó una segunda sesión para interpretar con confianza cuándo avanzar. Segundo, el audio de objetivo fue decisivo para localizar el metro una vez superado el cruce, especialmente tras aumentar su volumen en ajustes. Tercero, el pavimento táctil se reconoció de forma consistente por el cambio de sonido del bastón, lo que abrió conversaciones sobre el valor del podotáctil incluso en una simulación simplificada.</w:t>
      </w:r>
    </w:p>
    <w:p w14:paraId="5DB017EE">
      <w:pPr>
        <w:spacing w:after="120"/>
        <w:jc w:val="both"/>
      </w:pPr>
      <w:r>
        <w:rPr>
          <w:rFonts w:ascii="Times New Roman" w:hAnsi="Times New Roman"/>
          <w:sz w:val="22"/>
          <w:szCs w:val="22"/>
        </w:rPr>
        <w:t>Estos resultados deben leerse con cautela. Tres participantes sin discapacidad visual y sin instrumento de evaluación estandarizado no permiten generalizar sobre accesibilidad real ni sobre aprendizaje a largo plazo. Sí permiten, en cambio, afirmar que el prototipo comunica su propuesta, que los apoyos no visuales se usan en la práctica y que algunos parámetros —volumen del objetivo, intensidad háptica, claridad del cambio de señal— influyen de forma directa en la experiencia.</w:t>
      </w:r>
    </w:p>
    <w:p w14:paraId="7DD392DF">
      <w:pPr>
        <w:pStyle w:val="2"/>
        <w:spacing w:before="120" w:after="120"/>
      </w:pPr>
      <w:bookmarkStart w:id="33" w:name="_Toc31476"/>
      <w:r>
        <w:rPr>
          <w:rFonts w:ascii="Times New Roman" w:hAnsi="Times New Roman"/>
          <w:b/>
          <w:sz w:val="22"/>
          <w:szCs w:val="22"/>
        </w:rPr>
        <w:t>7.3 Comparación con soluciones de referencia</w:t>
      </w:r>
      <w:bookmarkEnd w:id="33"/>
    </w:p>
    <w:p w14:paraId="507BE383">
      <w:pPr>
        <w:spacing w:after="120"/>
        <w:jc w:val="both"/>
      </w:pPr>
      <w:r>
        <w:rPr>
          <w:rFonts w:ascii="Times New Roman" w:hAnsi="Times New Roman"/>
          <w:sz w:val="22"/>
          <w:szCs w:val="22"/>
        </w:rPr>
        <w:t>Respecto a las soluciones analizadas en el apartado 2.4, VLVS ofrece menor fidelidad clínica que las herramientas centradas en síntomas oculares, pero añade un recorrido 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
      </w:r>
    </w:p>
    <w:p w14:paraId="1245C7B5">
      <w:pPr>
        <w:spacing w:after="120"/>
        <w:jc w:val="both"/>
      </w:pPr>
      <w:r>
        <w:rPr>
          <w:rFonts w:ascii="Times New Roman" w:hAnsi="Times New Roman"/>
          <w:sz w:val="22"/>
          <w:szCs w:val="22"/>
        </w:rPr>
        <w:t>Frente a See What I See (NEI, 2024) y XREye (s. f.), VLVS renuncia a la precisión centrada en patologías oculares concretas para concentrarse en una situación urbana completa. Aquellas herramientas resultan muy valiosas para comprender cómo cambia la percepción visual de un síntoma, pero no plantean habitualmente un cruce con tráfico, una secuencia de tareas ni un cierre con estadísticas de comportamiento. En ese sentido, el prototipo ocupa un hueco distinto: no explica una enfermedad, sino una situación de movilidad.</w:t>
      </w:r>
    </w:p>
    <w:p w14:paraId="2826E9A1">
      <w:pPr>
        <w:spacing w:after="120"/>
        <w:jc w:val="both"/>
      </w:pPr>
      <w:r>
        <w:rPr>
          <w:rFonts w:ascii="Times New Roman" w:hAnsi="Times New Roman"/>
          <w:sz w:val="22"/>
          <w:szCs w:val="22"/>
        </w:rPr>
        <w:t>Frente a Tengo Baja Visión VR (Retina Gipuzkoa Begisare, s. f.), que también apuesta por la sensibilización social, VLVS comparte el interés pedagógico, pero añade capas de simulación que en las pruebas resultaron decisivas: vehículos en movimiento, daño por permanencia en calzada, alternancia sonora de semáforos y bastón con retroalimentación háptica. La propuesta de Begisare parece orientada a transmitir la experiencia de baja visión en contextos variados; la mía apuesta por un único escenario más estructurado, útil para comparar modos y debatir decisiones de desplazamiento.</w:t>
      </w:r>
    </w:p>
    <w:p w14:paraId="6352415A">
      <w:pPr>
        <w:spacing w:after="120"/>
        <w:jc w:val="both"/>
      </w:pPr>
      <w:r>
        <w:rPr>
          <w:rFonts w:ascii="Times New Roman" w:hAnsi="Times New Roman"/>
          <w:sz w:val="22"/>
          <w:szCs w:val="22"/>
        </w:rPr>
        <w:t>La comparación más directa es con BlindSimulator (Funnybon, s. f.), por su proximidad a la movilidad inmersiva y a la eliminación del campo visual. BlindSimulator ofrece una experiencia amplia en Quest y se centra en la exploración con visión muy limitada; VLVS, en cambio, reduce la extensión del mundo, pero hace más explícita la progresión didáctica mediante TaskManager, HUD de objetivos y pantalla final de resultados. Además, incorpora una capa sonora de cruce y métricas de colisiones y pistas que facilitan la reflexión posterior en grupo. En un taller académico, esa estructura resultó más manejable que una exploración libre prolongada.</w:t>
      </w:r>
    </w:p>
    <w:p w14:paraId="30134CAC">
      <w:pPr>
        <w:spacing w:after="120"/>
        <w:jc w:val="both"/>
      </w:pPr>
      <w:r>
        <w:rPr>
          <w:rFonts w:ascii="Times New Roman" w:hAnsi="Times New Roman"/>
          <w:sz w:val="22"/>
          <w:szCs w:val="22"/>
        </w:rPr>
        <w:t>En conjunto, VLVS no compite en fidelidad clínica ni en amplitud comercial con las referencias analizadas, pero combina de forma relativamente cohesionada tres elementos que rara vez aparecen juntos en los ejemplos revisados: alteración visual configurable, movilidad urbana con riesgo y evaluación sencilla de la sesión. Esa combinación es, precisamente, su aportación principal dentro del alcance de un TFG.</w:t>
      </w:r>
    </w:p>
    <w:p w14:paraId="15CA309F">
      <w:pPr>
        <w:pStyle w:val="2"/>
        <w:spacing w:before="120" w:after="120"/>
      </w:pPr>
      <w:bookmarkStart w:id="34" w:name="_Toc30012"/>
      <w:r>
        <w:rPr>
          <w:rFonts w:ascii="Times New Roman" w:hAnsi="Times New Roman"/>
          <w:b/>
          <w:sz w:val="22"/>
          <w:szCs w:val="22"/>
        </w:rPr>
        <w:t>7.4 Entregables y estado final del prototipo</w:t>
      </w:r>
      <w:bookmarkEnd w:id="34"/>
    </w:p>
    <w:p w14:paraId="20494EDF">
      <w:pPr>
        <w:spacing w:after="120"/>
        <w:jc w:val="both"/>
      </w:pPr>
      <w:r>
        <w:rPr>
          <w:rFonts w:ascii="Times New Roman" w:hAnsi="Times New Roman"/>
          <w:sz w:val="22"/>
          <w:szCs w:val="22"/>
        </w:rPr>
        <w:t>Como resultado tangible del TFG se entrega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
      </w:r>
    </w:p>
    <w:p w14:paraId="5B4434A3">
      <w:pPr>
        <w:spacing w:after="120"/>
        <w:jc w:val="both"/>
      </w:pPr>
      <w:r>
        <w:rPr>
          <w:rFonts w:ascii="Times New Roman" w:hAnsi="Times New Roman"/>
          <w:sz w:val="22"/>
          <w:szCs w:val="22"/>
        </w:rPr>
        <w:t>Los entregables técnicos incluyen el proyecto Unity completo, con URP 17.0.4, OpenXR 1.15.1, XR Interaction Toolkit 3.0.10 e Input System 1.14.2; los scripts organizados en carpetas como SceneLogic, Accessibility, Audio y Traffic; prefabs y escenas montadas; y una build de Windows validada con Meta Quest 2 conectado por cable. El repositorio Git documenta la evolución del desarrollo y permite localizar cada módulo descrito en los capítulos 5 y 6.</w:t>
      </w:r>
    </w:p>
    <w:p w14:paraId="0C632821">
      <w:pPr>
        <w:spacing w:after="120"/>
        <w:jc w:val="both"/>
      </w:pPr>
      <w:r>
        <w:rPr>
          <w:rFonts w:ascii="Times New Roman" w:hAnsi="Times New Roman"/>
          <w:sz w:val="22"/>
          <w:szCs w:val="22"/>
        </w:rPr>
        <w:t>Los entregables documentales son esta memoria, con la descripción del diseño, la implementación, las pruebas y los resultados, junto con las figuras que ilustran menús, escena, modos visuales, componentes de gestión, HUD, pruebas y trayectorias. Las capturas no sustituyen a una evaluación formal, pero dejan constancia visual del estado final del prototipo.</w:t>
      </w:r>
    </w:p>
    <w:p w14:paraId="6E4FE6BA">
      <w:pPr>
        <w:spacing w:after="120"/>
        <w:jc w:val="both"/>
      </w:pPr>
      <w:r>
        <w:rPr>
          <w:rFonts w:ascii="Times New Roman" w:hAnsi="Times New Roman"/>
          <w:sz w:val="22"/>
          <w:szCs w:val="22"/>
        </w:rPr>
        <w:t>En cuanto al estado funcional, la versión entregada permite iniciar sesión, elegir modo visual, completar las tres tareas en Level_Street, finalizar con pantalla de éxito o fracaso y repetir la experiencia con ajustes persistentes de volumen y hápticos. Los sistemas principales descritos a lo largo de la memoria están integrados y probados manualmente. Quedan fuera del alcance cerrado del TFG la build Android autónoma para Quest, la narración completa de pistas de voz —el toggle existe en SettingsManager, pero no gobierna aún un sistema narrado— y cualquier validación con usuarios expertos o con personas con discapacidad visual.</w:t>
      </w:r>
    </w:p>
    <w:p w14:paraId="798F5DC5">
      <w:pPr>
        <w:spacing w:after="120"/>
        <w:jc w:val="both"/>
      </w:pPr>
      <w:r>
        <w:rPr>
          <w:rFonts w:ascii="Times New Roman" w:hAnsi="Times New Roman"/>
          <w:sz w:val="22"/>
          <w:szCs w:val="22"/>
        </w:rPr>
        <w:t>Por tanto, el estado final es el de un prototipo académico demostrable: útil para talleres de sensibilización, presentación ante tribunal y base de continuidad futura, pero no de un producto terminado para distribución general ni de una herramienta de diagnóstico o entrenamiento profesional.</w:t>
      </w:r>
    </w:p>
    <w:p w14:paraId="070EF9D6">
      <w:pPr>
        <w:pStyle w:val="2"/>
        <w:pageBreakBefore/>
        <w:spacing w:before="120" w:after="120"/>
      </w:pPr>
      <w:bookmarkStart w:id="35" w:name="_Toc16459"/>
      <w:r>
        <w:rPr>
          <w:rFonts w:ascii="Times New Roman" w:hAnsi="Times New Roman"/>
          <w:b/>
          <w:sz w:val="22"/>
          <w:szCs w:val="22"/>
        </w:rPr>
        <w:t>8 Conclusiones</w:t>
      </w:r>
      <w:bookmarkEnd w:id="35"/>
    </w:p>
    <w:p w14:paraId="5DB96DC2">
      <w:pPr>
        <w:spacing w:after="120"/>
        <w:jc w:val="both"/>
      </w:pPr>
      <w:r>
        <w:rPr>
          <w:rFonts w:ascii="Times New Roman" w:hAnsi="Times New Roman"/>
          <w:sz w:val="22"/>
          <w:szCs w:val="22"/>
        </w:rPr>
        <w:t>El desarrollo de VLVS: Un Paso a Ciegas ha permitido construir, documentar y probar un prototipo de realidad virtual orientado a la movilidad urbana con visión reducida. La decisión más importante fue no limitarse a un filtro visual aislado: al incorporar bastón con hápticos, audio espacial, semáforos sonoros y tareas concretas, las sesiones empezaron a generar comentarios sobre señalización urbana y utilidad del podotáctil.</w:t>
      </w:r>
    </w:p>
    <w:p w14:paraId="3D30D8DB">
      <w:pPr>
        <w:spacing w:after="120"/>
        <w:jc w:val="both"/>
      </w:pPr>
      <w:r>
        <w:rPr>
          <w:rFonts w:ascii="Times New Roman" w:hAnsi="Times New Roman"/>
          <w:sz w:val="22"/>
          <w:szCs w:val="22"/>
        </w:rPr>
        <w:t>A lo largo del TFG se constató que un simulador de este tipo no se define solo por el efecto visual aplicado sobre la cámara, sino por la relación entre limitación perceptiva, entorno y apoyos alternativos. Cuando el proyecto todavía consistía en una calle con un overlay y locomoción básica, la experiencia era visualmente sugerente, pero poco formativa. Fue al añadir tareas, riesgo, daño diferenciado y señales no visuales cuando empezó a emerger una dinámica reconocible de movilidad urbana. Esa lección de diseño ha sido, el resultado más valioso del trabajo.</w:t>
      </w:r>
    </w:p>
    <w:p w14:paraId="2D66223D">
      <w:pPr>
        <w:spacing w:after="120"/>
        <w:jc w:val="both"/>
      </w:pPr>
      <w:r>
        <w:rPr>
          <w:rFonts w:ascii="Times New Roman" w:hAnsi="Times New Roman"/>
          <w:sz w:val="22"/>
          <w:szCs w:val="22"/>
        </w:rPr>
        <w:t>A nivel técnico, OpenXR 1.15.1, XR Interaction Toolkit 3.0.10 y URP 17.0.4 resultaron adecuados para un TFG en Unity 6. La integración de locomoción, overlays, audio espacial y lógica de partida en un único nivel fue más costosa de lo previsto, especialmente en lo relativo a sincronización entre tráfico, semáforos y mezcla sonora. Se comprobó que en un proyecto VR muchos fallos solo se perciben con el visor puesto: la escala del bastón, la legibilidad del HUD con visión reducida o la sensación de urgencia en el cruce no se evalúan con la misma fiabilidad desde el editor. El uso de Git y de escenas de prueba como BaseSystemTest.unity ayudó a aislar problemas y a no perder versiones estables cuando una integración nueva rompía algo que ya funcionaba.</w:t>
      </w:r>
    </w:p>
    <w:p w14:paraId="6FFAC47B">
      <w:pPr>
        <w:spacing w:after="120"/>
        <w:jc w:val="both"/>
      </w:pPr>
      <w:r>
        <w:rPr>
          <w:rFonts w:ascii="Times New Roman" w:hAnsi="Times New Roman"/>
          <w:sz w:val="22"/>
          <w:szCs w:val="22"/>
        </w:rPr>
        <w:t>En relación con la motivación inicial del trabajo, el prototipo se alinea con la necesidad de sensibilización que describen OMS (2024) y Real Patronato sobre Discapacidad (s. f.): no sustituye la experiencia vivida por una persona con discapacidad visual ni se plantea como una ayuda de movilidad para ese colectivo, pero sí proporciona un contexto controlado para que el público general pueda experimentar algunas incomodidades cotidianas y reflexionar sobre ellas. Las conversaciones posteriores a las pruebas tocaron temas como la utilidad del pavimento táctil, la ansiedad en el cruce o la importancia del volumen adecuado de las señales sonoras, lo que confirma que el objetivo formativo era alcanzable con el alcance escogido.</w:t>
      </w:r>
    </w:p>
    <w:p w14:paraId="64535367">
      <w:pPr>
        <w:spacing w:after="120"/>
        <w:jc w:val="both"/>
      </w:pPr>
      <w:r>
        <w:rPr>
          <w:rFonts w:ascii="Times New Roman" w:hAnsi="Times New Roman"/>
          <w:sz w:val="22"/>
          <w:szCs w:val="22"/>
        </w:rPr>
        <w:t>Se valora positivamente el resultado final porque existe un producto demostrable, coherente con la bibliografía revisada y suficientemente estable para una defensa en laboratorio. Al mismo tiempo, es preciso señalar sus límites: muestra de usuarios reducida, ausencia de validación clínica, un único escenario jugable y varias funciones aún preparadas solo a nivel de interfaz. Esos límites no invalidan el TFG, pero marcan con claridad el punto en el que termina este trabajo y comienzan las mejoras que se recogen en el capítulo siguiente.</w:t>
      </w:r>
    </w:p>
    <w:p w14:paraId="19BA0AC0">
      <w:pPr>
        <w:pStyle w:val="2"/>
        <w:pageBreakBefore/>
        <w:spacing w:before="120" w:after="120"/>
      </w:pPr>
      <w:bookmarkStart w:id="36" w:name="_Toc20123"/>
      <w:r>
        <w:rPr>
          <w:rFonts w:ascii="Times New Roman" w:hAnsi="Times New Roman"/>
          <w:b/>
          <w:sz w:val="22"/>
          <w:szCs w:val="22"/>
        </w:rPr>
        <w:t>9 Trabajos futuros</w:t>
      </w:r>
      <w:bookmarkEnd w:id="36"/>
    </w:p>
    <w:p w14:paraId="11F5FFA9">
      <w:pPr>
        <w:spacing w:after="120"/>
        <w:jc w:val="both"/>
      </w:pPr>
      <w:r>
        <w:rPr>
          <w:rFonts w:ascii="Times New Roman" w:hAnsi="Times New Roman"/>
          <w:sz w:val="22"/>
          <w:szCs w:val="22"/>
        </w:rPr>
        <w:t>El prototipo cumple los objetivos del TFG dentro de un alcance acotado, pero deja abiertas varias líneas de mejora que podrían desarrollarse en trabajos posteriores, en un máster o en una continuidad del proyecto fuera del ámbito académico inmediato.</w:t>
      </w:r>
    </w:p>
    <w:p w14:paraId="155FCD75">
      <w:pPr>
        <w:spacing w:after="120"/>
        <w:jc w:val="both"/>
      </w:pPr>
      <w:r>
        <w:rPr>
          <w:rFonts w:ascii="Times New Roman" w:hAnsi="Times New Roman"/>
          <w:sz w:val="22"/>
          <w:szCs w:val="22"/>
        </w:rPr>
        <w:t>La primera línea consiste en ampliar el contenido jugable. Hoy solo Level_Street está habilitado en el selector de niveles, aunque la interfaz ya contempla la posibilidad de añadir más escenarios. Un desarrollo futuro podría introducir un segundo tramo urbano —con obras, transporte público, semáforos distintos o mayor densidad de obstáculos— o variar condiciones ambientales como lluvia, noche o mayor ruido de fondo. Eso permitiría comparar no solo modos visuales, sino también contextos urbanos con distinta carga cognitiva.</w:t>
      </w:r>
    </w:p>
    <w:p w14:paraId="1D7F3DEA">
      <w:pPr>
        <w:spacing w:after="120"/>
        <w:jc w:val="both"/>
      </w:pPr>
      <w:r>
        <w:rPr>
          <w:rFonts w:ascii="Times New Roman" w:hAnsi="Times New Roman"/>
          <w:sz w:val="22"/>
          <w:szCs w:val="22"/>
        </w:rPr>
        <w:t>En segundo lugar, convendría incorporar más granularidad en los modos visuales sin perder el aviso pedagógico de que se trata de una simulación formativa. Sería posible añadir submodos dentro de baja visión o enfermedades visuales, parametrizar intensidad de desenfoque, campo visual o contraste, o permitir combinaciones orientadas a talleres más avanzados. Cualquier ampliación debería mantener la advertencia de no equivalencia clínica, pero podría acercar la experiencia a casos más diversos sin convertir el prototipo en una herramienta de diagnóstico.</w:t>
      </w:r>
    </w:p>
    <w:p w14:paraId="355DC59F">
      <w:pPr>
        <w:spacing w:after="120"/>
        <w:jc w:val="both"/>
      </w:pPr>
      <w:r>
        <w:rPr>
          <w:rFonts w:ascii="Times New Roman" w:hAnsi="Times New Roman"/>
          <w:sz w:val="22"/>
          <w:szCs w:val="22"/>
        </w:rPr>
        <w:t>Otra mejora clara es conectar el toggle de pistas de voz del SettingsManager a un sistema narrado. En la versión actual el ajuste existe y persiste en PlayerPrefs, pero no activa aún un flujo de ayudas habladas durante la partida. Implementar ese sistema —por ejemplo, reforzar con voz la tarea activa, avisar de proximidad a la calzada o recordar el significado del cambio de señal sonora— reforzaría la accesibilidad pedagógica y permitiría estudiar si las pistas verbales reducen errores en usuarios noveles.</w:t>
      </w:r>
    </w:p>
    <w:p w14:paraId="621288C6">
      <w:pPr>
        <w:spacing w:after="120"/>
        <w:jc w:val="both"/>
      </w:pPr>
      <w:r>
        <w:rPr>
          <w:rFonts w:ascii="Times New Roman" w:hAnsi="Times New Roman"/>
          <w:sz w:val="22"/>
          <w:szCs w:val="22"/>
        </w:rPr>
        <w:t>En el plano técnico, una prioridad natural es completar OpenXR en Android para Quest autónomo. El proyecto ya contempla perfiles y build ARM64, pero el loader XR de Android quedó vacío en la entrega y las pruebas se hicieron por cable con el PC asumiendo el renderizado. Disponer de una versión standalone facilitaría demostraciones sin ordenador y acercaría el prototipo al entorno de consumo en el que se mueven referencias como BlindSimulator.</w:t>
      </w:r>
    </w:p>
    <w:p w14:paraId="0EBECB46">
      <w:pPr>
        <w:spacing w:after="120"/>
        <w:jc w:val="both"/>
      </w:pPr>
      <w:r>
        <w:rPr>
          <w:rFonts w:ascii="Times New Roman" w:hAnsi="Times New Roman"/>
          <w:sz w:val="22"/>
          <w:szCs w:val="22"/>
        </w:rPr>
        <w:t>Por último, la mejora más relevante desde el punto de vista formativo y social sería realizar un estudio con más participantes y, de ser posible, con orientadores de movilidad o personas con discapacidad visual. Una muestra mayor, un protocolo de observación más riguroso y la participación de perfiles expertos permitirían evaluar con más fundamento la claridad de las tareas, la utilidad de los apoyos no visuales y el lenguaje empleado en mensajes y resultados. Ese paso transformaría el prototipo de ejercicio académico demostrable en herramienta con evidencia empírica más sólida, sin dejar de ser una simulación y no un instrumento clínico.</w:t>
      </w:r>
    </w:p>
    <w:p w14:paraId="5B5F0476">
      <w:pPr>
        <w:spacing w:after="120"/>
        <w:jc w:val="both"/>
      </w:pPr>
      <w:r>
        <w:rPr>
          <w:rFonts w:ascii="Times New Roman" w:hAnsi="Times New Roman"/>
          <w:sz w:val="22"/>
          <w:szCs w:val="22"/>
        </w:rPr>
        <w:t>En conjunto, estas líneas no parten de un fallo del TFG, sino de su naturaleza deliberadamente acotada. El trabajo actual demuestra viabilidad técnica y utilidad pedagógica inicial; las mejoras futuras deberían profundizar en contenido, accesibilidad, portabilidad y validación con usuarios reales.</w:t>
      </w:r>
    </w:p>
    <w:p w14:paraId="137342E5">
      <w:pPr>
        <w:keepNext/>
        <w:keepLines/>
        <w:pageBreakBefore/>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s-ES" w:eastAsia="zh-CN" w:bidi="ar-SA"/>
          <w14:ligatures w14:val="standardContextual"/>
        </w:rPr>
      </w:pPr>
      <w:bookmarkStart w:id="37" w:name="_Toc15773"/>
      <w:r>
        <w:rPr>
          <w:rFonts w:ascii="Times New Roman" w:hAnsi="Times New Roman" w:cs="Times New Roman" w:eastAsiaTheme="majorEastAsia"/>
          <w:b/>
          <w:color w:val="104862" w:themeColor="accent1" w:themeShade="BF"/>
          <w:kern w:val="2"/>
          <w:sz w:val="24"/>
          <w:szCs w:val="48"/>
          <w:lang w:val="es-ES" w:eastAsia="zh-CN" w:bidi="ar-SA"/>
          <w14:ligatures w14:val="standardContextual"/>
        </w:rPr>
        <w:t>10 Bibliografía</w:t>
      </w:r>
      <w:bookmarkEnd w:id="37"/>
    </w:p>
    <w:p w14:paraId="0D1BBB49">
      <w:pPr>
        <w:spacing w:after="120" w:line="240" w:lineRule="auto"/>
        <w:jc w:val="both"/>
        <w:rPr>
          <w:rFonts w:ascii="Times New Roman" w:hAnsi="Times New Roman" w:cs="Times New Roman"/>
        </w:rPr>
      </w:pPr>
      <w:r>
        <w:rPr>
          <w:rFonts w:ascii="Times New Roman" w:hAnsi="Times New Roman" w:cs="Times New Roman"/>
        </w:rPr>
        <w:t>Barasche-Berdah, D., Paltiel, O., &amp; Raz, R. (2023). Active lifestyle and mobility of adults with vision impairment: A multiphase mixed-methods study. International Journal of Environmental Research and Public Health, 20(19), 6839. https://doi.org/10.3390/ijerph20196839</w:t>
      </w:r>
    </w:p>
    <w:p w14:paraId="317C3C3B">
      <w:pPr>
        <w:spacing w:after="120" w:line="240" w:lineRule="auto"/>
        <w:jc w:val="both"/>
        <w:rPr>
          <w:rFonts w:ascii="Times New Roman" w:hAnsi="Times New Roman" w:cs="Times New Roman"/>
        </w:rPr>
      </w:pPr>
      <w:r>
        <w:rPr>
          <w:rFonts w:ascii="Times New Roman" w:hAnsi="Times New Roman" w:cs="Times New Roman"/>
        </w:rPr>
        <w:t>Brock, A. M., &amp; Jouffrais, C. (2015). Interactive audio-tactile maps for visually impaired people. ACM SIGACCESS Accessibility and Computing, (113), 3-12. https://doi.org/10.1145/2850440.2850441</w:t>
      </w:r>
    </w:p>
    <w:p w14:paraId="3601DDF5">
      <w:pPr>
        <w:spacing w:after="120" w:line="240" w:lineRule="auto"/>
        <w:jc w:val="both"/>
        <w:rPr>
          <w:rFonts w:ascii="Times New Roman" w:hAnsi="Times New Roman" w:cs="Times New Roman"/>
        </w:rPr>
      </w:pPr>
      <w:r>
        <w:rPr>
          <w:rFonts w:ascii="Times New Roman" w:hAnsi="Times New Roman" w:cs="Times New Roman"/>
        </w:rPr>
        <w:t>Funnybon. (s. f.). BlindSimulator [Aplicación de realidad virtual]. Meta Quest Store. https://www.meta.com/es-es/experiences/blindsimulator/8740541632714213/</w:t>
      </w:r>
    </w:p>
    <w:p w14:paraId="249D3943">
      <w:pPr>
        <w:spacing w:after="120" w:line="240" w:lineRule="auto"/>
        <w:jc w:val="both"/>
        <w:rPr>
          <w:rFonts w:ascii="Times New Roman" w:hAnsi="Times New Roman" w:cs="Times New Roman"/>
        </w:rPr>
      </w:pPr>
      <w:r>
        <w:rPr>
          <w:rFonts w:ascii="Times New Roman" w:hAnsi="Times New Roman" w:cs="Times New Roman"/>
        </w:rPr>
        <w:t>Instituto Nacional de Estadística. (2024). Encuesta de discapacidad, autonomía personal y situaciones de dependencia. Población residente en centros (EDAD centros). Año 2023. https://www.ine.es/dyngs/INEbase/es/operacion.htm?c=Estadistica_C&amp;cid=1254736176782&amp;idp=1254735573175</w:t>
      </w:r>
    </w:p>
    <w:p w14:paraId="33839D97">
      <w:pPr>
        <w:spacing w:after="120" w:line="240" w:lineRule="auto"/>
        <w:jc w:val="both"/>
        <w:rPr>
          <w:rFonts w:ascii="Times New Roman" w:hAnsi="Times New Roman" w:cs="Times New Roman"/>
        </w:rPr>
      </w:pPr>
      <w:r>
        <w:rPr>
          <w:rFonts w:ascii="Times New Roman" w:hAnsi="Times New Roman" w:cs="Times New Roman"/>
        </w:rPr>
        <w:t>National Eye Institute. (2024). See What I See: Virtual reality eye disease experience. https://www.nei.nih.gov/about/education-and-outreach/see-what-i-see-virtual-reality-eye-disease-experience</w:t>
      </w:r>
    </w:p>
    <w:p w14:paraId="68C72614">
      <w:pPr>
        <w:spacing w:after="120" w:line="240" w:lineRule="auto"/>
        <w:jc w:val="both"/>
        <w:rPr>
          <w:rFonts w:ascii="Times New Roman" w:hAnsi="Times New Roman" w:cs="Times New Roman"/>
        </w:rPr>
      </w:pPr>
      <w:r>
        <w:rPr>
          <w:rFonts w:ascii="Times New Roman" w:hAnsi="Times New Roman" w:cs="Times New Roman"/>
        </w:rPr>
        <w:t>Organización Mundial de la Salud. (2024). Ceguera y discapacidad visual. https://www.who.int/news-room/fact-sheets/detail/blindness-and-visual-impairment</w:t>
      </w:r>
    </w:p>
    <w:p w14:paraId="23BADB04">
      <w:pPr>
        <w:spacing w:after="120" w:line="240" w:lineRule="auto"/>
        <w:jc w:val="both"/>
        <w:rPr>
          <w:rFonts w:ascii="Times New Roman" w:hAnsi="Times New Roman" w:cs="Times New Roman"/>
        </w:rPr>
      </w:pPr>
      <w:r>
        <w:rPr>
          <w:rFonts w:ascii="Times New Roman" w:hAnsi="Times New Roman" w:cs="Times New Roman"/>
        </w:rPr>
        <w:t>Pigeon, C., Baltenneck, N., Evennou, M., Uzan, G., &amp; Galiano, A. R. (2025). Mobility in adults with visual impairment: Results from an online survey. Transportation Research Part F: Traffic Psychology and Behaviour, 116, 103429. https://doi.org/10.1016/j.trf.2025.103429</w:t>
      </w:r>
    </w:p>
    <w:p w14:paraId="203DCF04">
      <w:pPr>
        <w:spacing w:after="120" w:line="240" w:lineRule="auto"/>
        <w:jc w:val="both"/>
        <w:rPr>
          <w:rFonts w:ascii="Times New Roman" w:hAnsi="Times New Roman" w:cs="Times New Roman"/>
        </w:rPr>
      </w:pPr>
      <w:r>
        <w:rPr>
          <w:rFonts w:ascii="Times New Roman" w:hAnsi="Times New Roman" w:cs="Times New Roman"/>
        </w:rPr>
        <w:t>Real Patronato sobre Discapacidad. (s. f.). Enfoque y datos sobre discapacidad. https://www.rpdiscapacidad.gob.es/discapacidad-derechos-humanos/enfoque.htm</w:t>
      </w:r>
    </w:p>
    <w:p w14:paraId="684F3100">
      <w:pPr>
        <w:spacing w:after="120" w:line="240" w:lineRule="auto"/>
        <w:jc w:val="both"/>
        <w:rPr>
          <w:rFonts w:ascii="Times New Roman" w:hAnsi="Times New Roman" w:cs="Times New Roman"/>
        </w:rPr>
      </w:pPr>
      <w:r>
        <w:rPr>
          <w:rFonts w:ascii="Times New Roman" w:hAnsi="Times New Roman" w:cs="Times New Roman"/>
        </w:rPr>
        <w:t>Retina Gipuzkoa Begisare. (s. f.). VR APP "I have low vision". https://www.tengobajavision.com/en/app/vr-simulator/</w:t>
      </w:r>
    </w:p>
    <w:p w14:paraId="4EFC509D">
      <w:pPr>
        <w:spacing w:after="120" w:line="240" w:lineRule="auto"/>
        <w:jc w:val="both"/>
        <w:rPr>
          <w:rFonts w:ascii="Times New Roman" w:hAnsi="Times New Roman" w:cs="Times New Roman"/>
        </w:rPr>
      </w:pPr>
      <w:r>
        <w:rPr>
          <w:rFonts w:ascii="Times New Roman" w:hAnsi="Times New Roman" w:cs="Times New Roman"/>
        </w:rPr>
        <w:t>XREye. (s. f.). Vision impairment simulator demo. https://xreye.io/demo/</w:t>
      </w:r>
    </w:p>
    <w:p w14:paraId="64D78F46">
      <w:pPr>
        <w:spacing w:after="120" w:line="240" w:lineRule="auto"/>
        <w:jc w:val="both"/>
        <w:rPr>
          <w:rFonts w:ascii="Times New Roman" w:hAnsi="Times New Roman" w:cs="Times New Roman"/>
        </w:rPr>
      </w:pPr>
    </w:p>
    <w:p w14:paraId="60D1C231">
      <w:pPr>
        <w:spacing w:after="120" w:line="240" w:lineRule="auto"/>
        <w:jc w:val="both"/>
        <w:rPr>
          <w:rFonts w:ascii="Times New Roman" w:hAnsi="Times New Roman" w:cs="Times New Roman"/>
        </w:rPr>
      </w:pPr>
    </w:p>
    <w:p w14:paraId="419D76D9">
      <w:pPr>
        <w:spacing w:after="160" w:line="278" w:lineRule="auto"/>
        <w:jc w:val="left"/>
        <w:rPr>
          <w:rFonts w:asciiTheme="minorHAnsi" w:hAnsiTheme="minorHAnsi" w:cstheme="minorBidi"/>
        </w:rPr>
      </w:pPr>
    </w:p>
    <w:p w14:paraId="29265866"/>
    <w:p w14:paraId="3B834A56"/>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0FE6BD4"/>
    <w:rsid w:val="02FE3E7B"/>
    <w:rsid w:val="05666F9C"/>
    <w:rsid w:val="05B22721"/>
    <w:rsid w:val="06344371"/>
    <w:rsid w:val="06A44D39"/>
    <w:rsid w:val="07CD1AEB"/>
    <w:rsid w:val="095C18FB"/>
    <w:rsid w:val="0AEA3D79"/>
    <w:rsid w:val="0DBE3D35"/>
    <w:rsid w:val="0ECF7889"/>
    <w:rsid w:val="0FFF1232"/>
    <w:rsid w:val="13610944"/>
    <w:rsid w:val="14BA088A"/>
    <w:rsid w:val="1562078A"/>
    <w:rsid w:val="161143C5"/>
    <w:rsid w:val="1880423F"/>
    <w:rsid w:val="198A3085"/>
    <w:rsid w:val="198E4EFC"/>
    <w:rsid w:val="1AE94233"/>
    <w:rsid w:val="1CF766D7"/>
    <w:rsid w:val="2101390B"/>
    <w:rsid w:val="26955FF5"/>
    <w:rsid w:val="28623427"/>
    <w:rsid w:val="295B4BE8"/>
    <w:rsid w:val="2E8420A2"/>
    <w:rsid w:val="2F7E3AF9"/>
    <w:rsid w:val="2FA84669"/>
    <w:rsid w:val="30DB1837"/>
    <w:rsid w:val="319B4252"/>
    <w:rsid w:val="338E184F"/>
    <w:rsid w:val="34202508"/>
    <w:rsid w:val="342A7A2B"/>
    <w:rsid w:val="34964D7B"/>
    <w:rsid w:val="37FA721E"/>
    <w:rsid w:val="38677D19"/>
    <w:rsid w:val="39645EEF"/>
    <w:rsid w:val="39752375"/>
    <w:rsid w:val="39A86127"/>
    <w:rsid w:val="3F93711E"/>
    <w:rsid w:val="416D1EB3"/>
    <w:rsid w:val="446F66A6"/>
    <w:rsid w:val="45DE4E6B"/>
    <w:rsid w:val="49A452DD"/>
    <w:rsid w:val="501F2DE8"/>
    <w:rsid w:val="50CE6F9F"/>
    <w:rsid w:val="51586F03"/>
    <w:rsid w:val="51CE67F9"/>
    <w:rsid w:val="53047EDA"/>
    <w:rsid w:val="55322ADD"/>
    <w:rsid w:val="55671C2C"/>
    <w:rsid w:val="574F2137"/>
    <w:rsid w:val="5798750E"/>
    <w:rsid w:val="5D242E5C"/>
    <w:rsid w:val="5D8B7388"/>
    <w:rsid w:val="5E8F0FA0"/>
    <w:rsid w:val="6412472C"/>
    <w:rsid w:val="654C011B"/>
    <w:rsid w:val="6585041D"/>
    <w:rsid w:val="65DA33AA"/>
    <w:rsid w:val="67860E67"/>
    <w:rsid w:val="67A27F96"/>
    <w:rsid w:val="67F820A0"/>
    <w:rsid w:val="6ADC731B"/>
    <w:rsid w:val="6B452B0C"/>
    <w:rsid w:val="6CDB2BA3"/>
    <w:rsid w:val="6DA560EA"/>
    <w:rsid w:val="717E613F"/>
    <w:rsid w:val="718D1AD0"/>
    <w:rsid w:val="72403330"/>
    <w:rsid w:val="78063F86"/>
    <w:rsid w:val="7A7B3808"/>
    <w:rsid w:val="7C9B6A7C"/>
    <w:rsid w:val="7E494870"/>
    <w:rsid w:val="7F261F7E"/>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s-ES" w:eastAsia="zh-CN" w:bidi="ar-SA"/>
      <w14:ligatures w14:val="standardContextual"/>
    </w:rPr>
  </w:style>
  <w:style w:type="paragraph" w:styleId="2">
    <w:name w:val="heading 1"/>
    <w:basedOn w:val="1"/>
    <w:next w:val="1"/>
    <w:link w:val="23"/>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24"/>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5"/>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6"/>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7"/>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8"/>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9"/>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1"/>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toc 3"/>
    <w:basedOn w:val="1"/>
    <w:next w:val="1"/>
    <w:semiHidden/>
    <w:unhideWhenUsed/>
    <w:qFormat/>
    <w:uiPriority w:val="39"/>
    <w:pPr>
      <w:ind w:left="840" w:leftChars="400"/>
    </w:pPr>
  </w:style>
  <w:style w:type="paragraph" w:styleId="13">
    <w:name w:val="footer"/>
    <w:basedOn w:val="1"/>
    <w:link w:val="42"/>
    <w:unhideWhenUsed/>
    <w:qFormat/>
    <w:uiPriority w:val="99"/>
    <w:pPr>
      <w:tabs>
        <w:tab w:val="center" w:pos="4153"/>
        <w:tab w:val="right" w:pos="8306"/>
      </w:tabs>
      <w:snapToGrid w:val="0"/>
      <w:jc w:val="left"/>
    </w:pPr>
    <w:rPr>
      <w:sz w:val="18"/>
      <w:szCs w:val="18"/>
    </w:rPr>
  </w:style>
  <w:style w:type="paragraph" w:styleId="14">
    <w:name w:val="header"/>
    <w:basedOn w:val="1"/>
    <w:link w:val="41"/>
    <w:unhideWhenUsed/>
    <w:qFormat/>
    <w:uiPriority w:val="99"/>
    <w:pPr>
      <w:tabs>
        <w:tab w:val="center" w:pos="4153"/>
        <w:tab w:val="right" w:pos="8306"/>
      </w:tabs>
      <w:snapToGrid w:val="0"/>
      <w:jc w:val="center"/>
    </w:pPr>
    <w:rPr>
      <w:sz w:val="18"/>
      <w:szCs w:val="18"/>
    </w:rPr>
  </w:style>
  <w:style w:type="paragraph" w:styleId="15">
    <w:name w:val="toc 1"/>
    <w:basedOn w:val="1"/>
    <w:next w:val="1"/>
    <w:semiHidden/>
    <w:unhideWhenUsed/>
    <w:qFormat/>
    <w:uiPriority w:val="39"/>
  </w:style>
  <w:style w:type="paragraph" w:styleId="16">
    <w:name w:val="Subtitle"/>
    <w:basedOn w:val="1"/>
    <w:next w:val="1"/>
    <w:link w:val="33"/>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oc 2"/>
    <w:basedOn w:val="1"/>
    <w:next w:val="1"/>
    <w:semiHidden/>
    <w:unhideWhenUsed/>
    <w:qFormat/>
    <w:uiPriority w:val="39"/>
    <w:pPr>
      <w:ind w:left="420" w:leftChars="200"/>
    </w:pPr>
  </w:style>
  <w:style w:type="paragraph" w:styleId="18">
    <w:name w:val="Normal (Web)"/>
    <w:basedOn w:val="1"/>
    <w:semiHidden/>
    <w:unhideWhenUsed/>
    <w:qFormat/>
    <w:uiPriority w:val="99"/>
    <w:pPr>
      <w:spacing w:beforeAutospacing="1" w:after="0" w:afterAutospacing="1"/>
      <w:jc w:val="left"/>
    </w:pPr>
    <w:rPr>
      <w:kern w:val="0"/>
      <w:sz w:val="24"/>
    </w:rPr>
  </w:style>
  <w:style w:type="paragraph" w:styleId="19">
    <w:name w:val="Title"/>
    <w:basedOn w:val="1"/>
    <w:next w:val="1"/>
    <w:link w:val="32"/>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22">
    <w:name w:val="Strong"/>
    <w:basedOn w:val="21"/>
    <w:qFormat/>
    <w:uiPriority w:val="22"/>
    <w:rPr>
      <w:b/>
    </w:rPr>
  </w:style>
  <w:style w:type="character" w:customStyle="1" w:styleId="23">
    <w:name w:val="标题 1 字符"/>
    <w:basedOn w:val="21"/>
    <w:link w:val="2"/>
    <w:qFormat/>
    <w:uiPriority w:val="9"/>
    <w:rPr>
      <w:rFonts w:ascii="Times New Roman" w:hAnsi="Times New Roman" w:cs="Times New Roman" w:eastAsiaTheme="majorEastAsia"/>
      <w:b/>
      <w:color w:val="104862" w:themeColor="accent1" w:themeShade="BF"/>
      <w:sz w:val="24"/>
      <w:szCs w:val="48"/>
    </w:rPr>
  </w:style>
  <w:style w:type="character" w:customStyle="1" w:styleId="24">
    <w:name w:val="标题 2 字符"/>
    <w:basedOn w:val="21"/>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5">
    <w:name w:val="标题 3 字符"/>
    <w:basedOn w:val="21"/>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6">
    <w:name w:val="标题 4 字符"/>
    <w:basedOn w:val="21"/>
    <w:link w:val="5"/>
    <w:semiHidden/>
    <w:qFormat/>
    <w:uiPriority w:val="9"/>
    <w:rPr>
      <w:rFonts w:cstheme="majorBidi"/>
      <w:color w:val="104862" w:themeColor="accent1" w:themeShade="BF"/>
      <w:sz w:val="28"/>
      <w:szCs w:val="28"/>
    </w:rPr>
  </w:style>
  <w:style w:type="character" w:customStyle="1" w:styleId="27">
    <w:name w:val="标题 5 字符"/>
    <w:basedOn w:val="21"/>
    <w:link w:val="6"/>
    <w:semiHidden/>
    <w:qFormat/>
    <w:uiPriority w:val="9"/>
    <w:rPr>
      <w:rFonts w:cstheme="majorBidi"/>
      <w:color w:val="104862" w:themeColor="accent1" w:themeShade="BF"/>
      <w:sz w:val="24"/>
    </w:rPr>
  </w:style>
  <w:style w:type="character" w:customStyle="1" w:styleId="28">
    <w:name w:val="标题 6 字符"/>
    <w:basedOn w:val="21"/>
    <w:link w:val="7"/>
    <w:semiHidden/>
    <w:qFormat/>
    <w:uiPriority w:val="9"/>
    <w:rPr>
      <w:rFonts w:cstheme="majorBidi"/>
      <w:b/>
      <w:bCs/>
      <w:color w:val="104862" w:themeColor="accent1" w:themeShade="BF"/>
    </w:rPr>
  </w:style>
  <w:style w:type="character" w:customStyle="1" w:styleId="29">
    <w:name w:val="标题 7 字符"/>
    <w:basedOn w:val="21"/>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0">
    <w:name w:val="标题 8 字符"/>
    <w:basedOn w:val="21"/>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1">
    <w:name w:val="标题 9 字符"/>
    <w:basedOn w:val="21"/>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标题 字符"/>
    <w:basedOn w:val="21"/>
    <w:link w:val="19"/>
    <w:qFormat/>
    <w:uiPriority w:val="10"/>
    <w:rPr>
      <w:rFonts w:asciiTheme="majorHAnsi" w:hAnsiTheme="majorHAnsi" w:eastAsiaTheme="majorEastAsia" w:cstheme="majorBidi"/>
      <w:spacing w:val="-10"/>
      <w:kern w:val="28"/>
      <w:sz w:val="56"/>
      <w:szCs w:val="56"/>
    </w:rPr>
  </w:style>
  <w:style w:type="character" w:customStyle="1" w:styleId="33">
    <w:name w:val="副标题 字符"/>
    <w:basedOn w:val="21"/>
    <w:link w:val="16"/>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引用 字符"/>
    <w:basedOn w:val="21"/>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明显强调1"/>
    <w:basedOn w:val="21"/>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明显引用 字符"/>
    <w:basedOn w:val="21"/>
    <w:link w:val="38"/>
    <w:qFormat/>
    <w:uiPriority w:val="30"/>
    <w:rPr>
      <w:i/>
      <w:iCs/>
      <w:color w:val="104862" w:themeColor="accent1" w:themeShade="BF"/>
    </w:rPr>
  </w:style>
  <w:style w:type="character" w:customStyle="1" w:styleId="40">
    <w:name w:val="明显参考1"/>
    <w:basedOn w:val="21"/>
    <w:qFormat/>
    <w:uiPriority w:val="32"/>
    <w:rPr>
      <w:b/>
      <w:bCs/>
      <w:smallCaps/>
      <w:color w:val="104862" w:themeColor="accent1" w:themeShade="BF"/>
      <w:spacing w:val="5"/>
    </w:rPr>
  </w:style>
  <w:style w:type="character" w:customStyle="1" w:styleId="41">
    <w:name w:val="页眉 字符"/>
    <w:basedOn w:val="21"/>
    <w:link w:val="14"/>
    <w:qFormat/>
    <w:uiPriority w:val="99"/>
    <w:rPr>
      <w:rFonts w:ascii="Times New Roman" w:hAnsi="Times New Roman" w:cs="Times New Roman"/>
      <w:kern w:val="2"/>
      <w:sz w:val="18"/>
      <w:szCs w:val="18"/>
      <w14:ligatures w14:val="standardContextual"/>
    </w:rPr>
  </w:style>
  <w:style w:type="character" w:customStyle="1" w:styleId="42">
    <w:name w:val="页脚 字符"/>
    <w:basedOn w:val="21"/>
    <w:link w:val="13"/>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image" Target="media/image19.jpe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54</Pages>
  <Words>14550</Words>
  <Characters>79782</Characters>
  <Lines>1158</Lines>
  <Paragraphs>269</Paragraphs>
  <TotalTime>1</TotalTime>
  <ScaleCrop>false</ScaleCrop>
  <LinksUpToDate>false</LinksUpToDate>
  <CharactersWithSpaces>94107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2026-07-13T16:29:38Z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eyJoZGlkIjoiMDY5NmFjMmM4ZTljMGJiZDAxN2JmYTc0NGI0NmFiNDgiLCJ1c2VySWQiOiIxOTc5NDQ2NTAifQ==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