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9DBF4">
      <w:pPr>
        <w:pBdr>
          <w:bottom w:val="none" w:color="auto" w:sz="0" w:space="0"/>
        </w:pBdr>
        <w:rPr>
          <w:sz w:val="44"/>
        </w:rPr>
      </w:pPr>
      <w:r>
        <w:rPr>
          <w:sz w:val="44"/>
        </w:rPr>
        <w:t>业务闭环流程（细化版）</w:t>
      </w:r>
    </w:p>
    <w:p w14:paraId="65997A2F">
      <w:pPr>
        <w:pBdr>
          <w:bottom w:val="none" w:color="auto" w:sz="0" w:space="0"/>
        </w:pBdr>
        <w:rPr>
          <w:sz w:val="44"/>
        </w:rPr>
      </w:pPr>
    </w:p>
    <w:p w14:paraId="05D1F8F4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交底处理</w:t>
      </w:r>
    </w:p>
    <w:p w14:paraId="12FC3D11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著录变更</w:t>
      </w:r>
    </w:p>
    <w:p w14:paraId="7093D9D4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通知书【审查意见通知书，补正通知书，驳回通知书，受理通知书，授权通知书（办理登记手续通知书，授予专利权通知书），同意优先审查通知书，同意预审通知书，缴费通知书，进入实质审查通知书，公布通知书，手续合格通知书(放弃专利权），同意撤回通知书，同意恢复通知书，视为撤回通知书，专利证书】</w:t>
      </w:r>
    </w:p>
    <w:p w14:paraId="487C2DC3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</w:p>
    <w:p w14:paraId="21485BFB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缴费功能：每录入一项业务，录入一条缴费信息，缴费期限。多个业务合并，生成列表，导出。</w:t>
      </w:r>
    </w:p>
    <w:p w14:paraId="023C0CFC">
      <w:pPr>
        <w:pBdr>
          <w:bottom w:val="none" w:color="auto" w:sz="0" w:space="0"/>
        </w:pBdr>
        <w:rPr>
          <w:rFonts w:hint="default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缴费流程：缴费人确定业务缴费，生成单子，向国家缴费。交完后获得官费收据，（？）收据导入系统</w:t>
      </w:r>
    </w:p>
    <w:p w14:paraId="12ED76EE">
      <w:pPr>
        <w:pBdr>
          <w:bottom w:val="none" w:color="auto" w:sz="0" w:space="0"/>
        </w:pBdr>
        <w:rPr>
          <w:rFonts w:hint="default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开票报销：每录入一项业务，录入一条开票信息，主要字段：业务编号或名称，开票的台头，开票的内容，开票的金额。多个业务合并，生成列表，导出execl。针对每项业务，开票时间起始点不同，录入过后，任何时候可以填入金额。录入时非必填项，开票时金额有数据则用，没有数据则读取客户单价表金额</w:t>
      </w:r>
    </w:p>
    <w:p w14:paraId="3AD6CC94">
      <w:pPr>
        <w:pBdr>
          <w:bottom w:val="none" w:color="auto" w:sz="0" w:space="0"/>
        </w:pBdr>
        <w:rPr>
          <w:rFonts w:hint="default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到款核对：到款后需要核对</w:t>
      </w:r>
    </w:p>
    <w:p w14:paraId="29CFBCF3">
      <w:pPr>
        <w:pBdr>
          <w:bottom w:val="none" w:color="auto" w:sz="0" w:space="0"/>
        </w:pBdr>
        <w:rPr>
          <w:rFonts w:hint="default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报销：到款后，</w:t>
      </w:r>
    </w:p>
    <w:p w14:paraId="0E8E0E5D">
      <w:pPr>
        <w:pBdr>
          <w:bottom w:val="none" w:color="auto" w:sz="0" w:space="0"/>
        </w:pBdr>
        <w:rPr>
          <w:rFonts w:hint="default" w:eastAsia="宋体"/>
          <w:sz w:val="44"/>
          <w:lang w:val="en-US" w:eastAsia="zh-CN"/>
        </w:rPr>
      </w:pPr>
    </w:p>
    <w:p w14:paraId="2A6A1785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表格：</w:t>
      </w:r>
    </w:p>
    <w:p w14:paraId="57AFC36A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交底表</w:t>
      </w:r>
    </w:p>
    <w:p w14:paraId="7E5E0814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交底状态表</w:t>
      </w:r>
    </w:p>
    <w:p w14:paraId="7EF83BE9">
      <w:pPr>
        <w:pBdr>
          <w:bottom w:val="none" w:color="auto" w:sz="0" w:space="0"/>
        </w:pBdr>
        <w:rPr>
          <w:rFonts w:hint="default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邮件模板表（收到交底、通知书。。。）</w:t>
      </w:r>
    </w:p>
    <w:p w14:paraId="3AF01D24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申请专利表</w:t>
      </w:r>
    </w:p>
    <w:p w14:paraId="0FAB7B5F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授权专利表</w:t>
      </w:r>
    </w:p>
    <w:p w14:paraId="32A0F628">
      <w:pPr>
        <w:pBdr>
          <w:bottom w:val="none" w:color="auto" w:sz="0" w:space="0"/>
        </w:pBdr>
        <w:rPr>
          <w:rFonts w:hint="default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通知书记录表（记录所有专利的下发通知书的信息）</w:t>
      </w:r>
    </w:p>
    <w:p w14:paraId="44C572A4">
      <w:pPr>
        <w:pBdr>
          <w:bottom w:val="none" w:color="auto" w:sz="0" w:space="0"/>
        </w:pBdr>
        <w:rPr>
          <w:rFonts w:hint="default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通知类型表【通知书类型，时限（业务逻辑上判断期限：优审，预审）】</w:t>
      </w:r>
    </w:p>
    <w:p w14:paraId="76E225B0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缴费表</w:t>
      </w:r>
    </w:p>
    <w:p w14:paraId="35715B16">
      <w:pPr>
        <w:pBdr>
          <w:bottom w:val="none" w:color="auto" w:sz="0" w:space="0"/>
        </w:pBdr>
        <w:rPr>
          <w:rFonts w:hint="default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开票表</w:t>
      </w:r>
    </w:p>
    <w:p w14:paraId="3F403E64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申请人表</w:t>
      </w:r>
    </w:p>
    <w:p w14:paraId="62B19621">
      <w:pPr>
        <w:pBdr>
          <w:bottom w:val="none" w:color="auto" w:sz="0" w:space="0"/>
        </w:pBdr>
        <w:rPr>
          <w:rFonts w:hint="default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客户表（客户编号）</w:t>
      </w:r>
    </w:p>
    <w:p w14:paraId="6E4C47D4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员工表</w:t>
      </w:r>
    </w:p>
    <w:p w14:paraId="2B28E79F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客户单价表（编号关联，【业务+价格】记录所有客户的单价）</w:t>
      </w:r>
    </w:p>
    <w:p w14:paraId="34DD0751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</w:p>
    <w:p w14:paraId="0CC21D0B">
      <w:pPr>
        <w:pBdr>
          <w:bottom w:val="none" w:color="auto" w:sz="0" w:space="0"/>
        </w:pBdr>
        <w:rPr>
          <w:rFonts w:hint="default" w:eastAsia="宋体"/>
          <w:sz w:val="44"/>
          <w:lang w:val="en-US" w:eastAsia="zh-CN"/>
        </w:rPr>
      </w:pPr>
    </w:p>
    <w:p w14:paraId="4B870D62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</w:p>
    <w:p w14:paraId="38450DED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业务：</w:t>
      </w:r>
    </w:p>
    <w:p w14:paraId="3DB9E378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1、交底处理</w:t>
      </w:r>
    </w:p>
    <w:p w14:paraId="36EDB1FB">
      <w:pPr>
        <w:pBdr>
          <w:bottom w:val="none" w:color="auto" w:sz="0" w:space="0"/>
        </w:pBdr>
        <w:rPr>
          <w:rFonts w:hint="default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流程：录入人员录入交底信息，主办人显示当前主办人的交底，给专利的联系人发邮件。主办人处理交底过程中，交底状态可修改。定稿状态时，主办人上传申请包（XML包和五书申请文件）。流程人员看到申请包，经确定可提交后，修改状态为定稿待报，提交文件到国知局系统</w:t>
      </w:r>
    </w:p>
    <w:p w14:paraId="5B3D1D4A">
      <w:pPr>
        <w:pBdr>
          <w:bottom w:val="none" w:color="auto" w:sz="0" w:space="0"/>
        </w:pBdr>
        <w:rPr>
          <w:rFonts w:hint="default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约束：</w:t>
      </w:r>
    </w:p>
    <w:p w14:paraId="234904AA">
      <w:pPr>
        <w:numPr>
          <w:ilvl w:val="0"/>
          <w:numId w:val="1"/>
        </w:num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录入交底信息时附加上传附件(交底书必须word，其他可一个或多个也可删除)。</w:t>
      </w:r>
    </w:p>
    <w:p w14:paraId="5DE04106">
      <w:pPr>
        <w:numPr>
          <w:ilvl w:val="0"/>
          <w:numId w:val="1"/>
        </w:num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录入交底信息时可复制历史交底信息记录，可组合查询/可新增记录（可自动增加也可手动）。</w:t>
      </w:r>
      <w:bookmarkStart w:id="0" w:name="_GoBack"/>
      <w:bookmarkEnd w:id="0"/>
    </w:p>
    <w:p w14:paraId="090F84B9">
      <w:pPr>
        <w:numPr>
          <w:ilvl w:val="0"/>
          <w:numId w:val="1"/>
        </w:numPr>
        <w:pBdr>
          <w:bottom w:val="none" w:color="auto" w:sz="0" w:space="0"/>
        </w:pBdr>
        <w:rPr>
          <w:rFonts w:hint="default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写入交底信息时，同步写入缴费表和开票表</w:t>
      </w:r>
    </w:p>
    <w:p w14:paraId="54D00624">
      <w:pPr>
        <w:numPr>
          <w:ilvl w:val="0"/>
          <w:numId w:val="1"/>
        </w:numPr>
        <w:pBdr>
          <w:bottom w:val="none" w:color="auto" w:sz="0" w:space="0"/>
        </w:pBdr>
        <w:rPr>
          <w:rFonts w:hint="default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发邮件时，读模板，内容可调整，附件可增加、删除；</w:t>
      </w:r>
    </w:p>
    <w:p w14:paraId="6CB8E5BA">
      <w:pPr>
        <w:numPr>
          <w:ilvl w:val="0"/>
          <w:numId w:val="1"/>
        </w:numPr>
        <w:pBdr>
          <w:bottom w:val="none" w:color="auto" w:sz="0" w:space="0"/>
        </w:pBdr>
        <w:rPr>
          <w:rFonts w:hint="default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XML包和申请文件（WORD)分成两个条目。</w:t>
      </w:r>
    </w:p>
    <w:p w14:paraId="09207F77">
      <w:pPr>
        <w:numPr>
          <w:ilvl w:val="0"/>
          <w:numId w:val="1"/>
        </w:numPr>
        <w:pBdr>
          <w:bottom w:val="none" w:color="auto" w:sz="0" w:space="0"/>
        </w:pBdr>
        <w:rPr>
          <w:rFonts w:hint="default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当交底状态为定稿待报状态时，同步写入申请专利表。</w:t>
      </w:r>
    </w:p>
    <w:p w14:paraId="5E489AE7">
      <w:pPr>
        <w:pBdr>
          <w:bottom w:val="none" w:color="auto" w:sz="0" w:space="0"/>
        </w:pBdr>
        <w:rPr>
          <w:rFonts w:hint="default" w:eastAsia="宋体"/>
          <w:sz w:val="44"/>
          <w:lang w:val="en-US" w:eastAsia="zh-CN"/>
        </w:rPr>
      </w:pPr>
    </w:p>
    <w:p w14:paraId="15E9212C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驳回复审：【前端，驳回复审表新增，专利编号写入，判断驳回状态有效性，有效期内新增】</w:t>
      </w:r>
    </w:p>
    <w:p w14:paraId="18734D89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审通补正：【】</w:t>
      </w:r>
    </w:p>
    <w:p w14:paraId="01FA775F">
      <w:pPr>
        <w:pBdr>
          <w:bottom w:val="none" w:color="auto" w:sz="0" w:space="0"/>
        </w:pBdr>
        <w:rPr>
          <w:rFonts w:hint="default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优审（产生一次，缴费就加入一条信息）</w:t>
      </w:r>
    </w:p>
    <w:p w14:paraId="2F88B593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预审</w:t>
      </w:r>
    </w:p>
    <w:p w14:paraId="25162C8F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缴费</w:t>
      </w:r>
    </w:p>
    <w:p w14:paraId="31EDCB5D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年费代缴</w:t>
      </w:r>
    </w:p>
    <w:p w14:paraId="0780A93E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登记簿副本</w:t>
      </w:r>
    </w:p>
    <w:p w14:paraId="2E78CC47">
      <w:pPr>
        <w:pBdr>
          <w:bottom w:val="none" w:color="auto" w:sz="0" w:space="0"/>
        </w:pBdr>
        <w:rPr>
          <w:rFonts w:hint="default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检索报告</w:t>
      </w:r>
    </w:p>
    <w:p w14:paraId="361D3F57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权利恢复</w:t>
      </w:r>
    </w:p>
    <w:p w14:paraId="00DE1DAA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撤回</w:t>
      </w:r>
    </w:p>
    <w:p w14:paraId="1451D92A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放弃</w:t>
      </w:r>
    </w:p>
    <w:p w14:paraId="75BF9C9C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专利无效</w:t>
      </w:r>
    </w:p>
    <w:p w14:paraId="32D80681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</w:p>
    <w:p w14:paraId="19205DB8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</w:p>
    <w:p w14:paraId="3C3A44C9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角色：</w:t>
      </w:r>
    </w:p>
    <w:p w14:paraId="6A3D1C67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业务录入人</w:t>
      </w:r>
    </w:p>
    <w:p w14:paraId="34F495E6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流程人员</w:t>
      </w:r>
    </w:p>
    <w:p w14:paraId="64B1DA2D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缴费人</w:t>
      </w:r>
    </w:p>
    <w:p w14:paraId="61376F1C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财务专员</w:t>
      </w:r>
    </w:p>
    <w:p w14:paraId="3ACE9D44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财务审核人</w:t>
      </w:r>
    </w:p>
    <w:p w14:paraId="579C2029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行政专员</w:t>
      </w:r>
    </w:p>
    <w:p w14:paraId="007BD0C5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主办人员</w:t>
      </w:r>
    </w:p>
    <w:p w14:paraId="3C91AA63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业务主管</w:t>
      </w:r>
    </w:p>
    <w:p w14:paraId="4091E250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统计人员</w:t>
      </w:r>
    </w:p>
    <w:p w14:paraId="11027B12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</w:p>
    <w:p w14:paraId="61470710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  <w:r>
        <w:rPr>
          <w:rFonts w:hint="eastAsia" w:eastAsia="宋体"/>
          <w:sz w:val="44"/>
          <w:lang w:val="en-US" w:eastAsia="zh-CN"/>
        </w:rPr>
        <w:t>流程：</w:t>
      </w:r>
    </w:p>
    <w:p w14:paraId="58E0AF98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</w:p>
    <w:p w14:paraId="720E7A05">
      <w:pPr>
        <w:pBdr>
          <w:bottom w:val="none" w:color="auto" w:sz="0" w:space="0"/>
        </w:pBdr>
        <w:rPr>
          <w:rFonts w:hint="eastAsia" w:eastAsia="宋体"/>
          <w:sz w:val="44"/>
          <w:lang w:val="en-US" w:eastAsia="zh-CN"/>
        </w:rPr>
      </w:pPr>
    </w:p>
    <w:p w14:paraId="4AEB10E1">
      <w:pPr>
        <w:pBdr>
          <w:bottom w:val="none" w:color="auto" w:sz="0" w:space="0"/>
        </w:pBdr>
        <w:rPr>
          <w:rFonts w:hint="default" w:eastAsia="宋体"/>
          <w:sz w:val="44"/>
          <w:lang w:val="en-US" w:eastAsia="zh-CN"/>
        </w:rPr>
      </w:pPr>
    </w:p>
    <w:p w14:paraId="789B265B"/>
    <w:p w14:paraId="383150CB">
      <w:pPr>
        <w:rPr>
          <w:rFonts w:hint="default" w:eastAsia="宋体"/>
          <w:lang w:val="en-US" w:eastAsia="zh-CN"/>
        </w:rPr>
      </w:pPr>
      <w:r>
        <w:t>1. 案源引入</w:t>
      </w:r>
    </w:p>
    <w:p w14:paraId="75C71750">
      <w:r>
        <w:t xml:space="preserve">   · 客户通过邮件发送交底书 → 邮件组件自动提取附件入库 → 系统根据发件人匹配客户或进入待认领池。</w:t>
      </w:r>
    </w:p>
    <w:p w14:paraId="20DC9F54">
      <w:r>
        <w:t>2. 立案与识别</w:t>
      </w:r>
    </w:p>
    <w:p w14:paraId="353A6F89">
      <w:r>
        <w:t xml:space="preserve">   · 流程人员认领，填写基础信息 → 调用“识别专利类型组件”给出类型建议 → 人工确认类型 → 创建正式案件，状态：待分配。</w:t>
      </w:r>
    </w:p>
    <w:p w14:paraId="44228138">
      <w:r>
        <w:t>3. 撰写与提交</w:t>
      </w:r>
    </w:p>
    <w:p w14:paraId="0A6B96B1">
      <w:r>
        <w:t xml:space="preserve">   · 代理人接受案件，在系统内撰写申请文件，输出 XML → “解析XML组件”校验 → 通过后，P表被自动填充（申请号暂空）。</w:t>
      </w:r>
    </w:p>
    <w:p w14:paraId="0766CDCA">
      <w:r>
        <w:t xml:space="preserve">   · 用户选择提交通道（普通/预审/优审），系统打包提交。</w:t>
      </w:r>
    </w:p>
    <w:p w14:paraId="29150FF2">
      <w:r>
        <w:t xml:space="preserve">   · 预审/优审有额外步骤：提保护中心/提优审请求，接收相应决定书后转入正式提交。</w:t>
      </w:r>
    </w:p>
    <w:p w14:paraId="2B7F5BD0">
      <w:r>
        <w:t xml:space="preserve">   · 提交成功，取得申请号，P表补全，状态：官方受理中。</w:t>
      </w:r>
    </w:p>
    <w:p w14:paraId="45890851">
      <w:r>
        <w:t>4. 审查循环</w:t>
      </w:r>
    </w:p>
    <w:p w14:paraId="3DE549A0">
      <w:r>
        <w:t xml:space="preserve">   · 官方下发通知书 ZIP → 系统用“解析XML组件”拆解，结构化存储通知书，关联案件。</w:t>
      </w:r>
    </w:p>
    <w:p w14:paraId="31F5870B">
      <w:r>
        <w:t xml:space="preserve">   · 鼠标悬停P表，浮窗通过“交叉查询组件”立即显示全案通知书列表。</w:t>
      </w:r>
    </w:p>
    <w:p w14:paraId="4888B4D5">
      <w:r>
        <w:t xml:space="preserve">   · 若为补正/审通等，系统自动生成答复任务，并依据“收费标准”生成应收费用条目。</w:t>
      </w:r>
    </w:p>
    <w:p w14:paraId="5D5F25AD">
      <w:r>
        <w:t xml:space="preserve">   · 邮件组件向代理人和客户发送任务提醒及时限。</w:t>
      </w:r>
    </w:p>
    <w:p w14:paraId="4CA3FC87">
      <w:r>
        <w:t xml:space="preserve">   · 代理人完成答复文件提交，任务状态更新为“已提交”，费用记录生效为“待收款”。</w:t>
      </w:r>
    </w:p>
    <w:p w14:paraId="445AB6D2">
      <w:r>
        <w:t xml:space="preserve">   · 如此循环，直至授权、驳回或复审。</w:t>
      </w:r>
    </w:p>
    <w:p w14:paraId="305C1965">
      <w:r>
        <w:t>5. 费用与收款</w:t>
      </w:r>
    </w:p>
    <w:p w14:paraId="2C762350">
      <w:r>
        <w:t xml:space="preserve">   · 财务在账单管理界面，可按客户汇总所有“待收款”费用，生成账单 → 邮件组件发送账单及缴费通知。</w:t>
      </w:r>
    </w:p>
    <w:p w14:paraId="0DE6EC57">
      <w:r>
        <w:t xml:space="preserve">   · 客户打款，财务录入收款，核销应收，并可为对应的费用项申请开票，记录发票信息。状态：已结清。</w:t>
      </w:r>
    </w:p>
    <w:p w14:paraId="3583FE47">
      <w:r>
        <w:t>6. 绩效核算</w:t>
      </w:r>
    </w:p>
    <w:p w14:paraId="4B503E51">
      <w:r>
        <w:t xml:space="preserve">   · 次月初，系统通过“交叉查询组件”按操作人汇总上月完成的任务量 → 结合考勤扣除请长假等影响 → 乘上单价系数 → 生成工资草稿。</w:t>
      </w:r>
    </w:p>
    <w:p w14:paraId="2C9D561E">
      <w:r>
        <w:t xml:space="preserve">   · 主管审核后，工资单归档，可发送邮件工资条给员工。</w:t>
      </w:r>
    </w:p>
    <w:p w14:paraId="436EDA15"/>
    <w:p w14:paraId="6A33E7DF"/>
    <w:p w14:paraId="65C23670">
      <w:pPr>
        <w:rPr>
          <w:sz w:val="44"/>
        </w:rPr>
      </w:pPr>
      <w:r>
        <w:rPr>
          <w:rFonts w:hint="eastAsia"/>
          <w:sz w:val="44"/>
        </w:rPr>
        <w:t>具体实现：</w:t>
      </w:r>
    </w:p>
    <w:p w14:paraId="11E7BCC5"/>
    <w:p w14:paraId="711EAE2A">
      <w:pPr>
        <w:pBdr>
          <w:bottom w:val="none" w:color="auto" w:sz="0" w:space="0"/>
        </w:pBdr>
      </w:pPr>
      <w:r>
        <w:t>一、业务全景总览</w:t>
      </w:r>
    </w:p>
    <w:p w14:paraId="5F76C388">
      <w:r>
        <w:t>核心业务流程为：</w:t>
      </w:r>
    </w:p>
    <w:p w14:paraId="4B567A98">
      <w:pPr>
        <w:pBdr>
          <w:bottom w:val="none" w:color="auto" w:sz="0" w:space="0"/>
        </w:pBdr>
      </w:pPr>
    </w:p>
    <w:p w14:paraId="5835EEF3">
      <w:r>
        <w:t>市场/客户 → 技术交底 → 立案分配 → 案件撰写/提交 → 官方审查 → 中间文件处理 → 授权/驳回 → 费用与收款 → 内部工资结算</w:t>
      </w:r>
    </w:p>
    <w:p w14:paraId="2629B503">
      <w:pPr>
        <w:pBdr>
          <w:bottom w:val="none" w:color="auto" w:sz="0" w:space="0"/>
        </w:pBdr>
      </w:pPr>
    </w:p>
    <w:p w14:paraId="492334AD">
      <w:r>
        <w:t>支持三种审查通道：普通申请、预审（地方保护中心）、优审（优先审查），并对补正、审查意见、著录项目变更、驳回复审等程序性业务进行统一任务管理与自动计费。</w:t>
      </w:r>
    </w:p>
    <w:p w14:paraId="6F20FE59"/>
    <w:p w14:paraId="10DC523D"/>
    <w:p w14:paraId="1AE72461">
      <w:r>
        <w:t>二、业务模块细化分析</w:t>
      </w:r>
    </w:p>
    <w:p w14:paraId="240885E3"/>
    <w:p w14:paraId="2F05B2D9">
      <w:r>
        <w:t>1. 客户与案源管理模块</w:t>
      </w:r>
    </w:p>
    <w:p w14:paraId="051F56EE"/>
    <w:p w14:paraId="256D2348">
      <w:r>
        <w:t>负责专利的接收与初步整理，是业务流程的起点。</w:t>
      </w:r>
    </w:p>
    <w:p w14:paraId="7E4087B1"/>
    <w:p w14:paraId="2DDA767E">
      <w:r>
        <w:t>· 交底书接收</w:t>
      </w:r>
    </w:p>
    <w:p w14:paraId="2DD7DBCF">
      <w:r>
        <w:t xml:space="preserve">  · 邮件自动抓取：系统通过邮件组件监听指定邮箱，自动下载新邮件及附件（支持 Word/PDF/图片/压缩包等多种格式），生成交底记录草稿。</w:t>
      </w:r>
    </w:p>
    <w:p w14:paraId="7C3B7355">
      <w:r>
        <w:t xml:space="preserve">  · 智能归类认领：提取发件人邮箱、邮件主题关键词（如“专利交底 发明名称”），尝试匹配系统已有客户。匹配成功则自动关联；未匹配则进入“公共案源池”，由</w:t>
      </w:r>
      <w:r>
        <w:rPr>
          <w:rFonts w:hint="eastAsia"/>
        </w:rPr>
        <w:t>内部工作</w:t>
      </w:r>
      <w:r>
        <w:t>人员手动</w:t>
      </w:r>
      <w:r>
        <w:rPr>
          <w:rFonts w:hint="eastAsia"/>
        </w:rPr>
        <w:t>录入系统</w:t>
      </w:r>
      <w:r>
        <w:t>。</w:t>
      </w:r>
    </w:p>
    <w:p w14:paraId="37238C5A">
      <w:r>
        <w:t xml:space="preserve">  · 附件与版本管理：原始交底附件永久保存，支持在线预览。后续撰写过程中可上传多版修改稿，形成版本树。</w:t>
      </w:r>
    </w:p>
    <w:p w14:paraId="06E1F6FF">
      <w:r>
        <w:t>· 立案与案件创建</w:t>
      </w:r>
    </w:p>
    <w:p w14:paraId="501F777B">
      <w:r>
        <w:t xml:space="preserve">  · </w:t>
      </w:r>
      <w:r>
        <w:rPr>
          <w:rFonts w:hint="eastAsia"/>
        </w:rPr>
        <w:t>录入</w:t>
      </w:r>
      <w:r>
        <w:t>后，由流程人员创建正式案件，录入/确认以下信息：客户名称、发明人、技术领域、是否主张优先权、期望提交日等。</w:t>
      </w:r>
    </w:p>
    <w:p w14:paraId="7300D742">
      <w:r>
        <w:t xml:space="preserve">  · 专利类型识别：调用“识别专利类型的组件”。结合交底书文本分析</w:t>
      </w:r>
      <w:r>
        <w:rPr>
          <w:rFonts w:hint="eastAsia"/>
        </w:rPr>
        <w:t>组件</w:t>
      </w:r>
      <w:r>
        <w:t>与用户手动选择，给出发明/实用新型/外观设计的建议，并校验是否存在明显不一致（如方法类交底误选外观设计）。类型一旦确定，将影响后续所有费用计算、官方表格模板、审查流程。</w:t>
      </w:r>
    </w:p>
    <w:p w14:paraId="0860EFD0"/>
    <w:p w14:paraId="79460FFF">
      <w:r>
        <w:t>2. 案件处理与提交模块</w:t>
      </w:r>
    </w:p>
    <w:p w14:paraId="4C353F5C"/>
    <w:p w14:paraId="42D848AB">
      <w:r>
        <w:t>根据客户需求和案件性质，分流进入不同审查通道。</w:t>
      </w:r>
    </w:p>
    <w:p w14:paraId="633957CA"/>
    <w:p w14:paraId="78823E41">
      <w:r>
        <w:t>· 通道选择</w:t>
      </w:r>
    </w:p>
    <w:p w14:paraId="7934DBEF">
      <w:r>
        <w:t xml:space="preserve">  · 用户（代理人/流程）在案件详情页选择“普通提交”、“预审”或“优审”，系统记录选择原因和指定机构（如某保护中心）。</w:t>
      </w:r>
    </w:p>
    <w:p w14:paraId="4F625C99">
      <w:r>
        <w:t xml:space="preserve">  · 选择后，案件状态更新，并可能触发相应的时限规则（如预审需在特定工作日完成提交）。</w:t>
      </w:r>
    </w:p>
    <w:p w14:paraId="5841E553">
      <w:r>
        <w:t>· 普通提交流程</w:t>
      </w:r>
    </w:p>
    <w:p w14:paraId="54A66688">
      <w:r>
        <w:t xml:space="preserve">  · XML生成：代理人根据交底书撰写申请文件（权利要求书、说明书、摘要等），利用内置编辑器或导入工具，将文档转为符合国家知识产权局标准的 XML 格式。</w:t>
      </w:r>
    </w:p>
    <w:p w14:paraId="7A179F5C">
      <w:r>
        <w:t xml:space="preserve">  · 解析与校验：“解析XML的组件”对生成的 XML 进行强校验：标签完整性、必填字段、字符集、附图引用等，</w:t>
      </w:r>
      <w:r>
        <w:rPr>
          <w:rFonts w:hint="eastAsia"/>
        </w:rPr>
        <w:t>如果有错误就</w:t>
      </w:r>
      <w:r>
        <w:t>返回错误列表</w:t>
      </w:r>
      <w:r>
        <w:rPr>
          <w:rFonts w:hint="eastAsia"/>
        </w:rPr>
        <w:t>，说明错误原因</w:t>
      </w:r>
      <w:r>
        <w:t>。</w:t>
      </w:r>
    </w:p>
    <w:p w14:paraId="7965BE72">
      <w:r>
        <w:t xml:space="preserve">  · P表自动填充：校验通过后，系统从 XML 中提取申请号（新建时暂空）、发明名称、申请人、发明人、专利类型、提交日等信息，自动填入内部专利信息主表（P表），减少人工录入。</w:t>
      </w:r>
    </w:p>
    <w:p w14:paraId="30FC3F57">
      <w:r>
        <w:t xml:space="preserve">  · 一键打包提交：对接专利局申请系统，将 XML 及签章后的请求书等文件加密打包，提交并接收回执，更新案件状态为“已提交”。</w:t>
      </w:r>
    </w:p>
    <w:p w14:paraId="642B5761">
      <w:r>
        <w:t>· 预审流程</w:t>
      </w:r>
    </w:p>
    <w:p w14:paraId="5E2F170C">
      <w:r>
        <w:t xml:space="preserve">  · 提交保护中心：在通过保护中心预审资格备案后，代理人准备预审申请文件，通过系统对接接口或导出文件包提交至地方保护中心。</w:t>
      </w:r>
    </w:p>
    <w:p w14:paraId="7A49B584">
      <w:r>
        <w:t xml:space="preserve">  · 预审通知书处理：保护中心发出预审合格/不合格通知书（可能为 XML/PDF），系统解析并记录。预审合格后，案件进入正式国家提交阶段，流程转回普通提交。</w:t>
      </w:r>
    </w:p>
    <w:p w14:paraId="3510C3F7">
      <w:r>
        <w:t xml:space="preserve">  · 特殊情况：若预审不合格，案件可能转为普通提交或终止。</w:t>
      </w:r>
    </w:p>
    <w:p w14:paraId="366044E9">
      <w:r>
        <w:t>· 优审流程</w:t>
      </w:r>
    </w:p>
    <w:p w14:paraId="204A8556">
      <w:r>
        <w:t xml:space="preserve">  · 优先审查请求：勾选“优先审查”后，系统自动生成《优先审查请求书》，连同相关证明文件（如上市证明、技术重要性说明）一并提交国家局。</w:t>
      </w:r>
    </w:p>
    <w:p w14:paraId="75DAD240">
      <w:r>
        <w:t xml:space="preserve">  · 优审决定处理：收到《予以优先审查决定书》后，案件加急标记生效，后续通知书处理时限按加急计算（如一通答复由4个月缩短为2个月），系统自动更新时限报警阈值。</w:t>
      </w:r>
    </w:p>
    <w:p w14:paraId="171C75AC"/>
    <w:p w14:paraId="5DECAFD3">
      <w:r>
        <w:t>3. 官方通知书全周期管理模块</w:t>
      </w:r>
    </w:p>
    <w:p w14:paraId="7BDC223E"/>
    <w:p w14:paraId="78002BA2">
      <w:r>
        <w:t>这是代理所日常工作的核心，涉及大量数据解析、状态联动和时限监控。</w:t>
      </w:r>
    </w:p>
    <w:p w14:paraId="36C18FEC"/>
    <w:p w14:paraId="2B2F6486">
      <w:r>
        <w:t>· 通知书接收与解析</w:t>
      </w:r>
    </w:p>
    <w:p w14:paraId="5B9EDC9E">
      <w:r>
        <w:t xml:space="preserve">  · 自动接收：通过接口或手工导入，获取官方下发的 ZIP 包。系统利用“解析XML的组件”批量解析其中的各类通知书 XML，提取：通知书类型、申请号、发文日、答复期限、审查员信息等。</w:t>
      </w:r>
    </w:p>
    <w:p w14:paraId="4C60DDA9">
      <w:r>
        <w:t xml:space="preserve">  · 通知书映射：与内部 P 表关联，若通知书无法匹配到案件则报警，由人工处理。</w:t>
      </w:r>
    </w:p>
    <w:p w14:paraId="092EBD87">
      <w:r>
        <w:t xml:space="preserve">  · 通知书列表展示：在案件详情页，“P表”区域以时间轴或卡片列表展示所有通知书。鼠标悬停任一通知书标签，浮窗弹出，显示该案全部通知书摘要清单（如“2026-01-05 受理通知书”、“2026-03-12 第一次审查意见”），点击可查看原文/详情。此交互需“交叉查询组件”高效支撑。</w:t>
      </w:r>
    </w:p>
    <w:p w14:paraId="387599C7">
      <w:r>
        <w:t>· 通知书驱动任务体系</w:t>
      </w:r>
    </w:p>
    <w:p w14:paraId="71356DC1">
      <w:r>
        <w:t xml:space="preserve">  系统根据通知书类型，自动创建待办任务并触发计费逻辑。核心通知书类型与对应业务任务：</w:t>
      </w:r>
    </w:p>
    <w:p w14:paraId="6DE60B73"/>
    <w:tbl>
      <w:tblPr>
        <w:tblStyle w:val="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2070"/>
        <w:gridCol w:w="2070"/>
        <w:gridCol w:w="2070"/>
      </w:tblGrid>
      <w:tr w14:paraId="47AD691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vAlign w:val="center"/>
          </w:tcPr>
          <w:p w14:paraId="72AF20BB">
            <w:pPr>
              <w:jc w:val="center"/>
            </w:pPr>
            <w:r>
              <w:t>通知书类型</w:t>
            </w:r>
          </w:p>
        </w:tc>
        <w:tc>
          <w:tcPr>
            <w:tcW w:w="2070" w:type="dxa"/>
            <w:vAlign w:val="center"/>
          </w:tcPr>
          <w:p w14:paraId="054E5F68">
            <w:pPr>
              <w:jc w:val="center"/>
            </w:pPr>
            <w:r>
              <w:t>触发的业务任务</w:t>
            </w:r>
          </w:p>
        </w:tc>
        <w:tc>
          <w:tcPr>
            <w:tcW w:w="2070" w:type="dxa"/>
            <w:vAlign w:val="center"/>
          </w:tcPr>
          <w:p w14:paraId="36572358">
            <w:pPr>
              <w:jc w:val="center"/>
            </w:pPr>
            <w:r>
              <w:t>是否收费</w:t>
            </w:r>
          </w:p>
        </w:tc>
        <w:tc>
          <w:tcPr>
            <w:tcW w:w="2070" w:type="dxa"/>
            <w:vAlign w:val="center"/>
          </w:tcPr>
          <w:p w14:paraId="1EFE38D9">
            <w:pPr>
              <w:pBdr>
                <w:bottom w:val="none" w:color="auto" w:sz="0" w:space="0"/>
              </w:pBdr>
              <w:ind w:left="0"/>
              <w:jc w:val="center"/>
            </w:pPr>
            <w:r>
              <w:t xml:space="preserve"> 时限要求</w:t>
            </w:r>
          </w:p>
        </w:tc>
      </w:tr>
      <w:tr w14:paraId="4D637D2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vAlign w:val="center"/>
          </w:tcPr>
          <w:p w14:paraId="24DE3F85">
            <w:pPr>
              <w:jc w:val="center"/>
            </w:pPr>
            <w:r>
              <w:t>补正通知书</w:t>
            </w:r>
          </w:p>
        </w:tc>
        <w:tc>
          <w:tcPr>
            <w:tcW w:w="2070" w:type="dxa"/>
            <w:vAlign w:val="center"/>
          </w:tcPr>
          <w:p w14:paraId="3C236131">
            <w:pPr>
              <w:jc w:val="center"/>
            </w:pPr>
            <w:r>
              <w:t>补正答复</w:t>
            </w:r>
          </w:p>
        </w:tc>
        <w:tc>
          <w:tcPr>
            <w:tcW w:w="2070" w:type="dxa"/>
            <w:vAlign w:val="center"/>
          </w:tcPr>
          <w:p w14:paraId="62919A14">
            <w:pPr>
              <w:jc w:val="center"/>
            </w:pPr>
            <w:r>
              <w:t>是（服务费）</w:t>
            </w:r>
          </w:p>
        </w:tc>
        <w:tc>
          <w:tcPr>
            <w:tcW w:w="2070" w:type="dxa"/>
            <w:vAlign w:val="center"/>
          </w:tcPr>
          <w:p w14:paraId="48E41169">
            <w:pPr>
              <w:ind w:left="0"/>
              <w:jc w:val="center"/>
            </w:pPr>
            <w:r>
              <w:t>官方指定期限（通常15天/2个月）</w:t>
            </w:r>
          </w:p>
          <w:p w14:paraId="3313EBA8">
            <w:pPr>
              <w:jc w:val="center"/>
            </w:pPr>
          </w:p>
        </w:tc>
      </w:tr>
      <w:tr w14:paraId="2434D11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vAlign w:val="center"/>
          </w:tcPr>
          <w:p w14:paraId="121EEE1D">
            <w:pPr>
              <w:jc w:val="center"/>
            </w:pPr>
            <w:r>
              <w:t>审查意见通知书（第N次）</w:t>
            </w:r>
          </w:p>
        </w:tc>
        <w:tc>
          <w:tcPr>
            <w:tcW w:w="2070" w:type="dxa"/>
            <w:vAlign w:val="center"/>
          </w:tcPr>
          <w:p w14:paraId="7E6061BA">
            <w:pPr>
              <w:jc w:val="center"/>
            </w:pPr>
            <w:r>
              <w:t>审查意见答复</w:t>
            </w:r>
          </w:p>
        </w:tc>
        <w:tc>
          <w:tcPr>
            <w:tcW w:w="2070" w:type="dxa"/>
            <w:vAlign w:val="center"/>
          </w:tcPr>
          <w:p w14:paraId="6FB8AA27">
            <w:pPr>
              <w:jc w:val="center"/>
            </w:pPr>
            <w:r>
              <w:t>是（按次数或包干）</w:t>
            </w:r>
          </w:p>
        </w:tc>
        <w:tc>
          <w:tcPr>
            <w:tcW w:w="2070" w:type="dxa"/>
            <w:vAlign w:val="center"/>
          </w:tcPr>
          <w:p w14:paraId="60650AAC">
            <w:pPr>
              <w:ind w:left="0"/>
              <w:jc w:val="center"/>
            </w:pPr>
            <w:r>
              <w:t>普通4个月，优审2个月</w:t>
            </w:r>
          </w:p>
          <w:p w14:paraId="36B53C72">
            <w:pPr>
              <w:jc w:val="center"/>
            </w:pPr>
          </w:p>
        </w:tc>
      </w:tr>
      <w:tr w14:paraId="39830B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vAlign w:val="center"/>
          </w:tcPr>
          <w:p w14:paraId="79F163B0">
            <w:pPr>
              <w:jc w:val="center"/>
            </w:pPr>
            <w:r>
              <w:t>办登/授权通知书</w:t>
            </w:r>
          </w:p>
        </w:tc>
        <w:tc>
          <w:tcPr>
            <w:tcW w:w="2070" w:type="dxa"/>
            <w:vAlign w:val="center"/>
          </w:tcPr>
          <w:p w14:paraId="18F60F14">
            <w:pPr>
              <w:jc w:val="center"/>
            </w:pPr>
            <w:r>
              <w:t xml:space="preserve"> 办理登记、缴费</w:t>
            </w:r>
          </w:p>
        </w:tc>
        <w:tc>
          <w:tcPr>
            <w:tcW w:w="2070" w:type="dxa"/>
            <w:vAlign w:val="center"/>
          </w:tcPr>
          <w:p w14:paraId="3DA14AE8">
            <w:pPr>
              <w:jc w:val="center"/>
            </w:pPr>
            <w:r>
              <w:t>是（代缴官费+服务费）</w:t>
            </w:r>
          </w:p>
        </w:tc>
        <w:tc>
          <w:tcPr>
            <w:tcW w:w="2070" w:type="dxa"/>
            <w:vAlign w:val="center"/>
          </w:tcPr>
          <w:p w14:paraId="503C0954">
            <w:pPr>
              <w:pBdr>
                <w:bottom w:val="none" w:color="auto" w:sz="0" w:space="0"/>
              </w:pBdr>
              <w:ind w:left="0"/>
              <w:jc w:val="center"/>
            </w:pPr>
            <w:r>
              <w:t>2个月内</w:t>
            </w:r>
          </w:p>
        </w:tc>
      </w:tr>
      <w:tr w14:paraId="665EC8E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2070" w:type="dxa"/>
            <w:vAlign w:val="center"/>
          </w:tcPr>
          <w:p w14:paraId="3DB78B05">
            <w:pPr>
              <w:jc w:val="center"/>
            </w:pPr>
            <w:r>
              <w:t>驳回决定</w:t>
            </w:r>
          </w:p>
        </w:tc>
        <w:tc>
          <w:tcPr>
            <w:tcW w:w="2070" w:type="dxa"/>
            <w:vAlign w:val="center"/>
          </w:tcPr>
          <w:p w14:paraId="519C5027">
            <w:pPr>
              <w:jc w:val="center"/>
            </w:pPr>
            <w:r>
              <w:t>驳回复审</w:t>
            </w:r>
          </w:p>
        </w:tc>
        <w:tc>
          <w:tcPr>
            <w:tcW w:w="2070" w:type="dxa"/>
            <w:vAlign w:val="center"/>
          </w:tcPr>
          <w:p w14:paraId="46D61CB2">
            <w:pPr>
              <w:jc w:val="center"/>
            </w:pPr>
            <w:r>
              <w:t>是（高费用）</w:t>
            </w:r>
          </w:p>
        </w:tc>
        <w:tc>
          <w:tcPr>
            <w:tcW w:w="2070" w:type="dxa"/>
            <w:vAlign w:val="center"/>
          </w:tcPr>
          <w:p w14:paraId="13357B80">
            <w:pPr>
              <w:ind w:left="0"/>
              <w:jc w:val="center"/>
            </w:pPr>
            <w:r>
              <w:t>收到日起3个月内</w:t>
            </w:r>
          </w:p>
          <w:p w14:paraId="5C852282">
            <w:pPr>
              <w:jc w:val="center"/>
            </w:pPr>
          </w:p>
        </w:tc>
      </w:tr>
      <w:tr w14:paraId="10D4A6F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vAlign w:val="center"/>
          </w:tcPr>
          <w:p w14:paraId="355FF413">
            <w:pPr>
              <w:jc w:val="center"/>
            </w:pPr>
            <w:r>
              <w:t>复审决定书/无效宣告请求书等</w:t>
            </w:r>
          </w:p>
        </w:tc>
        <w:tc>
          <w:tcPr>
            <w:tcW w:w="2070" w:type="dxa"/>
            <w:vAlign w:val="center"/>
          </w:tcPr>
          <w:p w14:paraId="544F08D6">
            <w:pPr>
              <w:jc w:val="center"/>
            </w:pPr>
            <w:r>
              <w:t>复审答复/无效应对</w:t>
            </w:r>
          </w:p>
        </w:tc>
        <w:tc>
          <w:tcPr>
            <w:tcW w:w="2070" w:type="dxa"/>
            <w:vAlign w:val="center"/>
          </w:tcPr>
          <w:p w14:paraId="00349299">
            <w:pPr>
              <w:jc w:val="center"/>
            </w:pPr>
            <w:r>
              <w:t xml:space="preserve">视情况 </w:t>
            </w:r>
          </w:p>
        </w:tc>
        <w:tc>
          <w:tcPr>
            <w:tcW w:w="2070" w:type="dxa"/>
            <w:vAlign w:val="center"/>
          </w:tcPr>
          <w:p w14:paraId="5C1A9F44">
            <w:pPr>
              <w:ind w:left="0"/>
              <w:jc w:val="center"/>
            </w:pPr>
            <w:r>
              <w:t>按通知书</w:t>
            </w:r>
          </w:p>
          <w:p w14:paraId="294D0AC5">
            <w:pPr>
              <w:jc w:val="center"/>
            </w:pPr>
          </w:p>
        </w:tc>
      </w:tr>
      <w:tr w14:paraId="2CD2D23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vAlign w:val="center"/>
          </w:tcPr>
          <w:p w14:paraId="562A5DB6">
            <w:pPr>
              <w:jc w:val="center"/>
            </w:pPr>
            <w:r>
              <w:t>著录项目变更审批通知书</w:t>
            </w:r>
          </w:p>
        </w:tc>
        <w:tc>
          <w:tcPr>
            <w:tcW w:w="2070" w:type="dxa"/>
            <w:vAlign w:val="center"/>
          </w:tcPr>
          <w:p w14:paraId="39BDA645">
            <w:pPr>
              <w:ind w:left="0"/>
              <w:jc w:val="center"/>
            </w:pPr>
          </w:p>
          <w:p w14:paraId="0473D938">
            <w:pPr>
              <w:jc w:val="center"/>
            </w:pPr>
            <w:r>
              <w:t>著录项目变更提交（已收费）</w:t>
            </w:r>
          </w:p>
        </w:tc>
        <w:tc>
          <w:tcPr>
            <w:tcW w:w="2070" w:type="dxa"/>
            <w:vAlign w:val="center"/>
          </w:tcPr>
          <w:p w14:paraId="1A0AAEF9">
            <w:pPr>
              <w:jc w:val="center"/>
            </w:pPr>
          </w:p>
        </w:tc>
        <w:tc>
          <w:tcPr>
            <w:tcW w:w="2070" w:type="dxa"/>
            <w:vAlign w:val="center"/>
          </w:tcPr>
          <w:p w14:paraId="76857513">
            <w:pPr>
              <w:jc w:val="center"/>
            </w:pPr>
          </w:p>
        </w:tc>
      </w:tr>
      <w:tr w14:paraId="28DA734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070" w:type="dxa"/>
            <w:vAlign w:val="center"/>
          </w:tcPr>
          <w:p w14:paraId="0B5F25E6">
            <w:pPr>
              <w:jc w:val="center"/>
            </w:pPr>
            <w:r>
              <w:t>恢复权利请求审批通知书</w:t>
            </w:r>
          </w:p>
        </w:tc>
        <w:tc>
          <w:tcPr>
            <w:tcW w:w="2070" w:type="dxa"/>
            <w:vAlign w:val="center"/>
          </w:tcPr>
          <w:p w14:paraId="52B685EA">
            <w:pPr>
              <w:jc w:val="center"/>
            </w:pPr>
            <w:r>
              <w:t>恢复请求提交</w:t>
            </w:r>
          </w:p>
        </w:tc>
        <w:tc>
          <w:tcPr>
            <w:tcW w:w="2070" w:type="dxa"/>
            <w:vAlign w:val="center"/>
          </w:tcPr>
          <w:p w14:paraId="7EC4AC0B">
            <w:pPr>
              <w:jc w:val="center"/>
            </w:pPr>
            <w:r>
              <w:t>是（服务费+官费）</w:t>
            </w:r>
          </w:p>
        </w:tc>
        <w:tc>
          <w:tcPr>
            <w:tcW w:w="2070" w:type="dxa"/>
            <w:vAlign w:val="center"/>
          </w:tcPr>
          <w:p w14:paraId="0D451F6E">
            <w:pPr>
              <w:pBdr>
                <w:bottom w:val="none" w:color="auto" w:sz="0" w:space="0"/>
              </w:pBdr>
              <w:ind w:left="0"/>
              <w:jc w:val="center"/>
            </w:pPr>
            <w:r>
              <w:t xml:space="preserve"> 按决定</w:t>
            </w:r>
          </w:p>
        </w:tc>
      </w:tr>
    </w:tbl>
    <w:p w14:paraId="44F1E5ED">
      <w:pPr>
        <w:ind w:left="0"/>
      </w:pPr>
    </w:p>
    <w:p w14:paraId="49153D27">
      <w:r>
        <w:t>· 时限监控与提醒</w:t>
      </w:r>
    </w:p>
    <w:p w14:paraId="72B16899">
      <w:r>
        <w:t xml:space="preserve">  · 每个任务自动计算绝限日和提示日（提前7天/3天/1天），通过“发送邮件组件”和系统站内信推送提醒给代理人和流程人员。超期案件红色高亮，并上报管理层。</w:t>
      </w:r>
    </w:p>
    <w:p w14:paraId="19B61B4F"/>
    <w:p w14:paraId="04E9AA35">
      <w:pPr>
        <w:pBdr>
          <w:bottom w:val="none" w:color="auto" w:sz="0" w:space="0"/>
        </w:pBdr>
      </w:pPr>
      <w:r>
        <w:t>4. 中间业务与收费管理模块</w:t>
      </w:r>
    </w:p>
    <w:p w14:paraId="5DA84D34">
      <w:r>
        <w:t>· 业务任务触发与执行</w:t>
      </w:r>
    </w:p>
    <w:p w14:paraId="648C881C">
      <w:r>
        <w:t xml:space="preserve">  · 补正：代理人基于补正通知书，在线编辑补正书和替换文件，提交后生成任务记录。</w:t>
      </w:r>
    </w:p>
    <w:p w14:paraId="2CDE95F7">
      <w:r>
        <w:t xml:space="preserve">  · 审查意见答复：同样，答复审查意见提交后，记录答复次数和提交日。</w:t>
      </w:r>
    </w:p>
    <w:p w14:paraId="39819B0E">
      <w:r>
        <w:t xml:space="preserve">  · 著录项目变更（著变）：用户发起著变申请，填写变更内容（如申请人更名、地址变更、权利转让），系统生成申报书，提交官方。提交即计费，无论官方后续是否核准。</w:t>
      </w:r>
    </w:p>
    <w:p w14:paraId="0DE8ED7B">
      <w:r>
        <w:t xml:space="preserve">  · 驳回复审：用户提交复审请求书及证据，系统创建复审任务，并自动关联原驳回决定。</w:t>
      </w:r>
    </w:p>
    <w:p w14:paraId="65CF6848">
      <w:r>
        <w:t xml:space="preserve">  · 其他业务：包括撤回申请、中止程序、恢复权利请求、延长答复期限请求等，均可按可配置规则定义为独立业务项。</w:t>
      </w:r>
    </w:p>
    <w:p w14:paraId="3A4BAECC">
      <w:r>
        <w:t>· 自动计费引擎</w:t>
      </w:r>
    </w:p>
    <w:p w14:paraId="427CD4D1">
      <w:r>
        <w:t xml:space="preserve">  · 收费标准配置：后台维护一套计费规则表，支持按以下维度组合定价：</w:t>
      </w:r>
    </w:p>
    <w:p w14:paraId="1626447B">
      <w:r>
        <w:t xml:space="preserve">    · 专利类型（发明/实用新型/外观）</w:t>
      </w:r>
    </w:p>
    <w:p w14:paraId="005F5D7D">
      <w:r>
        <w:t xml:space="preserve">    · 业务类型（新申请提交、补正、答审通、著变、复审、代缴官费等）</w:t>
      </w:r>
    </w:p>
    <w:p w14:paraId="351A3A61">
      <w:pPr>
        <w:pBdr>
          <w:bottom w:val="none" w:color="auto" w:sz="0" w:space="0"/>
        </w:pBdr>
      </w:pPr>
      <w:r>
        <w:t xml:space="preserve">    · 是否加急（优审案件服务费上浮）</w:t>
      </w:r>
    </w:p>
    <w:p w14:paraId="001778C2">
      <w:r>
        <w:t xml:space="preserve">  · 费用生成：当业务任务创建或状态更新为“已提交官方”时，引擎自动匹配规则，生成一条或多条应收费用记录（区分官费、服务费），并关联到对应客户账单。</w:t>
      </w:r>
    </w:p>
    <w:p w14:paraId="52CF5DE6">
      <w:r>
        <w:t>· 缴费开票与收款闭环</w:t>
      </w:r>
    </w:p>
    <w:p w14:paraId="1D4B3904">
      <w:r>
        <w:t xml:space="preserve">  · 账单生成：系统可定期或手动为每个客户生成汇总账单，列出各项业务费用明细。</w:t>
      </w:r>
    </w:p>
    <w:p w14:paraId="7507534D">
      <w:r>
        <w:t xml:space="preserve">  · 邮件通知：“发送邮件组件”将账单 PDF 或缴费通知单发送给客户联系人，并可附带官方通知书扫描件。</w:t>
      </w:r>
    </w:p>
    <w:p w14:paraId="3EE75AD5">
      <w:r>
        <w:t xml:space="preserve">  · 收款登记：财务收到银行转账/回单后，在系统中录入收款，核销对应应收项目，支持部分收款和多账单合并收款。</w:t>
      </w:r>
    </w:p>
    <w:p w14:paraId="3051371C">
      <w:r>
        <w:t xml:space="preserve">  · 开票管理：可申请发票，记录发票号、金额、开票日期，并与收款记录关联，最终标记“已开票”。支持增值税普通/专用发票信息管理。</w:t>
      </w:r>
    </w:p>
    <w:p w14:paraId="5E4BE654">
      <w:r>
        <w:t xml:space="preserve">  · 代缴官费：对于授权办登、年费等代缴官方费用，系统同样生成应收（官费实缴金额+手续费），财务实际缴纳后登记实缴信息。</w:t>
      </w:r>
    </w:p>
    <w:p w14:paraId="1C734A6B"/>
    <w:p w14:paraId="12FBA4E4">
      <w:r>
        <w:t>5. 财务管理与工资核算模块</w:t>
      </w:r>
    </w:p>
    <w:p w14:paraId="16973144"/>
    <w:p w14:paraId="20F5037C">
      <w:r>
        <w:t>面向事务所内部，将业务数据转化为人力成本与绩效。</w:t>
      </w:r>
    </w:p>
    <w:p w14:paraId="25A749FD"/>
    <w:p w14:paraId="43333985">
      <w:r>
        <w:t>· 操作员工资计算</w:t>
      </w:r>
    </w:p>
    <w:p w14:paraId="0103F75A">
      <w:r>
        <w:t xml:space="preserve">  · 业务量统计：从已完结的任务中，按操作人（代理人、流程人员）统计当月处理的工作量，例如：</w:t>
      </w:r>
    </w:p>
    <w:p w14:paraId="3916D8E8">
      <w:r>
        <w:t xml:space="preserve">    · 代理人：撰写并提交新申请X件（区分发明/新型）、答复补正Y件、答复审通Z件、处理复审W件等。</w:t>
      </w:r>
    </w:p>
    <w:p w14:paraId="176D78BF">
      <w:r>
        <w:t xml:space="preserve">    · 流程人员：录入交底书M件、制作提交包N件、处理通知书登记P件等。</w:t>
      </w:r>
    </w:p>
    <w:p w14:paraId="0FA9AC09">
      <w:r>
        <w:t xml:space="preserve">  · 单价配置：每种业务任务设定提成单价，区分专利类型和审查路径（如优审答复单价更高）。支持按团队/个人特殊设定。</w:t>
      </w:r>
    </w:p>
    <w:p w14:paraId="0B0E20DF">
      <w:r>
        <w:t xml:space="preserve">  · 出勤调整：接入考勤数据（或手动录入），获取当月应出勤天数、实际出勤天数、请长假（如事假、病假超过一定天数）扣减比例。</w:t>
      </w:r>
    </w:p>
    <w:p w14:paraId="1B0FE7BB">
      <w:r>
        <w:t xml:space="preserve">  · 生成工资单：系统自动运算“基础工资 + 业务提成 × 出勤系数 - 其他扣款”，生成个人工资明细表，经主管审核后归档，并可作为财务发放依据。</w:t>
      </w:r>
    </w:p>
    <w:p w14:paraId="365929FE">
      <w:r>
        <w:t>· 成本与利润分析：基于收费和工资支出，可按客户、按专利类型、按代理人统计毛利，辅助经营决策。</w:t>
      </w:r>
    </w:p>
    <w:p w14:paraId="3AF707C5"/>
    <w:p w14:paraId="65CD1DE5"/>
    <w:p w14:paraId="2B04B71E"/>
    <w:p w14:paraId="314DFB67"/>
    <w:sectPr>
      <w:pgSz w:w="11907" w:h="16839"/>
      <w:pgMar w:top="1440" w:right="1800" w:bottom="1440" w:left="1800" w:header="851" w:footer="992" w:gutter="0"/>
      <w:cols w:space="720" w:num="1"/>
      <w:vAlign w:val="top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roid Sans Fallback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FA8368"/>
    <w:multiLevelType w:val="singleLevel"/>
    <w:tmpl w:val="A0FA83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isplayBackgroundShape w:val="1"/>
  <w:embedSystemFonts/>
  <w:documentProtection w:enforcement="0"/>
  <w:defaultTabStop w:val="420"/>
  <w:displayHorizontalDrawingGridEvery w:val="0"/>
  <w:displayVerticalDrawingGridEvery w:val="1"/>
  <w:characterSpacingControl w:val="compressPunctuation"/>
  <w:footnotePr>
    <w:footnote w:id="0"/>
    <w:footnote w:id="1"/>
  </w:footnotePr>
  <w:endnotePr>
    <w:endnote w:id="0"/>
    <w:endnote w:id="1"/>
  </w:endnotePr>
  <w:compat>
    <w:balanceSingleByteDoubleByteWidth/>
    <w:doNotLeaveBackslashAlone/>
    <w:ulTrailSpace/>
    <w:doNotExpandShiftReturn/>
    <w:adjustLineHeightInTable/>
    <w:growAutofit/>
    <w:useFELayout/>
    <w:compatSetting w:name="compatibilityMode" w:uri="http://schemas.microsoft.com/office/word" w:val="11"/>
  </w:compat>
  <w:rsids>
    <w:rsidRoot w:val="00000000"/>
    <w:rsid w:val="377B3277"/>
    <w:rsid w:val="6EB37B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Droid Sans Fallback" w:hAnsi="Droid Sans Fallback" w:eastAsia="Arial" w:cs="Droid Sans Fallback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7"/>
    <w:uiPriority w:val="0"/>
    <w:pPr>
      <w:widowControl w:val="0"/>
      <w:spacing w:line="240" w:lineRule="auto"/>
      <w:jc w:val="both"/>
    </w:pPr>
    <w:rPr>
      <w:rFonts w:ascii="Times New Roman" w:hAnsi="Times New Roman" w:eastAsia="Droid Sans Fallback" w:cs="Droid Sans Fallback"/>
      <w:kern w:val="2"/>
      <w:sz w:val="24"/>
      <w:szCs w:val="20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widowControl w:val="0"/>
      <w:spacing w:before="340" w:after="330" w:line="578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iPriority w:val="0"/>
    <w:pPr>
      <w:keepNext/>
      <w:keepLines/>
      <w:widowControl w:val="0"/>
      <w:spacing w:before="260" w:after="260" w:line="415" w:lineRule="auto"/>
      <w:outlineLvl w:val="1"/>
    </w:pPr>
    <w:rPr>
      <w:rFonts w:ascii="Arial" w:hAnsi="Arial" w:eastAsia="Droid Sans Fallback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7">
    <w:name w:val="Default Paragraph Font"/>
    <w:link w:val="1"/>
    <w:uiPriority w:val="0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3684</Words>
  <Characters>3762</Characters>
  <TotalTime>131</TotalTime>
  <ScaleCrop>false</ScaleCrop>
  <LinksUpToDate>false</LinksUpToDate>
  <CharactersWithSpaces>4058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2026-07-14T20:16:00Z</dcterms:created>
  <dc:creator>肖俊晨</dc:creator>
  <cp:lastModifiedBy>WPS_1661906476</cp:lastModifiedBy>
  <dcterms:modified xsi:type="dcterms:W3CDTF">2026-07-17T08:13:54Z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eyJoZGlkIjoiYWJjNTgyYjUxZTdhYzg2OGJjMGRiMmQwZDYxNjZlYmEiLCJ1c2VySWQiOiIxNDAxOTM4MDQzIn0=</vt:lpwstr>
  </property>
  <property fmtid="{D5CDD505-2E9C-101B-9397-08002B2CF9AE}" pid="3" name="KSOProductBuildVer">
    <vt:lpwstr>2052-12.1.0.23542</vt:lpwstr>
  </property>
  <property fmtid="{D5CDD505-2E9C-101B-9397-08002B2CF9AE}" pid="4" name="ICV">
    <vt:lpwstr>645856A31BC64107A069B2FE2DD65B10_12</vt:lpwstr>
  </property>
</Properties>
</file>