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pPr>
        <w:spacing w:line="360" w:lineRule="auto"/>
        <w:ind w:firstLine="0" w:firstLineChars="0"/>
        <w:jc w:val="center"/>
        <w:rPr>
          <w:rFonts w:ascii="黑体" w:eastAsia="黑体" w:hAnsi="黑体" w:cs="黑体" w:hint="eastAsia"/>
          <w:b/>
          <w:bCs/>
          <w:color w:val="auto"/>
          <w:kern w:val="44"/>
          <w:sz w:val="28"/>
          <w:szCs w:val="28"/>
        </w:rPr>
      </w:pPr>
      <w:r>
        <w:rPr>
          <w:rFonts w:ascii="黑体" w:eastAsia="黑体" w:hAnsi="黑体" w:cs="黑体" w:hint="eastAsia"/>
          <w:b/>
          <w:bCs/>
          <w:color w:val="auto"/>
          <w:kern w:val="44"/>
          <w:sz w:val="28"/>
          <w:szCs w:val="28"/>
          <w:lang w:val="en-US" w:eastAsia="zh-CN"/>
        </w:rPr>
        <w:t>特别</w:t>
      </w:r>
      <w:r>
        <w:rPr>
          <w:rFonts w:ascii="黑体" w:eastAsia="黑体" w:hAnsi="黑体" w:cs="黑体" w:hint="eastAsia"/>
          <w:b/>
          <w:bCs/>
          <w:color w:val="auto"/>
          <w:kern w:val="44"/>
          <w:sz w:val="28"/>
          <w:szCs w:val="28"/>
        </w:rPr>
        <w:t>警示条款</w:t>
      </w:r>
    </w:p>
    <w:p>
      <w:pPr>
        <w:pStyle w:val="BodyText"/>
        <w:spacing w:line="360" w:lineRule="auto"/>
        <w:rPr>
          <w:rFonts w:asciiTheme="majorEastAsia" w:eastAsiaTheme="majorEastAsia" w:hAnsiTheme="majorEastAsia" w:cstheme="majorEastAsia" w:hint="eastAsia"/>
          <w:color w:val="auto"/>
          <w:sz w:val="21"/>
          <w:szCs w:val="21"/>
        </w:rPr>
      </w:pPr>
    </w:p>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after="240" w:afterLines="100" w:line="360" w:lineRule="auto"/>
        <w:ind w:firstLine="420" w:firstLineChars="200"/>
        <w:jc w:val="both"/>
        <w:textAlignment w:val="auto"/>
        <w:rPr>
          <w:rFonts w:asciiTheme="majorEastAsia" w:eastAsiaTheme="majorEastAsia" w:hAnsiTheme="majorEastAsia" w:cstheme="majorEastAsia" w:hint="eastAsia"/>
          <w:b/>
          <w:bCs/>
          <w:color w:val="auto"/>
          <w:sz w:val="21"/>
          <w:szCs w:val="21"/>
          <w:highlight w:val="none"/>
          <w:lang w:val="en-US" w:eastAsia="zh-CN"/>
        </w:rPr>
      </w:pPr>
      <w:r>
        <w:rPr>
          <w:rFonts w:asciiTheme="majorEastAsia" w:eastAsiaTheme="majorEastAsia" w:hAnsiTheme="majorEastAsia" w:cstheme="majorEastAsia" w:hint="eastAsia"/>
          <w:b/>
          <w:bCs/>
          <w:color w:val="auto"/>
          <w:sz w:val="21"/>
          <w:szCs w:val="21"/>
          <w:highlight w:val="none"/>
          <w:lang w:val="en-US" w:eastAsia="zh-CN"/>
        </w:rPr>
        <w:t>参与本项目政府采购活动的供应商应认真阅读以下特别警示条款，不得存在以下所列禁止情形，一旦发现，将被处以记入供应商诚信档案、罚款、取消参与政府采购资格、吊销营业执照等处罚；构成犯罪的，依法追究刑事责任。</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11"/>
        <w:gridCol w:w="771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60"/>
        </w:trPr>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序号</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b/>
                <w:bCs/>
                <w:color w:val="auto"/>
                <w:sz w:val="21"/>
                <w:szCs w:val="21"/>
                <w:highlight w:val="none"/>
                <w:lang w:val="en-US" w:eastAsia="zh-CN"/>
              </w:rPr>
              <w:t>供应商参与投标禁止情形</w:t>
            </w:r>
          </w:p>
        </w:tc>
      </w:tr>
      <w:tr>
        <w:tblPrEx>
          <w:tblW w:w="0" w:type="auto"/>
          <w:tblInd w:w="0" w:type="dxa"/>
          <w:tblCellMar>
            <w:top w:w="0" w:type="dxa"/>
            <w:left w:w="108" w:type="dxa"/>
            <w:bottom w:w="0" w:type="dxa"/>
            <w:right w:w="108" w:type="dxa"/>
          </w:tblCellMar>
        </w:tblPrEx>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1</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left"/>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与其他投标供应商的法定代表人、主要经营负责人、投标授权代表人、项目负责人、主要技术人员为</w:t>
            </w:r>
            <w:r>
              <w:rPr>
                <w:rFonts w:asciiTheme="majorEastAsia" w:eastAsiaTheme="majorEastAsia" w:hAnsiTheme="majorEastAsia" w:cstheme="majorEastAsia" w:hint="eastAsia"/>
                <w:b/>
                <w:bCs/>
                <w:color w:val="auto"/>
                <w:sz w:val="21"/>
                <w:szCs w:val="21"/>
                <w:highlight w:val="none"/>
                <w:lang w:val="en-US" w:eastAsia="zh-CN"/>
              </w:rPr>
              <w:t>同一人、属同一单位或者在同一单位缴纳社会保险</w:t>
            </w:r>
            <w:r>
              <w:rPr>
                <w:rFonts w:asciiTheme="majorEastAsia" w:eastAsiaTheme="majorEastAsia" w:hAnsiTheme="majorEastAsia" w:cstheme="majorEastAsia" w:hint="eastAsia"/>
                <w:color w:val="auto"/>
                <w:sz w:val="21"/>
                <w:szCs w:val="21"/>
                <w:highlight w:val="none"/>
                <w:lang w:val="en-US" w:eastAsia="zh-CN"/>
              </w:rPr>
              <w:t>。</w:t>
            </w:r>
          </w:p>
        </w:tc>
      </w:tr>
      <w:tr>
        <w:tblPrEx>
          <w:tblW w:w="0" w:type="auto"/>
          <w:tblInd w:w="0" w:type="dxa"/>
          <w:tblCellMar>
            <w:top w:w="0" w:type="dxa"/>
            <w:left w:w="108" w:type="dxa"/>
            <w:bottom w:w="0" w:type="dxa"/>
            <w:right w:w="108" w:type="dxa"/>
          </w:tblCellMar>
        </w:tblPrEx>
        <w:trPr>
          <w:trHeight w:val="90"/>
        </w:trPr>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2</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left"/>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参与本项目政府采购活动时，与其他投标供应商存在单位负责人为</w:t>
            </w:r>
            <w:r>
              <w:rPr>
                <w:rFonts w:asciiTheme="majorEastAsia" w:eastAsiaTheme="majorEastAsia" w:hAnsiTheme="majorEastAsia" w:cstheme="majorEastAsia" w:hint="eastAsia"/>
                <w:b/>
                <w:bCs/>
                <w:color w:val="auto"/>
                <w:sz w:val="21"/>
                <w:szCs w:val="21"/>
                <w:highlight w:val="none"/>
                <w:lang w:val="en-US" w:eastAsia="zh-CN"/>
              </w:rPr>
              <w:t>同一人或直接控股、管理关系</w:t>
            </w:r>
            <w:r>
              <w:rPr>
                <w:rFonts w:asciiTheme="majorEastAsia" w:eastAsiaTheme="majorEastAsia" w:hAnsiTheme="majorEastAsia" w:cstheme="majorEastAsia" w:hint="eastAsia"/>
                <w:color w:val="auto"/>
                <w:sz w:val="21"/>
                <w:szCs w:val="21"/>
                <w:highlight w:val="none"/>
                <w:lang w:val="en-US" w:eastAsia="zh-CN"/>
              </w:rPr>
              <w:t>。</w:t>
            </w:r>
          </w:p>
        </w:tc>
      </w:tr>
      <w:tr>
        <w:tblPrEx>
          <w:tblW w:w="0" w:type="auto"/>
          <w:tblInd w:w="0" w:type="dxa"/>
          <w:tblCellMar>
            <w:top w:w="0" w:type="dxa"/>
            <w:left w:w="108" w:type="dxa"/>
            <w:bottom w:w="0" w:type="dxa"/>
            <w:right w:w="108" w:type="dxa"/>
          </w:tblCellMar>
        </w:tblPrEx>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3</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left"/>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与其他投标供应商的投标文件或部分投标文件</w:t>
            </w:r>
            <w:r>
              <w:rPr>
                <w:rFonts w:asciiTheme="majorEastAsia" w:eastAsiaTheme="majorEastAsia" w:hAnsiTheme="majorEastAsia" w:cstheme="majorEastAsia" w:hint="eastAsia"/>
                <w:b/>
                <w:bCs/>
                <w:color w:val="auto"/>
                <w:sz w:val="21"/>
                <w:szCs w:val="21"/>
                <w:highlight w:val="none"/>
                <w:lang w:val="en-US" w:eastAsia="zh-CN"/>
              </w:rPr>
              <w:t>相互混装或存在非正常一致</w:t>
            </w:r>
            <w:r>
              <w:rPr>
                <w:rFonts w:asciiTheme="majorEastAsia" w:eastAsiaTheme="majorEastAsia" w:hAnsiTheme="majorEastAsia" w:cstheme="majorEastAsia" w:hint="eastAsia"/>
                <w:color w:val="auto"/>
                <w:sz w:val="21"/>
                <w:szCs w:val="21"/>
                <w:highlight w:val="none"/>
                <w:lang w:val="en-US" w:eastAsia="zh-CN"/>
              </w:rPr>
              <w:t>。</w:t>
            </w:r>
          </w:p>
        </w:tc>
      </w:tr>
      <w:tr>
        <w:tblPrEx>
          <w:tblW w:w="0" w:type="auto"/>
          <w:tblInd w:w="0" w:type="dxa"/>
          <w:tblCellMar>
            <w:top w:w="0" w:type="dxa"/>
            <w:left w:w="108" w:type="dxa"/>
            <w:bottom w:w="0" w:type="dxa"/>
            <w:right w:w="108" w:type="dxa"/>
          </w:tblCellMar>
        </w:tblPrEx>
        <w:trPr>
          <w:trHeight w:val="675"/>
        </w:trPr>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4</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left"/>
              <w:textAlignment w:val="auto"/>
              <w:rPr>
                <w:rFonts w:asciiTheme="majorEastAsia" w:eastAsiaTheme="majorEastAsia" w:hAnsiTheme="majorEastAsia" w:cstheme="majorEastAsia" w:hint="eastAsia"/>
                <w:color w:val="auto"/>
                <w:kern w:val="2"/>
                <w:sz w:val="21"/>
                <w:szCs w:val="21"/>
                <w:highlight w:val="none"/>
                <w:lang w:val="en-US" w:eastAsia="zh-CN" w:bidi="ar-SA"/>
              </w:rPr>
            </w:pPr>
            <w:r>
              <w:rPr>
                <w:rFonts w:asciiTheme="majorEastAsia" w:eastAsiaTheme="majorEastAsia" w:hAnsiTheme="majorEastAsia" w:cstheme="majorEastAsia" w:hint="eastAsia"/>
                <w:color w:val="auto"/>
                <w:sz w:val="21"/>
                <w:szCs w:val="21"/>
                <w:highlight w:val="none"/>
                <w:lang w:val="en-US" w:eastAsia="zh-CN"/>
              </w:rPr>
              <w:t>与其他投标供应商的投标文件由</w:t>
            </w:r>
            <w:r>
              <w:rPr>
                <w:rFonts w:asciiTheme="majorEastAsia" w:eastAsiaTheme="majorEastAsia" w:hAnsiTheme="majorEastAsia" w:cstheme="majorEastAsia" w:hint="eastAsia"/>
                <w:b/>
                <w:bCs/>
                <w:color w:val="auto"/>
                <w:sz w:val="21"/>
                <w:szCs w:val="21"/>
                <w:highlight w:val="none"/>
                <w:lang w:val="en-US" w:eastAsia="zh-CN"/>
              </w:rPr>
              <w:t>同一单位或者同一人编制</w:t>
            </w:r>
            <w:r>
              <w:rPr>
                <w:rFonts w:asciiTheme="majorEastAsia" w:eastAsiaTheme="majorEastAsia" w:hAnsiTheme="majorEastAsia" w:cstheme="majorEastAsia" w:hint="eastAsia"/>
                <w:color w:val="auto"/>
                <w:sz w:val="21"/>
                <w:szCs w:val="21"/>
                <w:highlight w:val="none"/>
                <w:lang w:val="en-US" w:eastAsia="zh-CN"/>
              </w:rPr>
              <w:t>，或者使用</w:t>
            </w:r>
            <w:r>
              <w:rPr>
                <w:rFonts w:asciiTheme="majorEastAsia" w:eastAsiaTheme="majorEastAsia" w:hAnsiTheme="majorEastAsia" w:cstheme="majorEastAsia" w:hint="eastAsia"/>
                <w:b/>
                <w:bCs/>
                <w:color w:val="auto"/>
                <w:sz w:val="21"/>
                <w:szCs w:val="21"/>
                <w:highlight w:val="none"/>
                <w:lang w:val="en-US" w:eastAsia="zh-CN"/>
              </w:rPr>
              <w:t>同一设备编制</w:t>
            </w:r>
            <w:r>
              <w:rPr>
                <w:rFonts w:asciiTheme="majorEastAsia" w:eastAsiaTheme="majorEastAsia" w:hAnsiTheme="majorEastAsia" w:cstheme="majorEastAsia" w:hint="eastAsia"/>
                <w:color w:val="auto"/>
                <w:sz w:val="21"/>
                <w:szCs w:val="21"/>
                <w:highlight w:val="none"/>
                <w:lang w:val="en-US" w:eastAsia="zh-CN"/>
              </w:rPr>
              <w:t>（“文件制作机器码”“文件创建标识码”一致）。</w:t>
            </w:r>
          </w:p>
        </w:tc>
      </w:tr>
      <w:tr>
        <w:tblPrEx>
          <w:tblW w:w="0" w:type="auto"/>
          <w:tblInd w:w="0" w:type="dxa"/>
          <w:tblCellMar>
            <w:top w:w="0" w:type="dxa"/>
            <w:left w:w="108" w:type="dxa"/>
            <w:bottom w:w="0" w:type="dxa"/>
            <w:right w:w="108" w:type="dxa"/>
          </w:tblCellMar>
        </w:tblPrEx>
        <w:trPr>
          <w:trHeight w:val="870"/>
        </w:trPr>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5</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left"/>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提供</w:t>
            </w:r>
            <w:r>
              <w:rPr>
                <w:rFonts w:asciiTheme="majorEastAsia" w:eastAsiaTheme="majorEastAsia" w:hAnsiTheme="majorEastAsia" w:cstheme="majorEastAsia" w:hint="eastAsia"/>
                <w:b/>
                <w:bCs/>
                <w:color w:val="auto"/>
                <w:sz w:val="21"/>
                <w:szCs w:val="21"/>
                <w:highlight w:val="none"/>
                <w:lang w:val="en-US" w:eastAsia="zh-CN"/>
              </w:rPr>
              <w:t>未经出具机构核实</w:t>
            </w:r>
            <w:r>
              <w:rPr>
                <w:rFonts w:asciiTheme="majorEastAsia" w:eastAsiaTheme="majorEastAsia" w:hAnsiTheme="majorEastAsia" w:cstheme="majorEastAsia" w:hint="eastAsia"/>
                <w:color w:val="auto"/>
                <w:sz w:val="21"/>
                <w:szCs w:val="21"/>
                <w:highlight w:val="none"/>
                <w:lang w:val="en-US" w:eastAsia="zh-CN"/>
              </w:rPr>
              <w:t>的虚假的检验检测报告、业绩材料、社保缴纳证明、学历学位证书、职称认证证书等材料。</w:t>
            </w:r>
          </w:p>
        </w:tc>
      </w:tr>
      <w:tr>
        <w:tblPrEx>
          <w:tblW w:w="0" w:type="auto"/>
          <w:tblInd w:w="0" w:type="dxa"/>
          <w:tblCellMar>
            <w:top w:w="0" w:type="dxa"/>
            <w:left w:w="108" w:type="dxa"/>
            <w:bottom w:w="0" w:type="dxa"/>
            <w:right w:w="108" w:type="dxa"/>
          </w:tblCellMar>
        </w:tblPrEx>
        <w:trPr>
          <w:trHeight w:val="588"/>
        </w:trPr>
        <w:tc>
          <w:tcPr>
            <w:tcW w:w="8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center"/>
              <w:textAlignment w:val="auto"/>
              <w:rPr>
                <w:rFonts w:asciiTheme="majorEastAsia" w:eastAsiaTheme="majorEastAsia" w:hAnsiTheme="majorEastAsia" w:cstheme="majorEastAsia" w:hint="eastAsia"/>
                <w:color w:val="auto"/>
                <w:sz w:val="21"/>
                <w:szCs w:val="21"/>
                <w:highlight w:val="none"/>
                <w:lang w:val="en-US" w:eastAsia="zh-CN"/>
              </w:rPr>
            </w:pPr>
            <w:r>
              <w:rPr>
                <w:rFonts w:asciiTheme="majorEastAsia" w:eastAsiaTheme="majorEastAsia" w:hAnsiTheme="majorEastAsia" w:cstheme="majorEastAsia" w:hint="eastAsia"/>
                <w:color w:val="auto"/>
                <w:sz w:val="21"/>
                <w:szCs w:val="21"/>
                <w:highlight w:val="none"/>
                <w:lang w:val="en-US" w:eastAsia="zh-CN"/>
              </w:rPr>
              <w:t>6</w:t>
            </w:r>
          </w:p>
        </w:tc>
        <w:tc>
          <w:tcPr>
            <w:tcW w:w="7711" w:type="dxa"/>
            <w:tcBorders>
              <w:tl2br w:val="nil"/>
              <w:tr2bl w:val="nil"/>
            </w:tcBorders>
            <w:noWrap w:val="0"/>
            <w:vAlign w:val="center"/>
          </w:tcPr>
          <w:p>
            <w:pPr>
              <w:keepNext w:val="0"/>
              <w:keepLines w:val="0"/>
              <w:pageBreakBefore w:val="0"/>
              <w:widowControl w:val="0"/>
              <w:pBdr>
                <w:top w:val="nil"/>
                <w:left w:val="nil"/>
                <w:bottom w:val="nil"/>
                <w:right w:val="nil"/>
                <w:between w:val="nil"/>
              </w:pBdr>
              <w:kinsoku/>
              <w:wordWrap/>
              <w:overflowPunct/>
              <w:topLinePunct w:val="0"/>
              <w:autoSpaceDE/>
              <w:autoSpaceDN/>
              <w:bidi w:val="0"/>
              <w:adjustRightInd/>
              <w:snapToGrid/>
              <w:spacing w:line="360" w:lineRule="auto"/>
              <w:jc w:val="left"/>
              <w:textAlignment w:val="auto"/>
              <w:rPr>
                <w:rFonts w:asciiTheme="majorEastAsia" w:eastAsiaTheme="majorEastAsia" w:hAnsiTheme="majorEastAsia" w:cstheme="majorEastAsia" w:hint="eastAsia"/>
                <w:color w:val="auto"/>
                <w:kern w:val="2"/>
                <w:sz w:val="21"/>
                <w:szCs w:val="21"/>
                <w:highlight w:val="none"/>
                <w:lang w:val="en-US" w:eastAsia="zh-CN" w:bidi="ar-SA"/>
              </w:rPr>
            </w:pPr>
            <w:r>
              <w:rPr>
                <w:rFonts w:asciiTheme="majorEastAsia" w:eastAsiaTheme="majorEastAsia" w:hAnsiTheme="majorEastAsia" w:cstheme="majorEastAsia" w:hint="eastAsia"/>
                <w:color w:val="auto"/>
                <w:sz w:val="21"/>
                <w:szCs w:val="21"/>
                <w:highlight w:val="none"/>
                <w:lang w:val="en-US" w:eastAsia="zh-CN"/>
              </w:rPr>
              <w:t>擅自将投标密钥</w:t>
            </w:r>
            <w:r>
              <w:rPr>
                <w:rFonts w:asciiTheme="majorEastAsia" w:eastAsiaTheme="majorEastAsia" w:hAnsiTheme="majorEastAsia" w:cstheme="majorEastAsia" w:hint="eastAsia"/>
                <w:color w:val="auto"/>
                <w:sz w:val="21"/>
                <w:szCs w:val="21"/>
                <w:highlight w:val="none"/>
                <w:lang w:eastAsia="zh-CN"/>
              </w:rPr>
              <w:t>或</w:t>
            </w:r>
            <w:r>
              <w:rPr>
                <w:rFonts w:asciiTheme="majorEastAsia" w:eastAsiaTheme="majorEastAsia" w:hAnsiTheme="majorEastAsia" w:cstheme="majorEastAsia" w:hint="eastAsia"/>
                <w:color w:val="auto"/>
                <w:sz w:val="21"/>
                <w:szCs w:val="21"/>
                <w:highlight w:val="none"/>
                <w:lang w:val="en-US" w:eastAsia="zh-CN"/>
              </w:rPr>
              <w:t>电子营业执照出借他人使用或未妥善保管。</w:t>
            </w:r>
          </w:p>
        </w:tc>
      </w:tr>
    </w:tbl>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一、</w:t>
      </w:r>
      <w:r>
        <w:rPr>
          <w:rFonts w:asciiTheme="majorEastAsia" w:eastAsiaTheme="majorEastAsia" w:hAnsiTheme="majorEastAsia" w:cstheme="majorEastAsia" w:hint="eastAsia"/>
          <w:b/>
          <w:bCs/>
          <w:color w:val="auto"/>
          <w:sz w:val="21"/>
          <w:szCs w:val="21"/>
        </w:rPr>
        <w:t>《深圳经济特区政府采购条例》第五十七条</w:t>
      </w:r>
      <w:r>
        <w:rPr>
          <w:rFonts w:asciiTheme="majorEastAsia" w:eastAsiaTheme="majorEastAsia" w:hAnsiTheme="majorEastAsia" w:cstheme="majorEastAsia" w:hint="eastAsia"/>
          <w:color w:val="auto"/>
          <w:sz w:val="21"/>
          <w:szCs w:val="21"/>
        </w:rPr>
        <w:t xml:space="preserve"> 供应商在政府采购中，有下列行为之一的，一至三年内禁止其参与本市政府采购，并由主管部门记入供应商诚信档案，处采购金额千分之十以上千分之二十以下的罚款；情节严重的，取消其参与本市政府采购资格，处采购金额千分之二十以上千分之三十以下的罚款，并由市场监管部门依法吊销其营业执照；给他人造成损失的，依法承担赔偿责任；构成犯罪的，依法追究刑事责任：</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（一）在采购活动中应当回避而未回避的；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（二）未按本条例规定签订、履行采购合同，造成严重后果的；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（三）隐瞒真实情况，提供虚假资料的；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（四）以非法手段排斥其他供应商参与竞争的；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（五）与其他采购参加人串通投标的；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（六）恶意投诉的；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（七）向采购项目相关人行贿或者提供其他不当利益的；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（八）阻碍、抗拒主管部门监督检查的；</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（九）其他违反本条例规定的行为。</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b/>
          <w:bCs/>
          <w:color w:val="auto"/>
          <w:sz w:val="21"/>
          <w:szCs w:val="21"/>
        </w:rPr>
        <w:t>二、《深圳经济特区政府采购条例实施细则》第七十五条</w:t>
      </w:r>
      <w:r>
        <w:rPr>
          <w:rFonts w:asciiTheme="majorEastAsia" w:eastAsiaTheme="majorEastAsia" w:hAnsiTheme="majorEastAsia" w:cstheme="majorEastAsia" w:hint="eastAsia"/>
          <w:b/>
          <w:bCs/>
          <w:color w:val="auto"/>
          <w:sz w:val="21"/>
          <w:szCs w:val="21"/>
          <w:lang w:val="en-US" w:eastAsia="zh-CN"/>
        </w:rPr>
        <w:t xml:space="preserve"> </w:t>
      </w:r>
      <w:r>
        <w:rPr>
          <w:rFonts w:asciiTheme="majorEastAsia" w:eastAsiaTheme="majorEastAsia" w:hAnsiTheme="majorEastAsia" w:cstheme="majorEastAsia" w:hint="eastAsia"/>
          <w:color w:val="auto"/>
          <w:sz w:val="21"/>
          <w:szCs w:val="21"/>
        </w:rPr>
        <w:t>供应商有下列情形</w:t>
      </w:r>
      <w:r>
        <w:rPr>
          <w:rFonts w:asciiTheme="majorEastAsia" w:eastAsiaTheme="majorEastAsia" w:hAnsiTheme="majorEastAsia" w:cstheme="majorEastAsia" w:hint="eastAsia"/>
          <w:color w:val="auto"/>
          <w:sz w:val="21"/>
          <w:szCs w:val="21"/>
          <w:lang w:val="en-US" w:eastAsia="zh-CN"/>
        </w:rPr>
        <w:t>之一</w:t>
      </w:r>
      <w:r>
        <w:rPr>
          <w:rFonts w:asciiTheme="majorEastAsia" w:eastAsiaTheme="majorEastAsia" w:hAnsiTheme="majorEastAsia" w:cstheme="majorEastAsia" w:hint="eastAsia"/>
          <w:color w:val="auto"/>
          <w:sz w:val="21"/>
          <w:szCs w:val="21"/>
        </w:rPr>
        <w:t>的，属于采购条例所称的串通投标行为，按照采购条例第五十七条有关规定处理：（一）投标供应商之间相互约定给予未中标的供应商利益补偿</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（二）不同投标供应商的法定代表人、主要经营负责人、项目投标授权代表人、项目负责人、主要技术人员为同一人、属同一单位或者在同一单位缴纳社会保险</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（三）不同投标供应商的投标文件由同一单位或者同一人编制，或者由同一人分阶段参与编制的</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（四）不同投标供应商的投标文件或部分投标文件相互混装</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（五）不同投标供应商的投标文件内容存在非正常一致</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（六）由同一单位工作人员为两家以上（含两家）供应商进行同一项投标活动的</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（七）主管部门依照法律、法规认定的其他情形。</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b/>
          <w:bCs/>
          <w:color w:val="auto"/>
          <w:sz w:val="21"/>
          <w:szCs w:val="21"/>
        </w:rPr>
        <w:t>三、《深圳经济特区政府采购条例实施细则》第七十七条</w:t>
      </w:r>
      <w:r>
        <w:rPr>
          <w:rFonts w:asciiTheme="majorEastAsia" w:eastAsiaTheme="majorEastAsia" w:hAnsiTheme="majorEastAsia" w:cstheme="majorEastAsia" w:hint="eastAsia"/>
          <w:b/>
          <w:bCs/>
          <w:color w:val="auto"/>
          <w:sz w:val="21"/>
          <w:szCs w:val="21"/>
          <w:lang w:val="en-US" w:eastAsia="zh-CN"/>
        </w:rPr>
        <w:t xml:space="preserve"> </w:t>
      </w:r>
      <w:r>
        <w:rPr>
          <w:rFonts w:asciiTheme="majorEastAsia" w:eastAsiaTheme="majorEastAsia" w:hAnsiTheme="majorEastAsia" w:cstheme="majorEastAsia" w:hint="eastAsia"/>
          <w:color w:val="auto"/>
          <w:sz w:val="21"/>
          <w:szCs w:val="21"/>
        </w:rPr>
        <w:t>供应商有下列情形之一的，属于隐瞒真实情况，提供虚假资料，按照采购条例第五十七</w:t>
      </w:r>
      <w:r>
        <w:rPr>
          <w:rFonts w:asciiTheme="majorEastAsia" w:eastAsiaTheme="majorEastAsia" w:hAnsiTheme="majorEastAsia" w:cstheme="majorEastAsia" w:hint="eastAsia"/>
          <w:color w:val="auto"/>
          <w:sz w:val="21"/>
          <w:szCs w:val="21"/>
          <w:lang w:val="en-US" w:eastAsia="zh-CN"/>
        </w:rPr>
        <w:t>条</w:t>
      </w:r>
      <w:r>
        <w:rPr>
          <w:rFonts w:asciiTheme="majorEastAsia" w:eastAsiaTheme="majorEastAsia" w:hAnsiTheme="majorEastAsia" w:cstheme="majorEastAsia" w:hint="eastAsia"/>
          <w:color w:val="auto"/>
          <w:sz w:val="21"/>
          <w:szCs w:val="21"/>
        </w:rPr>
        <w:t>的有关规定处理：（一）通过转让或者租借等方式从其他单位获取资格或者资质证书投标的</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（二）由其他单位或者其他单位负责人在投标供应商编制的投标文件上加盖印章或者签字的</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（三）项目负责人或者主要技术人员不是本单位人员的</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（四）投标保证金不是从投标供应商基本账户转出的</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（五）其他隐瞒真实情况、提供虚假资料的行为。</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color w:val="auto"/>
          <w:sz w:val="21"/>
          <w:szCs w:val="21"/>
        </w:rPr>
      </w:pPr>
      <w:r>
        <w:rPr>
          <w:rFonts w:asciiTheme="majorEastAsia" w:eastAsiaTheme="majorEastAsia" w:hAnsiTheme="majorEastAsia" w:cstheme="majorEastAsia" w:hint="eastAsia"/>
          <w:color w:val="auto"/>
          <w:sz w:val="21"/>
          <w:szCs w:val="21"/>
        </w:rPr>
        <w:t>投标供应商不能提供项目负责人或者主要技术人员的劳动合同、社会保险等劳动关系证明材料的，视为存在前款第（三）项规定的情形。</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b w:val="0"/>
          <w:bCs/>
          <w:color w:val="auto"/>
          <w:sz w:val="21"/>
          <w:szCs w:val="21"/>
          <w:lang w:val="en-US" w:eastAsia="zh-CN"/>
        </w:rPr>
      </w:pPr>
      <w:r>
        <w:rPr>
          <w:rFonts w:asciiTheme="majorEastAsia" w:eastAsiaTheme="majorEastAsia" w:hAnsiTheme="majorEastAsia" w:cstheme="majorEastAsia" w:hint="eastAsia"/>
          <w:b w:val="0"/>
          <w:bCs/>
          <w:color w:val="auto"/>
          <w:sz w:val="21"/>
          <w:szCs w:val="21"/>
          <w:lang w:val="en-US" w:eastAsia="zh-CN"/>
        </w:rPr>
        <w:t>四、供应商在使用深圳政府采购智慧平台的投标文件制作工具创建投标文件时，该工具将自动在投标文件中记录文件创建标识码，同时提取投标文件制作电脑的网卡MAC地址、硬盘序列号、CPU序列号、主板序列号和工具标识号，经加密生成文件制作机器码并在投标文件中记录。文件制作机器码一致表明不同供应商使用了同一设备编制投标文件，文件创建标识码一致表明不同供应商的投标文件为同一份文件，IP地址一致表明上传投标文件时使用了相同的网络。</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b w:val="0"/>
          <w:bCs/>
          <w:color w:val="auto"/>
          <w:sz w:val="21"/>
          <w:szCs w:val="21"/>
          <w:lang w:val="en-US" w:eastAsia="zh-CN"/>
        </w:rPr>
      </w:pPr>
      <w:r>
        <w:rPr>
          <w:rFonts w:asciiTheme="majorEastAsia" w:eastAsiaTheme="majorEastAsia" w:hAnsiTheme="majorEastAsia" w:cstheme="majorEastAsia" w:hint="eastAsia"/>
          <w:b w:val="0"/>
          <w:bCs/>
          <w:color w:val="auto"/>
          <w:sz w:val="21"/>
          <w:szCs w:val="21"/>
          <w:lang w:val="en-US" w:eastAsia="zh-CN"/>
        </w:rPr>
        <w:t>为避免出现不同供应商投标文件的文件制作机器码、文件创建标识码、IP地址一致的异常情况，建议各供应商编制、上传投标文件时不要使用公共电脑设备或公共网络。</w:t>
      </w:r>
    </w:p>
    <w:p>
      <w:pPr>
        <w:keepNext w:val="0"/>
        <w:keepLines w:val="0"/>
        <w:pageBreakBefore w:val="0"/>
        <w:pBdr>
          <w:top w:val="nil"/>
          <w:left w:val="nil"/>
          <w:bottom w:val="nil"/>
          <w:right w:val="nil"/>
          <w:between w:val="nil"/>
        </w:pBdr>
        <w:kinsoku/>
        <w:wordWrap/>
        <w:overflowPunct/>
        <w:topLinePunct w:val="0"/>
        <w:autoSpaceDE/>
        <w:autoSpaceDN/>
        <w:bidi w:val="0"/>
        <w:adjustRightInd/>
        <w:snapToGrid/>
        <w:spacing w:line="360" w:lineRule="auto"/>
        <w:ind w:firstLine="420" w:firstLineChars="200"/>
        <w:textAlignment w:val="auto"/>
        <w:rPr>
          <w:rFonts w:asciiTheme="majorEastAsia" w:eastAsiaTheme="majorEastAsia" w:hAnsiTheme="majorEastAsia" w:cstheme="majorEastAsia" w:hint="eastAsia"/>
          <w:b w:val="0"/>
          <w:bCs/>
          <w:color w:val="auto"/>
          <w:sz w:val="21"/>
          <w:szCs w:val="21"/>
          <w:lang w:val="en-US" w:eastAsia="zh-CN"/>
        </w:rPr>
      </w:pPr>
      <w:r>
        <w:rPr>
          <w:rFonts w:asciiTheme="majorEastAsia" w:eastAsiaTheme="majorEastAsia" w:hAnsiTheme="majorEastAsia" w:cstheme="majorEastAsia" w:hint="eastAsia"/>
          <w:b w:val="0"/>
          <w:bCs/>
          <w:color w:val="auto"/>
          <w:sz w:val="21"/>
          <w:szCs w:val="21"/>
          <w:lang w:val="en-US" w:eastAsia="zh-CN"/>
        </w:rPr>
        <w:t>根据《深圳经济特区政府采购条例实施细则》第七十五条规定，不同投标供应商的投标文件由同一单位或者同一人编制，或者由同一人分阶段参与编制的，或者由同一单位工作人员为两家以上（含两家）供应商进行同一项投标活动的，属于串通投标行为。一经查实，供应商将面临罚款、一定年限内禁止参与政府采购活动、</w:t>
      </w:r>
      <w:r>
        <w:rPr>
          <w:rFonts w:asciiTheme="majorEastAsia" w:eastAsiaTheme="majorEastAsia" w:hAnsiTheme="majorEastAsia" w:cstheme="majorEastAsia" w:hint="eastAsia"/>
          <w:color w:val="auto"/>
          <w:sz w:val="21"/>
          <w:szCs w:val="21"/>
        </w:rPr>
        <w:t>取消参与本市政府采购资格</w:t>
      </w:r>
      <w:r>
        <w:rPr>
          <w:rFonts w:asciiTheme="majorEastAsia" w:eastAsiaTheme="majorEastAsia" w:hAnsiTheme="majorEastAsia" w:cstheme="majorEastAsia" w:hint="eastAsia"/>
          <w:color w:val="auto"/>
          <w:sz w:val="21"/>
          <w:szCs w:val="21"/>
          <w:lang w:eastAsia="zh-CN"/>
        </w:rPr>
        <w:t>、</w:t>
      </w:r>
      <w:r>
        <w:rPr>
          <w:rFonts w:asciiTheme="majorEastAsia" w:eastAsiaTheme="majorEastAsia" w:hAnsiTheme="majorEastAsia" w:cstheme="majorEastAsia" w:hint="eastAsia"/>
          <w:color w:val="auto"/>
          <w:sz w:val="21"/>
          <w:szCs w:val="21"/>
        </w:rPr>
        <w:t>依法吊销其营业</w:t>
      </w:r>
      <w:r>
        <w:rPr>
          <w:rFonts w:asciiTheme="majorEastAsia" w:eastAsiaTheme="majorEastAsia" w:hAnsiTheme="majorEastAsia" w:cstheme="majorEastAsia" w:hint="eastAsia"/>
          <w:color w:val="auto"/>
          <w:sz w:val="21"/>
          <w:szCs w:val="21"/>
          <w:lang w:val="en-US" w:eastAsia="zh-CN"/>
        </w:rPr>
        <w:t>执照等行政处罚，</w:t>
      </w:r>
      <w:r>
        <w:rPr>
          <w:rFonts w:asciiTheme="majorEastAsia" w:eastAsiaTheme="majorEastAsia" w:hAnsiTheme="majorEastAsia" w:cstheme="majorEastAsia" w:hint="eastAsia"/>
          <w:color w:val="auto"/>
          <w:sz w:val="21"/>
          <w:szCs w:val="21"/>
        </w:rPr>
        <w:t>构成犯罪的，依法追究刑事责任</w:t>
      </w:r>
      <w:r>
        <w:rPr>
          <w:rFonts w:asciiTheme="majorEastAsia" w:eastAsiaTheme="majorEastAsia" w:hAnsiTheme="majorEastAsia" w:cstheme="majorEastAsia" w:hint="eastAsia"/>
          <w:b w:val="0"/>
          <w:bCs/>
          <w:color w:val="auto"/>
          <w:sz w:val="21"/>
          <w:szCs w:val="21"/>
          <w:lang w:val="en-US" w:eastAsia="zh-CN"/>
        </w:rPr>
        <w:t>，请各供应商独立编制、上传投标文件，妥善保管和使用电子</w:t>
      </w:r>
      <w:r>
        <w:rPr>
          <w:rFonts w:asciiTheme="majorEastAsia" w:eastAsiaTheme="majorEastAsia" w:hAnsiTheme="majorEastAsia" w:cstheme="majorEastAsia" w:hint="eastAsia"/>
          <w:b w:val="0"/>
          <w:bCs/>
          <w:color w:val="auto"/>
          <w:sz w:val="21"/>
          <w:szCs w:val="21"/>
          <w:highlight w:val="none"/>
          <w:lang w:val="en-US" w:eastAsia="zh-CN"/>
        </w:rPr>
        <w:t>密钥。</w:t>
      </w:r>
    </w:p>
    <w:p>
      <w:pPr>
        <w:widowControl/>
        <w:pBdr>
          <w:top w:val="nil"/>
          <w:left w:val="nil"/>
          <w:bottom w:val="nil"/>
          <w:right w:val="nil"/>
          <w:between w:val="nil"/>
        </w:pBdr>
        <w:spacing w:beforeAutospacing="0" w:afterAutospacing="0" w:line="360" w:lineRule="auto"/>
        <w:ind w:firstLine="0" w:firstLineChars="0"/>
        <w:jc w:val="left"/>
        <w:outlineLvl w:val="9"/>
        <w:rPr>
          <w:rFonts w:asciiTheme="majorEastAsia" w:eastAsiaTheme="majorEastAsia" w:hAnsiTheme="majorEastAsia" w:cstheme="majorEastAsia" w:hint="eastAsia"/>
          <w:b/>
          <w:color w:val="auto"/>
          <w:szCs w:val="21"/>
        </w:rPr>
      </w:pPr>
      <w:r>
        <w:rPr>
          <w:rFonts w:asciiTheme="majorEastAsia" w:eastAsiaTheme="majorEastAsia" w:hAnsiTheme="majorEastAsia" w:cstheme="majorEastAsia" w:hint="eastAsia"/>
          <w:b/>
          <w:color w:val="auto"/>
          <w:szCs w:val="21"/>
          <w:lang w:val="en-US" w:eastAsia="zh-CN"/>
        </w:rPr>
        <w:t>五</w:t>
      </w:r>
      <w:r>
        <w:rPr>
          <w:rFonts w:asciiTheme="majorEastAsia" w:eastAsiaTheme="majorEastAsia" w:hAnsiTheme="majorEastAsia" w:cstheme="majorEastAsia" w:hint="eastAsia"/>
          <w:b/>
          <w:color w:val="auto"/>
          <w:szCs w:val="21"/>
        </w:rPr>
        <w:t>、请投标供应商阅读《政府采购违法行为风险知悉确认书》（内容详见“投标文件附件（信息不公开部分）”中节点“投标人认为需要加以说明的其他内容（格式自定）”），并经各投标供应商负责人签字并加盖单位公章后，扫描上传至投标文件一并提交</w:t>
      </w:r>
    </w:p>
    <w:p>
      <w:pPr>
        <w:widowControl/>
        <w:pBdr>
          <w:top w:val="nil"/>
          <w:left w:val="nil"/>
          <w:bottom w:val="nil"/>
          <w:right w:val="nil"/>
          <w:between w:val="nil"/>
        </w:pBdr>
        <w:spacing w:beforeAutospacing="0" w:afterAutospacing="0" w:line="360" w:lineRule="auto"/>
        <w:ind w:firstLine="0" w:firstLineChars="0"/>
        <w:jc w:val="left"/>
        <w:outlineLvl w:val="9"/>
        <w:rPr>
          <w:rFonts w:asciiTheme="majorEastAsia" w:eastAsiaTheme="majorEastAsia" w:hAnsiTheme="majorEastAsia" w:cstheme="majorEastAsia" w:hint="eastAsia"/>
          <w:b/>
          <w:color w:val="auto"/>
          <w:kern w:val="2"/>
          <w:sz w:val="21"/>
          <w:szCs w:val="21"/>
          <w:lang w:val="en-US" w:eastAsia="zh-CN" w:bidi="ar-SA"/>
        </w:rPr>
      </w:pPr>
    </w:p>
    <w:p>
      <w:pPr>
        <w:widowControl/>
        <w:pBdr>
          <w:top w:val="nil"/>
          <w:left w:val="nil"/>
          <w:bottom w:val="nil"/>
          <w:right w:val="nil"/>
          <w:between w:val="nil"/>
        </w:pBdr>
        <w:spacing w:beforeAutospacing="0" w:afterAutospacing="0" w:line="360" w:lineRule="auto"/>
        <w:ind w:firstLine="0" w:firstLineChars="0"/>
        <w:jc w:val="left"/>
        <w:outlineLvl w:val="9"/>
        <w:rPr>
          <w:rFonts w:asciiTheme="majorEastAsia" w:eastAsiaTheme="majorEastAsia" w:hAnsiTheme="majorEastAsia" w:cstheme="majorEastAsia" w:hint="eastAsia"/>
          <w:b/>
          <w:color w:val="auto"/>
          <w:kern w:val="2"/>
          <w:sz w:val="21"/>
          <w:szCs w:val="21"/>
          <w:lang w:val="en-US" w:eastAsia="zh-CN" w:bidi="ar-SA"/>
        </w:rPr>
      </w:pPr>
      <w:r>
        <w:rPr>
          <w:rFonts w:asciiTheme="majorEastAsia" w:eastAsiaTheme="majorEastAsia" w:hAnsiTheme="majorEastAsia" w:cstheme="majorEastAsia" w:hint="eastAsia"/>
          <w:b/>
          <w:color w:val="auto"/>
          <w:kern w:val="2"/>
          <w:sz w:val="21"/>
          <w:szCs w:val="21"/>
          <w:lang w:val="en-US" w:eastAsia="zh-CN" w:bidi="ar-SA"/>
        </w:rPr>
        <w:t>注：“特别警示条款”和《政府采购违法行为风险知悉确认书》用于对供应商违法行为的提醒，不作为供应商资格性审查及符合性审查条件。</w:t>
      </w:r>
    </w:p>
    <w:p>
      <w:pPr>
        <w:widowControl/>
        <w:pBdr>
          <w:top w:val="nil"/>
          <w:left w:val="nil"/>
          <w:bottom w:val="nil"/>
          <w:right w:val="nil"/>
          <w:between w:val="nil"/>
        </w:pBdr>
        <w:spacing w:beforeAutospacing="0" w:afterAutospacing="0" w:line="240" w:lineRule="auto"/>
        <w:ind w:firstLine="0" w:firstLineChars="0"/>
        <w:jc w:val="left"/>
        <w:outlineLvl w:val="9"/>
        <w:rPr>
          <w:rFonts w:asciiTheme="majorEastAsia" w:eastAsiaTheme="majorEastAsia" w:hAnsiTheme="majorEastAsia" w:cstheme="majorEastAsia" w:hint="eastAsia"/>
          <w:b/>
          <w:color w:val="auto"/>
          <w:kern w:val="2"/>
          <w:sz w:val="21"/>
          <w:szCs w:val="21"/>
          <w:lang w:val="en-US" w:eastAsia="zh-CN" w:bidi="ar-SA"/>
        </w:rPr>
      </w:pPr>
      <w:r>
        <w:rPr>
          <w:rFonts w:asciiTheme="majorEastAsia" w:eastAsiaTheme="majorEastAsia" w:hAnsiTheme="majorEastAsia" w:cstheme="majorEastAsia" w:hint="eastAsia"/>
          <w:b/>
          <w:color w:val="auto"/>
          <w:kern w:val="2"/>
          <w:sz w:val="21"/>
          <w:szCs w:val="21"/>
          <w:lang w:val="en-US" w:eastAsia="zh-CN" w:bidi="ar-SA"/>
        </w:rPr>
        <w:br w:type="page"/>
      </w:r>
    </w:p>
    <w:p>
      <w:pPr>
        <w:widowControl/>
        <w:pBdr>
          <w:top w:val="nil"/>
          <w:left w:val="nil"/>
          <w:bottom w:val="nil"/>
          <w:right w:val="nil"/>
          <w:between w:val="nil"/>
        </w:pBdr>
        <w:spacing w:beforeAutospacing="0" w:afterAutospacing="0" w:line="360" w:lineRule="auto"/>
        <w:ind w:firstLine="0" w:firstLineChars="0"/>
        <w:jc w:val="center"/>
        <w:outlineLvl w:val="9"/>
        <w:rPr>
          <w:rFonts w:ascii="黑体" w:eastAsia="黑体" w:hAnsi="宋体" w:cs="黑体"/>
          <w:kern w:val="0"/>
          <w:sz w:val="40"/>
          <w:szCs w:val="40"/>
        </w:rPr>
      </w:pPr>
      <w:r>
        <w:rPr>
          <w:rFonts w:ascii="黑体" w:eastAsia="黑体" w:hAnsi="宋体" w:cs="黑体" w:hint="eastAsia"/>
          <w:kern w:val="0"/>
          <w:sz w:val="40"/>
          <w:szCs w:val="40"/>
        </w:rPr>
        <w:t>招标文件信息</w:t>
      </w:r>
    </w:p>
    <w:tbl>
      <w:tblPr>
        <w:tblStyle w:val="TableNormal"/>
        <w:tblW w:w="7943" w:type="dxa"/>
        <w:jc w:val="center"/>
        <w:tblCellSpacing w:w="0" w:type="dxa"/>
        <w:tblLayout w:type="fixed"/>
        <w:tblCellMar>
          <w:top w:w="45" w:type="dxa"/>
          <w:left w:w="45" w:type="dxa"/>
          <w:bottom w:w="45" w:type="dxa"/>
          <w:right w:w="45" w:type="dxa"/>
        </w:tblCellMar>
      </w:tblPr>
      <w:tblGrid>
        <w:gridCol w:w="2723"/>
        <w:gridCol w:w="5220"/>
      </w:tblGrid>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项目编号：</w:t>
            </w:r>
          </w:p>
        </w:tc>
        <w:tc>
          <w:tcPr>
            <w:tcW w:w="5220" w:type="dxa"/>
            <w:shd w:val="clear" w:color="auto" w:fill="auto"/>
            <w:vAlign w:val="center"/>
          </w:tcPr>
          <w:p>
            <w:pPr>
              <w:widowControl/>
              <w:jc w:val="left"/>
              <w:rPr>
                <w:rFonts w:eastAsia="宋体" w:hint="eastAsia"/>
                <w:sz w:val="30"/>
                <w:szCs w:val="30"/>
                <w:lang w:val="en-US" w:eastAsia="zh-CN"/>
              </w:rPr>
            </w:pPr>
            <w:r>
              <w:rPr>
                <w:rFonts w:hint="eastAsia"/>
                <w:sz w:val="30"/>
                <w:szCs w:val="30"/>
              </w:rPr>
              <w:t>LGCG202500034</w:t>
            </w:r>
            <w:r>
              <w:rPr>
                <w:rFonts w:hint="eastAsia"/>
                <w:sz w:val="30"/>
                <w:szCs w:val="30"/>
                <w:lang w:val="en-US" w:eastAsia="zh-CN"/>
              </w:rPr>
              <w:t>5</w:t>
            </w:r>
          </w:p>
        </w:tc>
      </w:tr>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项目名称：</w:t>
            </w:r>
          </w:p>
        </w:tc>
        <w:tc>
          <w:tcPr>
            <w:tcW w:w="5220" w:type="dxa"/>
            <w:shd w:val="clear" w:color="auto" w:fill="auto"/>
            <w:vAlign w:val="center"/>
          </w:tcPr>
          <w:p>
            <w:pPr>
              <w:widowControl/>
              <w:jc w:val="left"/>
              <w:rPr>
                <w:sz w:val="30"/>
                <w:szCs w:val="30"/>
              </w:rPr>
            </w:pPr>
            <w:r>
              <w:rPr>
                <w:rFonts w:ascii="宋体" w:hAnsi="宋体" w:cs="宋体" w:hint="eastAsia"/>
                <w:kern w:val="0"/>
                <w:sz w:val="30"/>
                <w:szCs w:val="30"/>
              </w:rPr>
              <w:t>深圳市龙岗区人民医院物业管理服务</w:t>
            </w:r>
          </w:p>
        </w:tc>
      </w:tr>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包 号：</w:t>
            </w:r>
          </w:p>
        </w:tc>
        <w:tc>
          <w:tcPr>
            <w:tcW w:w="5220" w:type="dxa"/>
            <w:shd w:val="clear" w:color="auto" w:fill="auto"/>
            <w:vAlign w:val="center"/>
          </w:tcPr>
          <w:p>
            <w:pPr>
              <w:widowControl/>
              <w:jc w:val="left"/>
              <w:rPr>
                <w:sz w:val="30"/>
                <w:szCs w:val="30"/>
              </w:rPr>
            </w:pPr>
            <w:r>
              <w:rPr>
                <w:rFonts w:ascii="宋体" w:hAnsi="宋体" w:cs="宋体"/>
                <w:kern w:val="0"/>
                <w:sz w:val="30"/>
                <w:szCs w:val="30"/>
              </w:rPr>
              <w:t>A</w:t>
            </w:r>
          </w:p>
        </w:tc>
      </w:tr>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项目类型：</w:t>
            </w:r>
          </w:p>
        </w:tc>
        <w:tc>
          <w:tcPr>
            <w:tcW w:w="5220" w:type="dxa"/>
            <w:shd w:val="clear" w:color="auto" w:fill="auto"/>
            <w:vAlign w:val="center"/>
          </w:tcPr>
          <w:p>
            <w:pPr>
              <w:widowControl/>
              <w:jc w:val="left"/>
              <w:rPr>
                <w:sz w:val="30"/>
                <w:szCs w:val="30"/>
              </w:rPr>
            </w:pPr>
            <w:r>
              <w:rPr>
                <w:rFonts w:ascii="宋体" w:hAnsi="宋体" w:cs="宋体" w:hint="eastAsia"/>
                <w:kern w:val="0"/>
                <w:sz w:val="30"/>
                <w:szCs w:val="30"/>
              </w:rPr>
              <w:t>服务</w:t>
            </w:r>
            <w:r>
              <w:rPr>
                <w:rFonts w:ascii="宋体" w:hAnsi="宋体" w:cs="宋体"/>
                <w:kern w:val="0"/>
                <w:sz w:val="30"/>
                <w:szCs w:val="30"/>
              </w:rPr>
              <w:t>类</w:t>
            </w:r>
          </w:p>
        </w:tc>
      </w:tr>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采购方式：</w:t>
            </w:r>
          </w:p>
        </w:tc>
        <w:tc>
          <w:tcPr>
            <w:tcW w:w="5220" w:type="dxa"/>
            <w:shd w:val="clear" w:color="auto" w:fill="auto"/>
            <w:vAlign w:val="center"/>
          </w:tcPr>
          <w:p>
            <w:pPr>
              <w:widowControl/>
              <w:jc w:val="left"/>
              <w:rPr>
                <w:sz w:val="30"/>
                <w:szCs w:val="30"/>
              </w:rPr>
            </w:pPr>
            <w:r>
              <w:rPr>
                <w:rFonts w:ascii="宋体" w:hAnsi="宋体" w:cs="宋体"/>
                <w:kern w:val="0"/>
                <w:sz w:val="30"/>
                <w:szCs w:val="30"/>
              </w:rPr>
              <w:t>公开招标</w:t>
            </w:r>
          </w:p>
        </w:tc>
      </w:tr>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货币类型：</w:t>
            </w:r>
          </w:p>
        </w:tc>
        <w:tc>
          <w:tcPr>
            <w:tcW w:w="5220" w:type="dxa"/>
            <w:shd w:val="clear" w:color="auto" w:fill="auto"/>
            <w:vAlign w:val="center"/>
          </w:tcPr>
          <w:p>
            <w:pPr>
              <w:widowControl/>
              <w:jc w:val="left"/>
              <w:rPr>
                <w:sz w:val="30"/>
                <w:szCs w:val="30"/>
              </w:rPr>
            </w:pPr>
            <w:r>
              <w:rPr>
                <w:rFonts w:ascii="宋体" w:hAnsi="宋体" w:cs="宋体"/>
                <w:kern w:val="0"/>
                <w:sz w:val="30"/>
                <w:szCs w:val="30"/>
              </w:rPr>
              <w:t>人民币</w:t>
            </w:r>
          </w:p>
        </w:tc>
      </w:tr>
      <w:tr>
        <w:tblPrEx>
          <w:tblW w:w="7943" w:type="dxa"/>
          <w:jc w:val="center"/>
          <w:tblCellSpacing w:w="0" w:type="dxa"/>
          <w:tblLayout w:type="fixed"/>
          <w:tblCellMar>
            <w:top w:w="45" w:type="dxa"/>
            <w:left w:w="45" w:type="dxa"/>
            <w:bottom w:w="45" w:type="dxa"/>
            <w:right w:w="45" w:type="dxa"/>
          </w:tblCellMar>
        </w:tblPrEx>
        <w:trPr>
          <w:trHeight w:val="738"/>
          <w:tblCellSpacing w:w="0" w:type="dxa"/>
          <w:jc w:val="center"/>
        </w:trPr>
        <w:tc>
          <w:tcPr>
            <w:tcW w:w="2723" w:type="dxa"/>
            <w:shd w:val="clear" w:color="auto" w:fill="auto"/>
            <w:vAlign w:val="center"/>
          </w:tcPr>
          <w:p>
            <w:pPr>
              <w:widowControl/>
              <w:jc w:val="right"/>
              <w:rPr>
                <w:sz w:val="30"/>
                <w:szCs w:val="30"/>
              </w:rPr>
            </w:pPr>
            <w:r>
              <w:rPr>
                <w:rFonts w:ascii="宋体" w:hAnsi="宋体" w:cs="宋体"/>
                <w:kern w:val="0"/>
                <w:sz w:val="30"/>
                <w:szCs w:val="30"/>
              </w:rPr>
              <w:t>评标方法：</w:t>
            </w:r>
          </w:p>
        </w:tc>
        <w:tc>
          <w:tcPr>
            <w:tcW w:w="5220" w:type="dxa"/>
            <w:shd w:val="clear" w:color="auto" w:fill="auto"/>
            <w:vAlign w:val="center"/>
          </w:tcPr>
          <w:p>
            <w:pPr>
              <w:widowControl/>
              <w:jc w:val="left"/>
              <w:rPr>
                <w:sz w:val="30"/>
                <w:szCs w:val="30"/>
              </w:rPr>
            </w:pPr>
            <w:r>
              <w:rPr>
                <w:rFonts w:ascii="宋体" w:hAnsi="宋体" w:cs="宋体"/>
                <w:kern w:val="0"/>
                <w:sz w:val="30"/>
                <w:szCs w:val="30"/>
              </w:rPr>
              <w:t>综合评分法</w:t>
            </w:r>
          </w:p>
        </w:tc>
      </w:tr>
    </w:tbl>
    <w:p>
      <w:pPr>
        <w:pStyle w:val="NormalWeb"/>
        <w:jc w:val="center"/>
        <w:outlineLvl w:val="1"/>
        <w:rPr>
          <w:rFonts w:ascii="黑体" w:eastAsia="黑体" w:hAnsi="黑体" w:hint="eastAsia"/>
          <w:sz w:val="40"/>
          <w:szCs w:val="40"/>
        </w:rPr>
      </w:pPr>
    </w:p>
    <w:p>
      <w:pPr>
        <w:pStyle w:val="NormalWeb"/>
        <w:jc w:val="center"/>
        <w:outlineLvl w:val="1"/>
        <w:rPr>
          <w:rFonts w:ascii="黑体" w:eastAsia="黑体" w:hAnsi="黑体" w:hint="eastAsia"/>
          <w:sz w:val="40"/>
          <w:szCs w:val="40"/>
        </w:rPr>
        <w:sectPr>
          <w:footerReference w:type="default" r:id="rId4"/>
          <w:headerReference w:type="first" r:id="rId5"/>
          <w:pgSz w:w="11907" w:h="16840"/>
          <w:pgMar w:top="1440" w:right="1417" w:bottom="1440" w:left="1417" w:header="851" w:footer="992" w:gutter="0"/>
          <w:cols w:num="1" w:space="425"/>
          <w:titlePg/>
          <w:docGrid w:linePitch="462" w:charSpace="0"/>
        </w:sectPr>
      </w:pPr>
    </w:p>
    <w:p>
      <w:pPr>
        <w:pStyle w:val="NormalWeb"/>
        <w:jc w:val="center"/>
        <w:outlineLvl w:val="1"/>
        <w:rPr>
          <w:rFonts w:ascii="黑体" w:eastAsia="黑体" w:hAnsi="黑体"/>
          <w:sz w:val="40"/>
          <w:szCs w:val="40"/>
        </w:rPr>
      </w:pPr>
      <w:r>
        <w:rPr>
          <w:rFonts w:ascii="黑体" w:eastAsia="黑体" w:hAnsi="黑体" w:hint="eastAsia"/>
          <w:sz w:val="40"/>
          <w:szCs w:val="40"/>
        </w:rPr>
        <w:t>资格性审查表</w:t>
      </w:r>
    </w:p>
    <w:tbl>
      <w:tblPr>
        <w:tblStyle w:val="TableNormal"/>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0" w:type="dxa"/>
          <w:left w:w="108" w:type="dxa"/>
          <w:bottom w:w="20" w:type="dxa"/>
          <w:right w:w="108" w:type="dxa"/>
        </w:tblCellMar>
      </w:tblPr>
      <w:tblGrid>
        <w:gridCol w:w="794"/>
        <w:gridCol w:w="8278"/>
      </w:tblGrid>
      <w:tr>
        <w:tblPrEx>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shd w:val="clear" w:color="auto" w:fill="E6EFFA"/>
            <w:vAlign w:val="center"/>
          </w:tcPr>
          <w:p>
            <w:pPr>
              <w:spacing w:line="360" w:lineRule="auto"/>
              <w:jc w:val="center"/>
              <w:rPr>
                <w:rFonts w:ascii="宋体" w:hAnsi="宋体" w:cs="宋体"/>
                <w:sz w:val="28"/>
                <w:szCs w:val="28"/>
              </w:rPr>
            </w:pPr>
            <w:r>
              <w:rPr>
                <w:sz w:val="28"/>
                <w:szCs w:val="28"/>
              </w:rPr>
              <w:t>序号</w:t>
            </w:r>
          </w:p>
        </w:tc>
        <w:tc>
          <w:tcPr>
            <w:tcW w:w="8278" w:type="dxa"/>
            <w:tcBorders>
              <w:top w:val="single" w:sz="8" w:space="0" w:color="000000"/>
              <w:left w:val="single" w:sz="8" w:space="0" w:color="000000"/>
              <w:bottom w:val="single" w:sz="8" w:space="0" w:color="000000"/>
              <w:right w:val="single" w:sz="8" w:space="0" w:color="000000"/>
            </w:tcBorders>
            <w:shd w:val="clear" w:color="auto" w:fill="E6EFFA"/>
            <w:vAlign w:val="center"/>
          </w:tcPr>
          <w:p>
            <w:pPr>
              <w:spacing w:line="360" w:lineRule="auto"/>
              <w:jc w:val="center"/>
              <w:rPr>
                <w:rFonts w:ascii="宋体" w:hAnsi="宋体" w:cs="宋体"/>
                <w:sz w:val="28"/>
                <w:szCs w:val="28"/>
              </w:rPr>
            </w:pPr>
            <w:r>
              <w:rPr>
                <w:sz w:val="28"/>
                <w:szCs w:val="28"/>
              </w:rPr>
              <w:t>内容</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vAlign w:val="center"/>
          </w:tcPr>
          <w:p>
            <w:pPr>
              <w:spacing w:line="360" w:lineRule="auto"/>
              <w:jc w:val="center"/>
              <w:rPr>
                <w:rFonts w:ascii="宋体" w:hAnsi="宋体" w:cs="宋体"/>
                <w:szCs w:val="21"/>
              </w:rPr>
            </w:pPr>
            <w:r>
              <w:rPr>
                <w:szCs w:val="21"/>
              </w:rPr>
              <w:t>1</w:t>
            </w:r>
          </w:p>
        </w:tc>
        <w:tc>
          <w:tcPr>
            <w:tcW w:w="8278" w:type="dxa"/>
            <w:tcBorders>
              <w:top w:val="single" w:sz="8" w:space="0" w:color="000000"/>
              <w:left w:val="single" w:sz="8" w:space="0" w:color="000000"/>
              <w:bottom w:val="single" w:sz="8" w:space="0" w:color="000000"/>
              <w:right w:val="single" w:sz="8" w:space="0" w:color="000000"/>
            </w:tcBorders>
            <w:vAlign w:val="center"/>
          </w:tcPr>
          <w:p>
            <w:pPr>
              <w:spacing w:line="360" w:lineRule="auto"/>
              <w:rPr>
                <w:rFonts w:ascii="宋体" w:hAnsi="宋体" w:cs="宋体"/>
                <w:szCs w:val="21"/>
              </w:rPr>
            </w:pPr>
            <w:r>
              <w:rPr>
                <w:rFonts w:ascii="宋体" w:hAnsi="宋体" w:cs="宋体"/>
                <w:kern w:val="0"/>
                <w:szCs w:val="21"/>
              </w:rPr>
              <w:t>投标人不</w:t>
            </w:r>
            <w:r>
              <w:rPr>
                <w:rFonts w:ascii="宋体" w:hAnsi="宋体" w:cs="宋体" w:hint="eastAsia"/>
                <w:kern w:val="0"/>
                <w:szCs w:val="21"/>
              </w:rPr>
              <w:t>符合</w:t>
            </w:r>
            <w:r>
              <w:rPr>
                <w:rFonts w:ascii="宋体" w:hAnsi="宋体" w:cs="宋体"/>
                <w:kern w:val="0"/>
                <w:szCs w:val="21"/>
              </w:rPr>
              <w:t>资格要求，或未提交相应的资格证明资料（详见招标公告</w:t>
            </w:r>
            <w:r>
              <w:rPr>
                <w:rFonts w:ascii="宋体" w:hAnsi="宋体" w:hint="eastAsia"/>
                <w:szCs w:val="21"/>
              </w:rPr>
              <w:t>投标人资格要求，即申请人的资格要求</w:t>
            </w:r>
            <w:r>
              <w:rPr>
                <w:rFonts w:ascii="宋体" w:hAnsi="宋体" w:cs="宋体"/>
                <w:kern w:val="0"/>
                <w:szCs w:val="21"/>
              </w:rPr>
              <w:t>）</w:t>
            </w:r>
          </w:p>
        </w:tc>
      </w:tr>
    </w:tbl>
    <w:p>
      <w:pPr>
        <w:pStyle w:val="NormalWeb"/>
        <w:spacing w:before="280"/>
        <w:jc w:val="center"/>
        <w:outlineLvl w:val="1"/>
        <w:rPr>
          <w:rFonts w:ascii="黑体" w:eastAsia="黑体" w:hAnsi="黑体"/>
          <w:sz w:val="40"/>
          <w:szCs w:val="40"/>
        </w:rPr>
      </w:pPr>
      <w:r>
        <w:rPr>
          <w:rFonts w:ascii="黑体" w:eastAsia="黑体" w:hAnsi="黑体" w:hint="eastAsia"/>
          <w:sz w:val="40"/>
          <w:szCs w:val="40"/>
        </w:rPr>
        <w:t>符合性审查表</w:t>
      </w:r>
    </w:p>
    <w:tbl>
      <w:tblPr>
        <w:tblStyle w:val="TableNormal"/>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0" w:type="dxa"/>
          <w:left w:w="108" w:type="dxa"/>
          <w:bottom w:w="20" w:type="dxa"/>
          <w:right w:w="108" w:type="dxa"/>
        </w:tblCellMar>
      </w:tblPr>
      <w:tblGrid>
        <w:gridCol w:w="794"/>
        <w:gridCol w:w="8278"/>
      </w:tblGrid>
      <w:tr>
        <w:tblPrEx>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shd w:val="clear" w:color="auto" w:fill="E6EFFA"/>
            <w:vAlign w:val="center"/>
          </w:tcPr>
          <w:p>
            <w:pPr>
              <w:jc w:val="center"/>
              <w:rPr>
                <w:rFonts w:ascii="宋体" w:hAnsi="宋体" w:cs="宋体"/>
                <w:sz w:val="28"/>
                <w:szCs w:val="28"/>
              </w:rPr>
            </w:pPr>
            <w:r>
              <w:rPr>
                <w:sz w:val="28"/>
                <w:szCs w:val="28"/>
              </w:rPr>
              <w:t>序号</w:t>
            </w:r>
          </w:p>
        </w:tc>
        <w:tc>
          <w:tcPr>
            <w:tcW w:w="8278" w:type="dxa"/>
            <w:tcBorders>
              <w:top w:val="single" w:sz="8" w:space="0" w:color="000000"/>
              <w:left w:val="single" w:sz="8" w:space="0" w:color="000000"/>
              <w:bottom w:val="single" w:sz="8" w:space="0" w:color="000000"/>
              <w:right w:val="single" w:sz="8" w:space="0" w:color="000000"/>
            </w:tcBorders>
            <w:shd w:val="clear" w:color="auto" w:fill="E6EFFA"/>
            <w:vAlign w:val="center"/>
          </w:tcPr>
          <w:p>
            <w:pPr>
              <w:spacing w:line="360" w:lineRule="auto"/>
              <w:jc w:val="center"/>
              <w:rPr>
                <w:rFonts w:ascii="宋体" w:hAnsi="宋体" w:cs="宋体"/>
                <w:sz w:val="28"/>
                <w:szCs w:val="28"/>
              </w:rPr>
            </w:pPr>
            <w:r>
              <w:rPr>
                <w:sz w:val="28"/>
                <w:szCs w:val="28"/>
              </w:rPr>
              <w:t>内容</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1</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lang w:val="en-US" w:eastAsia="zh-CN"/>
              </w:rPr>
              <w:t>不得</w:t>
            </w:r>
            <w:r>
              <w:rPr>
                <w:rFonts w:hint="eastAsia"/>
              </w:rPr>
              <w:t>将一个包的内容拆开投标；</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2</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对同一项目投标时，</w:t>
            </w:r>
            <w:r>
              <w:rPr>
                <w:rFonts w:hint="eastAsia"/>
                <w:lang w:val="en-US" w:eastAsia="zh-CN"/>
              </w:rPr>
              <w:t>不得</w:t>
            </w:r>
            <w:r>
              <w:rPr>
                <w:rFonts w:hint="eastAsia"/>
              </w:rPr>
              <w:t>提供两套以上的投标方案（招标文件另有规定的除外）；</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3</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分项报价或投标总价</w:t>
            </w:r>
            <w:r>
              <w:rPr>
                <w:rFonts w:hint="eastAsia"/>
                <w:lang w:val="en-US" w:eastAsia="zh-CN"/>
              </w:rPr>
              <w:t>不得</w:t>
            </w:r>
            <w:r>
              <w:rPr>
                <w:rFonts w:hint="eastAsia"/>
              </w:rPr>
              <w:t>高于相应预算金额（或设定的预算金额下的最高限价）；</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4</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评审委员会认为投标人的报价明显低于其他通过符合性审查投标人的报价，有可能影响产品质量或者不能诚信履约的，应当要求其在评审现场合理的时间内提供书面说明，必要时提交相关证明材料；在此情况下，投标人仍不能证明其报价合理性的（评审委员会成员对投标人提供的说明材料判断不一致的，按照“少数服从多数”的原则确定评审委员会的意见）；</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5</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所投货物、服务在技术、商务等方面没有实质性满足招标文件要求的（是否实质性满足招标文件要求，由评审委员会根据实质性条款响应情况做出评判；若招标文件未设置实质性条款，不得据此做投标无效处理）；</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6</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未按招标文件所提供的样式填写《投标函》；未按招标文件所提供的《政府采购投标及履约承诺函》进行承诺；未按招标文件对投标文件组成的要求提供投标文件；</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7</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color w:val="auto"/>
                <w:lang w:val="en-US" w:eastAsia="zh-CN"/>
              </w:rPr>
              <w:t>采购标的/服务</w:t>
            </w:r>
            <w:r>
              <w:rPr>
                <w:rFonts w:ascii="Times New Roman" w:eastAsia="宋体" w:hint="eastAsia"/>
                <w:color w:val="auto"/>
                <w:lang w:val="en-US" w:eastAsia="zh-CN"/>
              </w:rPr>
              <w:t>清单</w:t>
            </w:r>
            <w:r>
              <w:rPr>
                <w:rFonts w:hint="eastAsia"/>
                <w:color w:val="auto"/>
                <w:lang w:val="en-US" w:eastAsia="zh-CN"/>
              </w:rPr>
              <w:t>/报价等任意一类</w:t>
            </w:r>
            <w:r>
              <w:rPr>
                <w:rFonts w:ascii="Times New Roman" w:eastAsia="宋体" w:hint="eastAsia"/>
                <w:color w:val="auto"/>
                <w:lang w:val="en-US" w:eastAsia="zh-CN"/>
              </w:rPr>
              <w:t>有缺漏项或响应不全</w:t>
            </w:r>
            <w:r>
              <w:rPr>
                <w:rFonts w:hint="eastAsia"/>
                <w:color w:val="auto"/>
                <w:lang w:val="en-US" w:eastAsia="zh-CN"/>
              </w:rPr>
              <w:t>，</w:t>
            </w:r>
            <w:r>
              <w:rPr>
                <w:rFonts w:hint="eastAsia"/>
              </w:rPr>
              <w:t>或者对招标文件规定的项目需求内容或者需求数量进行修改</w:t>
            </w:r>
            <w:r>
              <w:rPr>
                <w:rFonts w:hint="eastAsia"/>
                <w:szCs w:val="21"/>
              </w:rPr>
              <w:t>，评审委员会判定投标响应不满足采购需求</w:t>
            </w:r>
            <w:r>
              <w:rPr>
                <w:rFonts w:hint="eastAsia"/>
              </w:rPr>
              <w:t>；</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8</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投标文件存在列放位置错误，导致属于信息公开情形的没有被公开；</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9</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投标文件电子文档</w:t>
            </w:r>
            <w:r>
              <w:rPr>
                <w:rFonts w:hint="eastAsia"/>
                <w:lang w:val="en-US" w:eastAsia="zh-CN"/>
              </w:rPr>
              <w:t>不得</w:t>
            </w:r>
            <w:r>
              <w:rPr>
                <w:rFonts w:hint="eastAsia"/>
              </w:rPr>
              <w:t>带病毒；</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hAnsi="宋体" w:cs="宋体"/>
                <w:szCs w:val="21"/>
              </w:rPr>
            </w:pPr>
            <w:r>
              <w:rPr>
                <w:szCs w:val="21"/>
              </w:rPr>
              <w:t>10</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投标文件用不属于本公司的电</w:t>
            </w:r>
            <w:r>
              <w:rPr>
                <w:rFonts w:hint="eastAsia"/>
                <w:highlight w:val="none"/>
              </w:rPr>
              <w:t>子密钥或</w:t>
            </w:r>
            <w:r>
              <w:rPr>
                <w:rFonts w:hint="eastAsia"/>
              </w:rPr>
              <w:t>电子营业执照进行加密的；</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vAlign w:val="top"/>
          </w:tcPr>
          <w:p>
            <w:pPr>
              <w:widowControl/>
              <w:jc w:val="center"/>
              <w:textAlignment w:val="top"/>
              <w:rPr>
                <w:rFonts w:ascii="宋体" w:hAnsi="宋体" w:cs="宋体"/>
                <w:szCs w:val="21"/>
              </w:rPr>
            </w:pPr>
            <w:r>
              <w:rPr>
                <w:rFonts w:hint="eastAsia"/>
                <w:szCs w:val="24"/>
                <w:lang w:val="en-US" w:eastAsia="zh-CN"/>
              </w:rPr>
              <w:t>11</w:t>
            </w:r>
          </w:p>
        </w:tc>
        <w:tc>
          <w:tcPr>
            <w:tcW w:w="8278" w:type="dxa"/>
            <w:tcBorders>
              <w:top w:val="single" w:sz="8" w:space="0" w:color="000000"/>
              <w:left w:val="single" w:sz="8" w:space="0" w:color="000000"/>
              <w:bottom w:val="single" w:sz="8" w:space="0" w:color="000000"/>
              <w:right w:val="single" w:sz="8" w:space="0" w:color="000000"/>
            </w:tcBorders>
            <w:vAlign w:val="top"/>
          </w:tcPr>
          <w:p>
            <w:pPr>
              <w:widowControl/>
              <w:spacing w:line="360" w:lineRule="auto"/>
              <w:jc w:val="left"/>
              <w:textAlignment w:val="top"/>
            </w:pPr>
            <w:r>
              <w:rPr>
                <w:rFonts w:ascii="Times New Roman" w:eastAsia="宋体" w:hAnsi="Times New Roman" w:cs="Times New Roman" w:hint="eastAsia"/>
                <w:sz w:val="21"/>
                <w:szCs w:val="24"/>
              </w:rPr>
              <w:t>不同投标供应商投标文件“文件制作机器码”一致</w:t>
            </w:r>
            <w:r>
              <w:rPr>
                <w:rFonts w:ascii="Times New Roman" w:eastAsia="宋体" w:hAnsi="Times New Roman" w:cs="Times New Roman" w:hint="eastAsia"/>
                <w:sz w:val="21"/>
                <w:szCs w:val="24"/>
                <w:lang w:eastAsia="zh-CN"/>
              </w:rPr>
              <w:t>；</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vAlign w:val="top"/>
          </w:tcPr>
          <w:p>
            <w:pPr>
              <w:widowControl/>
              <w:jc w:val="center"/>
              <w:textAlignment w:val="top"/>
              <w:rPr>
                <w:rFonts w:ascii="宋体" w:hAnsi="宋体" w:cs="宋体"/>
                <w:szCs w:val="21"/>
              </w:rPr>
            </w:pPr>
            <w:r>
              <w:rPr>
                <w:rFonts w:hint="eastAsia"/>
                <w:szCs w:val="24"/>
                <w:lang w:val="en-US" w:eastAsia="zh-CN"/>
              </w:rPr>
              <w:t>12</w:t>
            </w:r>
          </w:p>
        </w:tc>
        <w:tc>
          <w:tcPr>
            <w:tcW w:w="8278" w:type="dxa"/>
            <w:tcBorders>
              <w:top w:val="single" w:sz="8" w:space="0" w:color="000000"/>
              <w:left w:val="single" w:sz="8" w:space="0" w:color="000000"/>
              <w:bottom w:val="single" w:sz="8" w:space="0" w:color="000000"/>
              <w:right w:val="single" w:sz="8" w:space="0" w:color="000000"/>
            </w:tcBorders>
            <w:vAlign w:val="top"/>
          </w:tcPr>
          <w:p>
            <w:pPr>
              <w:widowControl/>
              <w:spacing w:line="360" w:lineRule="auto"/>
              <w:jc w:val="left"/>
              <w:textAlignment w:val="top"/>
            </w:pPr>
            <w:r>
              <w:rPr>
                <w:rFonts w:ascii="Times New Roman" w:eastAsia="宋体" w:hAnsi="Times New Roman" w:cs="Times New Roman" w:hint="eastAsia"/>
                <w:sz w:val="21"/>
                <w:szCs w:val="24"/>
              </w:rPr>
              <w:t>不同投标供应商投标文件“文件创建标识码”一致</w:t>
            </w:r>
            <w:r>
              <w:rPr>
                <w:rFonts w:ascii="Times New Roman" w:eastAsia="宋体" w:hAnsi="Times New Roman" w:cs="Times New Roman" w:hint="eastAsia"/>
                <w:sz w:val="21"/>
                <w:szCs w:val="24"/>
                <w:lang w:eastAsia="zh-CN"/>
              </w:rPr>
              <w:t>；</w:t>
            </w:r>
          </w:p>
        </w:tc>
      </w:tr>
      <w:tr>
        <w:tblPrEx>
          <w:tblW w:w="9072" w:type="dxa"/>
          <w:jc w:val="center"/>
          <w:tblLayout w:type="fixed"/>
          <w:tblCellMar>
            <w:top w:w="20" w:type="dxa"/>
            <w:left w:w="108" w:type="dxa"/>
            <w:bottom w:w="20" w:type="dxa"/>
            <w:right w:w="108" w:type="dxa"/>
          </w:tblCellMar>
        </w:tblPrEx>
        <w:trPr>
          <w:jc w:val="center"/>
        </w:trPr>
        <w:tc>
          <w:tcPr>
            <w:tcW w:w="794" w:type="dxa"/>
            <w:tcBorders>
              <w:top w:val="single" w:sz="8" w:space="0" w:color="000000"/>
              <w:left w:val="single" w:sz="8" w:space="0" w:color="000000"/>
              <w:bottom w:val="single" w:sz="8" w:space="0" w:color="000000"/>
              <w:right w:val="single" w:sz="8" w:space="0" w:color="000000"/>
            </w:tcBorders>
          </w:tcPr>
          <w:p>
            <w:pPr>
              <w:jc w:val="center"/>
              <w:rPr>
                <w:rFonts w:ascii="宋体" w:eastAsia="宋体" w:hAnsi="宋体" w:cs="宋体" w:hint="eastAsia"/>
                <w:szCs w:val="21"/>
                <w:lang w:eastAsia="zh-CN"/>
              </w:rPr>
            </w:pPr>
            <w:r>
              <w:rPr>
                <w:szCs w:val="21"/>
              </w:rPr>
              <w:t>1</w:t>
            </w:r>
            <w:r>
              <w:rPr>
                <w:rFonts w:hint="eastAsia"/>
                <w:szCs w:val="21"/>
                <w:lang w:val="en-US" w:eastAsia="zh-CN"/>
              </w:rPr>
              <w:t>3</w:t>
            </w:r>
          </w:p>
        </w:tc>
        <w:tc>
          <w:tcPr>
            <w:tcW w:w="8278" w:type="dxa"/>
            <w:tcBorders>
              <w:top w:val="single" w:sz="8" w:space="0" w:color="000000"/>
              <w:left w:val="single" w:sz="8" w:space="0" w:color="000000"/>
              <w:bottom w:val="single" w:sz="8" w:space="0" w:color="000000"/>
              <w:right w:val="single" w:sz="8" w:space="0" w:color="000000"/>
            </w:tcBorders>
          </w:tcPr>
          <w:p>
            <w:pPr>
              <w:spacing w:line="360" w:lineRule="auto"/>
              <w:rPr>
                <w:rFonts w:ascii="宋体" w:hAnsi="宋体" w:cs="宋体"/>
                <w:szCs w:val="21"/>
              </w:rPr>
            </w:pPr>
            <w:r>
              <w:rPr>
                <w:rFonts w:hint="eastAsia"/>
              </w:rPr>
              <w:t>法律、法规、规章、规范性文件规定的其他情形。</w:t>
            </w:r>
          </w:p>
        </w:tc>
      </w:tr>
    </w:tbl>
    <w:p>
      <w:pPr>
        <w:pStyle w:val="NormalWeb"/>
        <w:jc w:val="both"/>
        <w:outlineLvl w:val="1"/>
        <w:rPr>
          <w:rFonts w:ascii="黑体" w:eastAsia="黑体" w:hAnsi="黑体" w:hint="eastAsia"/>
          <w:sz w:val="40"/>
          <w:szCs w:val="40"/>
        </w:rPr>
        <w:sectPr>
          <w:pgSz w:w="11907" w:h="16840"/>
          <w:pgMar w:top="1440" w:right="1417" w:bottom="1440" w:left="1417" w:header="851" w:footer="992" w:gutter="0"/>
          <w:cols w:num="1" w:space="425"/>
          <w:titlePg/>
          <w:docGrid w:linePitch="462" w:charSpace="0"/>
        </w:sectPr>
      </w:pPr>
    </w:p>
    <w:p>
      <w:pPr>
        <w:pStyle w:val="NormalWeb"/>
        <w:jc w:val="center"/>
        <w:outlineLvl w:val="1"/>
        <w:rPr>
          <w:rFonts w:ascii="黑体" w:eastAsia="黑体" w:hAnsi="黑体"/>
          <w:sz w:val="40"/>
          <w:szCs w:val="40"/>
        </w:rPr>
      </w:pPr>
      <w:r>
        <w:rPr>
          <w:rFonts w:ascii="黑体" w:eastAsia="黑体" w:hAnsi="黑体" w:hint="eastAsia"/>
          <w:sz w:val="40"/>
          <w:szCs w:val="40"/>
        </w:rPr>
        <w:t>评标信息</w:t>
      </w:r>
    </w:p>
    <w:tbl>
      <w:tblPr>
        <w:tblStyle w:val="TableNormal"/>
        <w:tblW w:w="9113" w:type="dxa"/>
        <w:jc w:val="center"/>
        <w:tblCellSpacing w:w="0" w:type="dxa"/>
        <w:tblBorders>
          <w:top w:val="nil"/>
          <w:left w:val="nil"/>
          <w:bottom w:val="nil"/>
          <w:right w:val="nil"/>
          <w:insideH w:val="nil"/>
          <w:insideV w:val="nil"/>
        </w:tblBorders>
        <w:tblLayout w:type="fixed"/>
        <w:tblCellMar>
          <w:top w:w="45" w:type="dxa"/>
          <w:left w:w="45" w:type="dxa"/>
          <w:bottom w:w="45" w:type="dxa"/>
          <w:right w:w="45" w:type="dxa"/>
        </w:tblCellMar>
      </w:tblPr>
      <w:tblGrid>
        <w:gridCol w:w="8873"/>
        <w:gridCol w:w="240"/>
      </w:tblGrid>
      <w:tr>
        <w:tblPrEx>
          <w:tblW w:w="9113" w:type="dxa"/>
          <w:jc w:val="center"/>
          <w:tblCellSpacing w:w="0" w:type="dxa"/>
          <w:tblBorders>
            <w:top w:val="nil"/>
            <w:left w:val="nil"/>
            <w:bottom w:val="nil"/>
            <w:right w:val="nil"/>
            <w:insideH w:val="nil"/>
            <w:insideV w:val="nil"/>
          </w:tblBorders>
          <w:tblLayout w:type="fixed"/>
          <w:tblCellMar>
            <w:top w:w="45" w:type="dxa"/>
            <w:left w:w="45" w:type="dxa"/>
            <w:bottom w:w="45" w:type="dxa"/>
            <w:right w:w="45" w:type="dxa"/>
          </w:tblCellMar>
        </w:tblPrEx>
        <w:trPr>
          <w:tblCellSpacing w:w="0" w:type="dxa"/>
          <w:jc w:val="center"/>
        </w:trPr>
        <w:tc>
          <w:tcPr>
            <w:tcW w:w="8873" w:type="dxa"/>
            <w:shd w:val="clear" w:color="auto" w:fill="auto"/>
            <w:vAlign w:val="center"/>
          </w:tcPr>
          <w:p>
            <w:pPr>
              <w:widowControl/>
              <w:spacing w:line="360" w:lineRule="auto"/>
              <w:jc w:val="left"/>
              <w:rPr>
                <w:b/>
                <w:bCs/>
                <w:sz w:val="24"/>
              </w:rPr>
            </w:pPr>
            <w:r>
              <w:rPr>
                <w:b/>
                <w:bCs/>
              </w:rPr>
              <w:t>评标方法：</w:t>
            </w:r>
            <w:r>
              <w:rPr>
                <w:b/>
                <w:bCs/>
                <w:strike w:val="0"/>
                <w:dstrike w:val="0"/>
              </w:rPr>
              <w:t>综合评分法</w:t>
            </w:r>
          </w:p>
        </w:tc>
        <w:tc>
          <w:tcPr>
            <w:tcW w:w="240" w:type="dxa"/>
            <w:shd w:val="clear" w:color="auto" w:fill="auto"/>
            <w:vAlign w:val="center"/>
          </w:tcPr>
          <w:p>
            <w:pPr>
              <w:spacing w:line="360" w:lineRule="auto"/>
              <w:jc w:val="right"/>
              <w:rPr>
                <w:rFonts w:ascii="宋体"/>
                <w:b/>
                <w:bCs/>
                <w:sz w:val="24"/>
              </w:rPr>
            </w:pPr>
          </w:p>
        </w:tc>
      </w:tr>
      <w:tr>
        <w:tblPrEx>
          <w:tblW w:w="9113" w:type="dxa"/>
          <w:jc w:val="center"/>
          <w:tblCellSpacing w:w="0" w:type="dxa"/>
          <w:tblLayout w:type="fixed"/>
          <w:tblCellMar>
            <w:top w:w="45" w:type="dxa"/>
            <w:left w:w="45" w:type="dxa"/>
            <w:bottom w:w="45" w:type="dxa"/>
            <w:right w:w="45" w:type="dxa"/>
          </w:tblCellMar>
        </w:tblPrEx>
        <w:trPr>
          <w:tblCellSpacing w:w="0" w:type="dxa"/>
          <w:jc w:val="center"/>
        </w:trPr>
        <w:tc>
          <w:tcPr>
            <w:tcW w:w="9113" w:type="dxa"/>
            <w:gridSpan w:val="2"/>
            <w:shd w:val="clear" w:color="auto" w:fill="auto"/>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ind w:firstLine="420"/>
              <w:textAlignment w:val="auto"/>
              <w:rPr>
                <w:sz w:val="21"/>
                <w:szCs w:val="21"/>
              </w:rPr>
            </w:pPr>
            <w:r>
              <w:rPr>
                <w:rFonts w:ascii="Wingdings" w:hAnsi="Wingdings"/>
                <w:sz w:val="21"/>
                <w:szCs w:val="21"/>
              </w:rPr>
              <w:t>¨</w:t>
            </w:r>
            <w:r>
              <w:rPr>
                <w:sz w:val="21"/>
                <w:szCs w:val="21"/>
              </w:rPr>
              <w:t>综合评分法，是指</w:t>
            </w:r>
            <w:r>
              <w:rPr>
                <w:rFonts w:ascii="Times New Roman" w:eastAsia="宋体" w:hAnsi="Times New Roman" w:cs="Times New Roman" w:hint="eastAsia"/>
                <w:kern w:val="0"/>
                <w:sz w:val="21"/>
                <w:szCs w:val="21"/>
                <w:lang w:val="en-US" w:eastAsia="zh-CN" w:bidi="ar-SA"/>
              </w:rPr>
              <w:t>投标文件满足招标文件全部实质性要求</w:t>
            </w:r>
            <w:r>
              <w:rPr>
                <w:sz w:val="21"/>
                <w:szCs w:val="21"/>
              </w:rPr>
              <w:t>，且按照</w:t>
            </w:r>
            <w:r>
              <w:rPr>
                <w:rFonts w:ascii="Times New Roman" w:eastAsia="宋体" w:hint="eastAsia"/>
                <w:sz w:val="21"/>
                <w:szCs w:val="21"/>
                <w:lang w:val="en-US" w:eastAsia="zh-CN"/>
              </w:rPr>
              <w:t>招标文件规定的各项因素进行综合评审，评标总得分排名前列</w:t>
            </w:r>
            <w:r>
              <w:rPr>
                <w:sz w:val="21"/>
                <w:szCs w:val="21"/>
              </w:rPr>
              <w:t>的投标人为中标候选人的评标方法。</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textAlignment w:val="auto"/>
              <w:rPr>
                <w:sz w:val="21"/>
                <w:szCs w:val="21"/>
              </w:rPr>
            </w:pPr>
            <w:r>
              <w:rPr>
                <w:sz w:val="21"/>
                <w:szCs w:val="21"/>
              </w:rPr>
              <w:t>价格分计算方法：</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420"/>
              <w:jc w:val="left"/>
              <w:textAlignment w:val="auto"/>
              <w:rPr>
                <w:rFonts w:ascii="Times New Roman" w:eastAsia="宋体" w:hAnsi="Times New Roman" w:cs="Times New Roman"/>
                <w:kern w:val="2"/>
                <w:sz w:val="21"/>
                <w:szCs w:val="21"/>
                <w:lang w:val="en-US" w:eastAsia="zh-CN" w:bidi="ar-SA"/>
              </w:rPr>
            </w:pPr>
            <w:r>
              <w:rPr>
                <w:rFonts w:ascii="Times New Roman" w:eastAsia="宋体" w:hAnsi="Times New Roman" w:cs="Times New Roman"/>
                <w:kern w:val="2"/>
                <w:sz w:val="21"/>
                <w:szCs w:val="21"/>
                <w:lang w:val="en-US" w:eastAsia="zh-CN" w:bidi="ar-SA"/>
              </w:rPr>
              <w:t xml:space="preserve">采用低价优先法计算，即满足招标文件要求且投标价格最低的投标报价为评标基准价，其价格分为满分。其他投标人的价格分统一按照下列公式计算： </w:t>
            </w:r>
            <w:r>
              <w:rPr>
                <w:rFonts w:ascii="Times New Roman" w:eastAsia="宋体" w:hAnsi="Times New Roman" w:cs="Times New Roman"/>
                <w:kern w:val="2"/>
                <w:sz w:val="21"/>
                <w:szCs w:val="21"/>
                <w:lang w:val="en-US" w:eastAsia="zh-CN" w:bidi="ar-SA"/>
              </w:rPr>
              <w:br/>
            </w:r>
            <w:r>
              <w:rPr>
                <w:rFonts w:ascii="Times New Roman" w:eastAsia="宋体" w:hAnsi="Times New Roman" w:cs="Times New Roman"/>
                <w:kern w:val="2"/>
                <w:sz w:val="21"/>
                <w:szCs w:val="21"/>
                <w:lang w:val="en-US" w:eastAsia="zh-CN" w:bidi="ar-SA"/>
              </w:rPr>
              <w:t xml:space="preserve">投标报价得分=(评标基准价／投标报价)×100 </w:t>
            </w:r>
            <w:r>
              <w:rPr>
                <w:rFonts w:ascii="Times New Roman" w:eastAsia="宋体" w:hAnsi="Times New Roman" w:cs="Times New Roman"/>
                <w:kern w:val="2"/>
                <w:sz w:val="21"/>
                <w:szCs w:val="21"/>
                <w:lang w:val="en-US" w:eastAsia="zh-CN" w:bidi="ar-SA"/>
              </w:rPr>
              <w:br/>
            </w:r>
            <w:r>
              <w:rPr>
                <w:rFonts w:ascii="Times New Roman" w:eastAsia="宋体" w:hAnsi="Times New Roman" w:cs="Times New Roman"/>
                <w:kern w:val="2"/>
                <w:sz w:val="21"/>
                <w:szCs w:val="21"/>
                <w:lang w:val="en-US" w:eastAsia="zh-CN" w:bidi="ar-SA"/>
              </w:rPr>
              <w:t xml:space="preserve">评标总得分＝F1×A1＋F2×A2＋……＋Fn×An </w:t>
            </w:r>
            <w:r>
              <w:rPr>
                <w:rFonts w:ascii="Times New Roman" w:eastAsia="宋体" w:hAnsi="Times New Roman" w:cs="Times New Roman"/>
                <w:kern w:val="2"/>
                <w:sz w:val="21"/>
                <w:szCs w:val="21"/>
                <w:lang w:val="en-US" w:eastAsia="zh-CN" w:bidi="ar-SA"/>
              </w:rPr>
              <w:br/>
            </w:r>
            <w:r>
              <w:rPr>
                <w:rFonts w:ascii="Times New Roman" w:eastAsia="宋体" w:hAnsi="Times New Roman" w:cs="Times New Roman"/>
                <w:kern w:val="2"/>
                <w:sz w:val="21"/>
                <w:szCs w:val="21"/>
                <w:lang w:val="en-US" w:eastAsia="zh-CN" w:bidi="ar-SA"/>
              </w:rPr>
              <w:t xml:space="preserve">F1、F2……Fn分别为各项评审因素的得分； </w:t>
            </w:r>
            <w:r>
              <w:rPr>
                <w:rFonts w:ascii="Times New Roman" w:eastAsia="宋体" w:hAnsi="Times New Roman" w:cs="Times New Roman"/>
                <w:kern w:val="2"/>
                <w:sz w:val="21"/>
                <w:szCs w:val="21"/>
                <w:lang w:val="en-US" w:eastAsia="zh-CN" w:bidi="ar-SA"/>
              </w:rPr>
              <w:br/>
            </w:r>
            <w:r>
              <w:rPr>
                <w:rFonts w:ascii="Times New Roman" w:eastAsia="宋体" w:hAnsi="Times New Roman" w:cs="Times New Roman"/>
                <w:kern w:val="2"/>
                <w:sz w:val="21"/>
                <w:szCs w:val="21"/>
                <w:lang w:val="en-US" w:eastAsia="zh-CN" w:bidi="ar-SA"/>
              </w:rPr>
              <w:t xml:space="preserve">A1、A2、……An 分别为各项评审因素所占的权重(A1＋A2＋……＋An＝1)。 </w:t>
            </w:r>
            <w:r>
              <w:rPr>
                <w:rFonts w:ascii="Times New Roman" w:eastAsia="宋体" w:hAnsi="Times New Roman" w:cs="Times New Roman"/>
                <w:kern w:val="2"/>
                <w:sz w:val="21"/>
                <w:szCs w:val="21"/>
                <w:lang w:val="en-US" w:eastAsia="zh-CN" w:bidi="ar-SA"/>
              </w:rPr>
              <w:br/>
            </w:r>
            <w:r>
              <w:rPr>
                <w:rFonts w:ascii="Times New Roman" w:eastAsia="宋体" w:hAnsi="Times New Roman" w:cs="Times New Roman"/>
                <w:kern w:val="2"/>
                <w:sz w:val="21"/>
                <w:szCs w:val="21"/>
                <w:lang w:val="en-US" w:eastAsia="zh-CN" w:bidi="ar-SA"/>
              </w:rPr>
              <w:t>评标过程中，不得去掉报价中的最高报价和最低报价。</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420"/>
              <w:jc w:val="left"/>
              <w:textAlignment w:val="auto"/>
              <w:rPr>
                <w:rFonts w:ascii="Times New Roman" w:eastAsia="宋体" w:hAnsi="Times New Roman" w:cs="Times New Roman"/>
                <w:kern w:val="2"/>
                <w:sz w:val="21"/>
                <w:szCs w:val="21"/>
                <w:lang w:val="en-US" w:eastAsia="zh-CN" w:bidi="ar-SA"/>
              </w:rPr>
            </w:pPr>
            <w:r>
              <w:rPr>
                <w:rFonts w:ascii="Times New Roman" w:eastAsia="宋体" w:hAnsi="Times New Roman" w:cs="Times New Roman" w:hint="eastAsia"/>
                <w:kern w:val="2"/>
                <w:sz w:val="21"/>
                <w:szCs w:val="21"/>
                <w:lang w:val="en-US" w:eastAsia="zh-CN" w:bidi="ar-SA"/>
              </w:rPr>
              <w:t>因落实政府采购政策进行价格调整的，以调整后的价格计算评标基准价和投标报价。</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420"/>
              <w:jc w:val="left"/>
              <w:textAlignment w:val="auto"/>
              <w:rPr>
                <w:rFonts w:ascii="Times New Roman" w:eastAsia="宋体" w:hAnsi="Times New Roman" w:cs="Times New Roman"/>
                <w:kern w:val="0"/>
                <w:sz w:val="24"/>
                <w:szCs w:val="24"/>
                <w:lang w:val="en-US" w:eastAsia="zh-CN" w:bidi="ar-SA"/>
              </w:rPr>
            </w:pPr>
          </w:p>
        </w:tc>
      </w:tr>
    </w:tbl>
    <w:p>
      <w:pPr>
        <w:rPr>
          <w:vanish/>
        </w:rPr>
      </w:pPr>
    </w:p>
    <w:tbl>
      <w:tblPr>
        <w:tblStyle w:val="TableNormal"/>
        <w:tblW w:w="8789" w:type="dxa"/>
        <w:jc w:val="center"/>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0" w:type="dxa"/>
          <w:left w:w="108" w:type="dxa"/>
          <w:bottom w:w="20" w:type="dxa"/>
          <w:right w:w="108" w:type="dxa"/>
        </w:tblCellMar>
      </w:tblPr>
      <w:tblGrid>
        <w:gridCol w:w="426"/>
        <w:gridCol w:w="567"/>
        <w:gridCol w:w="1701"/>
        <w:gridCol w:w="567"/>
        <w:gridCol w:w="5528"/>
      </w:tblGrid>
      <w:tr>
        <w:tblPrEx>
          <w:tblW w:w="8789" w:type="dxa"/>
          <w:jc w:val="center"/>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0" w:type="dxa"/>
            <w:left w:w="108" w:type="dxa"/>
            <w:bottom w:w="20" w:type="dxa"/>
            <w:right w:w="108" w:type="dxa"/>
          </w:tblCellMar>
        </w:tblPrEx>
        <w:trPr>
          <w:tblCellSpacing w:w="0" w:type="dxa"/>
          <w:jc w:val="center"/>
        </w:trPr>
        <w:tc>
          <w:tcPr>
            <w:tcW w:w="426" w:type="dxa"/>
            <w:tcBorders>
              <w:top w:val="single" w:sz="8" w:space="0" w:color="000000"/>
              <w:left w:val="single" w:sz="8" w:space="0" w:color="000000"/>
              <w:bottom w:val="single" w:sz="8" w:space="0" w:color="000000"/>
              <w:right w:val="single" w:sz="8"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序号</w:t>
            </w:r>
          </w:p>
        </w:tc>
        <w:tc>
          <w:tcPr>
            <w:tcW w:w="2835" w:type="dxa"/>
            <w:gridSpan w:val="3"/>
            <w:tcBorders>
              <w:top w:val="single" w:sz="8" w:space="0" w:color="000000"/>
              <w:left w:val="single" w:sz="8" w:space="0" w:color="000000"/>
              <w:bottom w:val="single" w:sz="8" w:space="0" w:color="000000"/>
              <w:right w:val="single" w:sz="8"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评分项</w:t>
            </w:r>
          </w:p>
        </w:tc>
        <w:tc>
          <w:tcPr>
            <w:tcW w:w="5528" w:type="dxa"/>
            <w:tcBorders>
              <w:top w:val="single" w:sz="8" w:space="0" w:color="000000"/>
              <w:left w:val="single" w:sz="8" w:space="0" w:color="000000"/>
              <w:bottom w:val="single" w:sz="8" w:space="0" w:color="000000"/>
              <w:right w:val="single" w:sz="8"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权重(%)</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1</w:t>
            </w:r>
          </w:p>
        </w:tc>
        <w:tc>
          <w:tcPr>
            <w:tcW w:w="2835" w:type="dxa"/>
            <w:gridSpan w:val="3"/>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价格</w:t>
            </w:r>
          </w:p>
        </w:tc>
        <w:tc>
          <w:tcPr>
            <w:tcW w:w="5528" w:type="dxa"/>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10</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val="restart"/>
            <w:tcBorders>
              <w:top w:val="single" w:sz="8" w:space="0" w:color="000000"/>
              <w:left w:val="single" w:sz="8" w:space="0" w:color="000000"/>
              <w:right w:val="single" w:sz="8" w:space="0" w:color="000000"/>
            </w:tcBorders>
            <w:vAlign w:val="center"/>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2</w:t>
            </w:r>
          </w:p>
        </w:tc>
        <w:tc>
          <w:tcPr>
            <w:tcW w:w="2835" w:type="dxa"/>
            <w:gridSpan w:val="3"/>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技术部分</w:t>
            </w:r>
          </w:p>
        </w:tc>
        <w:tc>
          <w:tcPr>
            <w:tcW w:w="5528" w:type="dxa"/>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60</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shd w:val="clear" w:color="auto" w:fill="E6EFFA"/>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序号</w:t>
            </w:r>
          </w:p>
        </w:tc>
        <w:tc>
          <w:tcPr>
            <w:tcW w:w="1701"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评分因素</w:t>
            </w:r>
          </w:p>
        </w:tc>
        <w:tc>
          <w:tcPr>
            <w:tcW w:w="567"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权重(%)</w:t>
            </w:r>
          </w:p>
        </w:tc>
        <w:tc>
          <w:tcPr>
            <w:tcW w:w="5528"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评分准则</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1</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hAnsiTheme="minorEastAsia" w:hint="eastAsia"/>
                <w:szCs w:val="21"/>
                <w:highlight w:val="none"/>
              </w:rPr>
              <w:t>项目</w:t>
            </w:r>
            <w:r>
              <w:rPr>
                <w:rFonts w:asciiTheme="minorEastAsia" w:eastAsiaTheme="minorEastAsia" w:hAnsiTheme="minorEastAsia"/>
                <w:szCs w:val="21"/>
                <w:highlight w:val="none"/>
              </w:rPr>
              <w:t>管理整体设想及策划</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6</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（一）评分内容：根据本项目提出的物业管理整体设想及策划进行评价，内容</w:t>
            </w:r>
            <w:r>
              <w:rPr>
                <w:rFonts w:asciiTheme="minorEastAsia" w:eastAsiaTheme="minorEastAsia" w:hAnsiTheme="minorEastAsia" w:hint="eastAsia"/>
                <w:szCs w:val="21"/>
                <w:highlight w:val="none"/>
              </w:rPr>
              <w:t>在满足招标文件需求的前提下</w:t>
            </w:r>
            <w:r>
              <w:rPr>
                <w:rFonts w:asciiTheme="minorEastAsia" w:eastAsiaTheme="minorEastAsia" w:hAnsiTheme="minorEastAsia"/>
                <w:szCs w:val="21"/>
                <w:highlight w:val="none"/>
              </w:rPr>
              <w:t>包括</w:t>
            </w:r>
            <w:r>
              <w:rPr>
                <w:rFonts w:asciiTheme="minorEastAsia" w:eastAsiaTheme="minorEastAsia" w:hAnsiTheme="minorEastAsia" w:hint="eastAsia"/>
                <w:szCs w:val="21"/>
                <w:highlight w:val="none"/>
                <w:lang w:eastAsia="zh-CN"/>
              </w:rPr>
              <w:t>以下三点</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整体</w:t>
            </w:r>
            <w:r>
              <w:rPr>
                <w:rFonts w:asciiTheme="minorEastAsia" w:hAnsiTheme="minorEastAsia" w:hint="eastAsia"/>
                <w:szCs w:val="21"/>
                <w:highlight w:val="none"/>
              </w:rPr>
              <w:t>服务</w:t>
            </w:r>
            <w:r>
              <w:rPr>
                <w:rFonts w:asciiTheme="minorEastAsia" w:eastAsiaTheme="minorEastAsia" w:hAnsiTheme="minorEastAsia"/>
                <w:szCs w:val="21"/>
                <w:highlight w:val="none"/>
              </w:rPr>
              <w:t>设想</w:t>
            </w:r>
            <w:r>
              <w:rPr>
                <w:rFonts w:asciiTheme="minorEastAsia" w:eastAsiaTheme="minorEastAsia" w:hAnsiTheme="minorEastAsia" w:hint="eastAsia"/>
                <w:szCs w:val="21"/>
                <w:highlight w:val="none"/>
              </w:rPr>
              <w:t>及管理策划；</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hAnsiTheme="minorEastAsia" w:hint="eastAsia"/>
                <w:szCs w:val="21"/>
                <w:highlight w:val="none"/>
                <w:lang w:eastAsia="zh-CN"/>
              </w:rPr>
              <w:t>2.</w:t>
            </w:r>
            <w:r>
              <w:rPr>
                <w:rFonts w:asciiTheme="minorEastAsia" w:hAnsiTheme="minorEastAsia" w:hint="eastAsia"/>
                <w:szCs w:val="21"/>
                <w:highlight w:val="none"/>
              </w:rPr>
              <w:t>管理保障机制（组织架构与团队建设、标准化流程与制度建设、沟通与协同机制、质量监督与改进）</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hAnsiTheme="minorEastAsia" w:hint="eastAsia"/>
                <w:szCs w:val="21"/>
                <w:highlight w:val="none"/>
                <w:lang w:eastAsia="zh-CN"/>
              </w:rPr>
              <w:t>3.</w:t>
            </w:r>
            <w:r>
              <w:rPr>
                <w:rFonts w:asciiTheme="minorEastAsia" w:eastAsiaTheme="minorEastAsia" w:hAnsiTheme="minorEastAsia" w:hint="eastAsia"/>
                <w:szCs w:val="21"/>
                <w:highlight w:val="none"/>
              </w:rPr>
              <w:t>核心服务模块策划</w:t>
            </w:r>
            <w:r>
              <w:rPr>
                <w:rFonts w:asciiTheme="minorEastAsia" w:hAnsiTheme="minorEastAsia" w:hint="eastAsia"/>
                <w:szCs w:val="21"/>
                <w:highlight w:val="none"/>
              </w:rPr>
              <w:t>（</w:t>
            </w:r>
            <w:r>
              <w:rPr>
                <w:rFonts w:ascii="宋体" w:hAnsi="宋体" w:hint="eastAsia"/>
                <w:szCs w:val="21"/>
                <w:highlight w:val="none"/>
              </w:rPr>
              <w:t>机电工程管理服务、</w:t>
            </w:r>
            <w:r>
              <w:rPr>
                <w:rFonts w:asciiTheme="minorEastAsia" w:eastAsiaTheme="minorEastAsia" w:hAnsiTheme="minorEastAsia" w:cs="宋体"/>
                <w:kern w:val="0"/>
                <w:szCs w:val="21"/>
                <w:highlight w:val="none"/>
              </w:rPr>
              <w:t>医院秩序与安全保卫管理服务</w:t>
            </w:r>
            <w:r>
              <w:rPr>
                <w:rFonts w:asciiTheme="minorEastAsia" w:hAnsiTheme="minorEastAsia" w:cs="宋体" w:hint="eastAsia"/>
                <w:kern w:val="0"/>
                <w:szCs w:val="21"/>
                <w:highlight w:val="none"/>
              </w:rPr>
              <w:t>、</w:t>
            </w:r>
            <w:r>
              <w:rPr>
                <w:rFonts w:asciiTheme="minorEastAsia" w:eastAsiaTheme="minorEastAsia" w:hAnsiTheme="minorEastAsia" w:cs="宋体"/>
                <w:kern w:val="0"/>
                <w:szCs w:val="21"/>
                <w:highlight w:val="none"/>
              </w:rPr>
              <w:t>环境清洁管理服务</w:t>
            </w:r>
            <w:r>
              <w:rPr>
                <w:rFonts w:asciiTheme="minorEastAsia" w:hAnsiTheme="minorEastAsia" w:cs="宋体" w:hint="eastAsia"/>
                <w:kern w:val="0"/>
                <w:szCs w:val="21"/>
                <w:highlight w:val="none"/>
              </w:rPr>
              <w:t>、</w:t>
            </w:r>
            <w:r>
              <w:rPr>
                <w:rFonts w:asciiTheme="minorEastAsia" w:eastAsiaTheme="minorEastAsia" w:hAnsiTheme="minorEastAsia" w:cs="宋体" w:hint="eastAsia"/>
                <w:kern w:val="0"/>
                <w:szCs w:val="21"/>
                <w:highlight w:val="none"/>
              </w:rPr>
              <w:t>医疗辅助服务</w:t>
            </w:r>
            <w:r>
              <w:rPr>
                <w:rFonts w:asciiTheme="minorEastAsia" w:hAnsiTheme="minorEastAsia" w:cs="宋体" w:hint="eastAsia"/>
                <w:kern w:val="0"/>
                <w:szCs w:val="21"/>
                <w:highlight w:val="none"/>
              </w:rPr>
              <w:t>）</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1、每提供以上一项得</w:t>
            </w:r>
            <w:r>
              <w:rPr>
                <w:rFonts w:asciiTheme="minorEastAsia" w:hAnsiTheme="minorEastAsia" w:hint="eastAsia"/>
                <w:szCs w:val="21"/>
                <w:highlight w:val="none"/>
              </w:rPr>
              <w:t>27</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2</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制度和档案的建立与管理</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（一）评分内容：根据本项目实际情况，制定的相关物业管理制度、档案的建立等进行评价，内容</w:t>
            </w:r>
            <w:r>
              <w:rPr>
                <w:rFonts w:asciiTheme="minorEastAsia" w:eastAsiaTheme="minorEastAsia" w:hAnsiTheme="minorEastAsia" w:hint="eastAsia"/>
                <w:szCs w:val="21"/>
                <w:highlight w:val="none"/>
              </w:rPr>
              <w:t>在满足招标文件需求的前提下</w:t>
            </w:r>
            <w:r>
              <w:rPr>
                <w:rFonts w:asciiTheme="minorEastAsia" w:eastAsiaTheme="minorEastAsia" w:hAnsiTheme="minorEastAsia"/>
                <w:szCs w:val="21"/>
                <w:highlight w:val="none"/>
              </w:rPr>
              <w:t>包括</w:t>
            </w:r>
            <w:r>
              <w:rPr>
                <w:rFonts w:asciiTheme="minorEastAsia" w:eastAsiaTheme="minorEastAsia" w:hAnsiTheme="minorEastAsia" w:hint="eastAsia"/>
                <w:szCs w:val="21"/>
                <w:highlight w:val="none"/>
                <w:lang w:eastAsia="zh-CN"/>
              </w:rPr>
              <w:t>以下两点</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物业管理</w:t>
            </w:r>
            <w:r>
              <w:rPr>
                <w:rFonts w:asciiTheme="minorEastAsia" w:eastAsiaTheme="minorEastAsia" w:hAnsiTheme="minorEastAsia" w:hint="eastAsia"/>
                <w:szCs w:val="21"/>
                <w:highlight w:val="none"/>
              </w:rPr>
              <w:t>制度体系的建立与管理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hint="eastAsia"/>
                <w:szCs w:val="21"/>
                <w:highlight w:val="none"/>
              </w:rPr>
              <w:t>档案管理体系的建立与管理。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w:t>
            </w:r>
            <w:r>
              <w:rPr>
                <w:rFonts w:asciiTheme="minorEastAsia" w:eastAsiaTheme="minorEastAsia" w:hAnsiTheme="minorEastAsia" w:hint="eastAsia"/>
                <w:szCs w:val="21"/>
                <w:highlight w:val="none"/>
              </w:rPr>
              <w:t>40分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3</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保洁管理服务</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（一）评分内容：针对本项目制定的保洁制度、</w:t>
            </w:r>
            <w:r>
              <w:rPr>
                <w:rFonts w:asciiTheme="minorEastAsia" w:eastAsiaTheme="minorEastAsia" w:hAnsiTheme="minorEastAsia" w:hint="eastAsia"/>
                <w:szCs w:val="21"/>
                <w:highlight w:val="none"/>
              </w:rPr>
              <w:t>具体</w:t>
            </w:r>
            <w:r>
              <w:rPr>
                <w:rFonts w:asciiTheme="minorEastAsia" w:eastAsiaTheme="minorEastAsia" w:hAnsiTheme="minorEastAsia"/>
                <w:szCs w:val="21"/>
                <w:highlight w:val="none"/>
              </w:rPr>
              <w:t>实施方案进行评价，内容</w:t>
            </w:r>
            <w:r>
              <w:rPr>
                <w:rFonts w:asciiTheme="minorEastAsia" w:eastAsiaTheme="minorEastAsia" w:hAnsiTheme="minorEastAsia" w:hint="eastAsia"/>
                <w:szCs w:val="21"/>
                <w:highlight w:val="none"/>
              </w:rPr>
              <w:t>在满足招标文件需求的前提下</w:t>
            </w:r>
            <w:r>
              <w:rPr>
                <w:rFonts w:asciiTheme="minorEastAsia" w:eastAsiaTheme="minorEastAsia" w:hAnsiTheme="minorEastAsia"/>
                <w:szCs w:val="21"/>
                <w:highlight w:val="none"/>
              </w:rPr>
              <w:t>包括</w:t>
            </w:r>
            <w:r>
              <w:rPr>
                <w:rFonts w:asciiTheme="minorEastAsia" w:eastAsiaTheme="minorEastAsia" w:hAnsiTheme="minorEastAsia" w:hint="eastAsia"/>
                <w:szCs w:val="21"/>
                <w:highlight w:val="none"/>
                <w:lang w:eastAsia="zh-CN"/>
              </w:rPr>
              <w:t>以下两点</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保洁制度；</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hint="eastAsia"/>
                <w:szCs w:val="21"/>
                <w:highlight w:val="none"/>
              </w:rPr>
              <w:t>具体</w:t>
            </w:r>
            <w:r>
              <w:rPr>
                <w:rFonts w:asciiTheme="minorEastAsia" w:eastAsiaTheme="minorEastAsia" w:hAnsiTheme="minorEastAsia"/>
                <w:szCs w:val="21"/>
                <w:highlight w:val="none"/>
              </w:rPr>
              <w:t>实施方案；</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w:t>
            </w:r>
            <w:r>
              <w:rPr>
                <w:rFonts w:asciiTheme="minorEastAsia" w:eastAsiaTheme="minorEastAsia" w:hAnsiTheme="minorEastAsia" w:hint="eastAsia"/>
                <w:szCs w:val="21"/>
                <w:highlight w:val="none"/>
              </w:rPr>
              <w:t>40分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4</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绿化管理服务</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（一）评分内容：针对本项目制定的绿化管理制度、</w:t>
            </w:r>
            <w:r>
              <w:rPr>
                <w:rFonts w:asciiTheme="minorEastAsia" w:eastAsiaTheme="minorEastAsia" w:hAnsiTheme="minorEastAsia" w:hint="eastAsia"/>
                <w:szCs w:val="21"/>
                <w:highlight w:val="none"/>
              </w:rPr>
              <w:t>具体</w:t>
            </w:r>
            <w:r>
              <w:rPr>
                <w:rFonts w:asciiTheme="minorEastAsia" w:eastAsiaTheme="minorEastAsia" w:hAnsiTheme="minorEastAsia"/>
                <w:szCs w:val="21"/>
                <w:highlight w:val="none"/>
              </w:rPr>
              <w:t>实施方案进行评价，内容</w:t>
            </w:r>
            <w:r>
              <w:rPr>
                <w:rFonts w:asciiTheme="minorEastAsia" w:eastAsiaTheme="minorEastAsia" w:hAnsiTheme="minorEastAsia" w:hint="eastAsia"/>
                <w:szCs w:val="21"/>
                <w:highlight w:val="none"/>
              </w:rPr>
              <w:t>在满足招标文件需求的前提下</w:t>
            </w:r>
            <w:r>
              <w:rPr>
                <w:rFonts w:asciiTheme="minorEastAsia" w:eastAsiaTheme="minorEastAsia" w:hAnsiTheme="minorEastAsia"/>
                <w:szCs w:val="21"/>
                <w:highlight w:val="none"/>
              </w:rPr>
              <w:t>包括</w:t>
            </w:r>
            <w:r>
              <w:rPr>
                <w:rFonts w:asciiTheme="minorEastAsia" w:eastAsiaTheme="minorEastAsia" w:hAnsiTheme="minorEastAsia" w:hint="eastAsia"/>
                <w:szCs w:val="21"/>
                <w:highlight w:val="none"/>
                <w:lang w:eastAsia="zh-CN"/>
              </w:rPr>
              <w:t>以下两点</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绿化管理制度；</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hint="eastAsia"/>
                <w:szCs w:val="21"/>
                <w:highlight w:val="none"/>
              </w:rPr>
              <w:t>具体</w:t>
            </w:r>
            <w:r>
              <w:rPr>
                <w:rFonts w:asciiTheme="minorEastAsia" w:eastAsiaTheme="minorEastAsia" w:hAnsiTheme="minorEastAsia"/>
                <w:szCs w:val="21"/>
                <w:highlight w:val="none"/>
              </w:rPr>
              <w:t>实施方案；</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w:t>
            </w:r>
            <w:r>
              <w:rPr>
                <w:rFonts w:asciiTheme="minorEastAsia" w:eastAsiaTheme="minorEastAsia" w:hAnsiTheme="minorEastAsia" w:hint="eastAsia"/>
                <w:szCs w:val="21"/>
                <w:highlight w:val="none"/>
              </w:rPr>
              <w:t>40分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5</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机电设施设备管理服务</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numPr>
                <w:ilvl w:val="0"/>
                <w:numId w:val="7"/>
              </w:numPr>
              <w:snapToGrid w:val="0"/>
              <w:spacing w:line="360" w:lineRule="auto"/>
              <w:ind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评分内容：针对本项目制定机电设施设备管理制度、</w:t>
            </w:r>
            <w:r>
              <w:rPr>
                <w:rFonts w:asciiTheme="minorEastAsia" w:eastAsiaTheme="minorEastAsia" w:hAnsiTheme="minorEastAsia" w:hint="eastAsia"/>
                <w:szCs w:val="21"/>
                <w:highlight w:val="none"/>
              </w:rPr>
              <w:t>具体</w:t>
            </w:r>
            <w:r>
              <w:rPr>
                <w:rFonts w:asciiTheme="minorEastAsia" w:eastAsiaTheme="minorEastAsia" w:hAnsiTheme="minorEastAsia"/>
                <w:szCs w:val="21"/>
                <w:highlight w:val="none"/>
              </w:rPr>
              <w:t>实施方案等进行评价，内容</w:t>
            </w:r>
            <w:r>
              <w:rPr>
                <w:rFonts w:asciiTheme="minorEastAsia" w:eastAsiaTheme="minorEastAsia" w:hAnsiTheme="minorEastAsia" w:hint="eastAsia"/>
                <w:szCs w:val="21"/>
                <w:highlight w:val="none"/>
              </w:rPr>
              <w:t>在满足招标文件需求的前提下</w:t>
            </w:r>
            <w:r>
              <w:rPr>
                <w:rFonts w:asciiTheme="minorEastAsia" w:eastAsiaTheme="minorEastAsia" w:hAnsiTheme="minorEastAsia"/>
                <w:szCs w:val="21"/>
                <w:highlight w:val="none"/>
              </w:rPr>
              <w:t>包括</w:t>
            </w:r>
            <w:r>
              <w:rPr>
                <w:rFonts w:asciiTheme="minorEastAsia" w:eastAsiaTheme="minorEastAsia" w:hAnsiTheme="minorEastAsia" w:hint="eastAsia"/>
                <w:szCs w:val="21"/>
                <w:highlight w:val="none"/>
                <w:lang w:eastAsia="zh-CN"/>
              </w:rPr>
              <w:t>以下两点</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机电设施设备管理制度；</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hint="eastAsia"/>
                <w:szCs w:val="21"/>
                <w:highlight w:val="none"/>
              </w:rPr>
              <w:t>具体</w:t>
            </w:r>
            <w:r>
              <w:rPr>
                <w:rFonts w:asciiTheme="minorEastAsia" w:eastAsiaTheme="minorEastAsia" w:hAnsiTheme="minorEastAsia"/>
                <w:szCs w:val="21"/>
                <w:highlight w:val="none"/>
              </w:rPr>
              <w:t>实施方案；</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w:t>
            </w:r>
            <w:r>
              <w:rPr>
                <w:rFonts w:asciiTheme="minorEastAsia" w:eastAsiaTheme="minorEastAsia" w:hAnsiTheme="minorEastAsia" w:hint="eastAsia"/>
                <w:szCs w:val="21"/>
                <w:highlight w:val="none"/>
              </w:rPr>
              <w:t>40分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6</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突发事件应急处理措施</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（一）评分内容：针对本项目制定的各类应急预案进行评价，内容</w:t>
            </w:r>
            <w:r>
              <w:rPr>
                <w:rFonts w:asciiTheme="minorEastAsia" w:eastAsiaTheme="minorEastAsia" w:hAnsiTheme="minorEastAsia" w:hint="eastAsia"/>
                <w:szCs w:val="21"/>
                <w:highlight w:val="none"/>
              </w:rPr>
              <w:t>在满足招标文件需求的前提下</w:t>
            </w:r>
            <w:r>
              <w:rPr>
                <w:rFonts w:asciiTheme="minorEastAsia" w:eastAsiaTheme="minorEastAsia" w:hAnsiTheme="minorEastAsia"/>
                <w:szCs w:val="21"/>
                <w:highlight w:val="none"/>
              </w:rPr>
              <w:t>包括以下</w:t>
            </w:r>
            <w:r>
              <w:rPr>
                <w:rFonts w:asciiTheme="minorEastAsia" w:eastAsiaTheme="minorEastAsia" w:hAnsiTheme="minorEastAsia" w:hint="eastAsia"/>
                <w:szCs w:val="21"/>
                <w:highlight w:val="none"/>
              </w:rPr>
              <w:t>八</w:t>
            </w:r>
            <w:r>
              <w:rPr>
                <w:rFonts w:asciiTheme="minorEastAsia" w:eastAsiaTheme="minorEastAsia" w:hAnsiTheme="minorEastAsia"/>
                <w:szCs w:val="21"/>
                <w:highlight w:val="none"/>
              </w:rPr>
              <w:t>点：</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火灾紧急处理预案</w:t>
            </w:r>
            <w:r>
              <w:rPr>
                <w:rFonts w:asciiTheme="minorEastAsia" w:eastAsia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电梯故障应急预案</w:t>
            </w:r>
            <w:r>
              <w:rPr>
                <w:rFonts w:asciiTheme="minorEastAsia" w:eastAsia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3.</w:t>
            </w:r>
            <w:r>
              <w:rPr>
                <w:rFonts w:asciiTheme="minorEastAsia" w:eastAsiaTheme="minorEastAsia" w:hAnsiTheme="minorEastAsia"/>
                <w:szCs w:val="21"/>
                <w:highlight w:val="none"/>
              </w:rPr>
              <w:t>突发停电事故处理应急预案</w:t>
            </w:r>
            <w:r>
              <w:rPr>
                <w:rFonts w:asciiTheme="minorEastAsia" w:eastAsia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rPr>
            </w:pPr>
            <w:r>
              <w:rPr>
                <w:rFonts w:asciiTheme="minorEastAsia" w:eastAsiaTheme="minorEastAsia" w:hAnsiTheme="minorEastAsia" w:hint="eastAsia"/>
                <w:szCs w:val="21"/>
                <w:lang w:eastAsia="zh-CN"/>
              </w:rPr>
              <w:t>4.</w:t>
            </w:r>
            <w:r>
              <w:rPr>
                <w:rFonts w:asciiTheme="minorEastAsia" w:eastAsiaTheme="minorEastAsia" w:hAnsiTheme="minorEastAsia"/>
                <w:szCs w:val="21"/>
              </w:rPr>
              <w:t>偷盗和抢劫事故处理预案</w:t>
            </w:r>
            <w:r>
              <w:rPr>
                <w:rFonts w:asciiTheme="minorEastAsia" w:eastAsiaTheme="minorEastAsia" w:hAnsiTheme="minorEastAsia" w:hint="eastAsia"/>
                <w:szCs w:val="21"/>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5.</w:t>
            </w:r>
            <w:r>
              <w:rPr>
                <w:rFonts w:asciiTheme="minorEastAsia" w:eastAsiaTheme="minorEastAsia" w:hAnsiTheme="minorEastAsia"/>
                <w:szCs w:val="21"/>
                <w:highlight w:val="none"/>
              </w:rPr>
              <w:t>打架斗殴事故应急预案</w:t>
            </w:r>
            <w:r>
              <w:rPr>
                <w:rFonts w:asciiTheme="minorEastAsia" w:eastAsia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6.</w:t>
            </w:r>
            <w:r>
              <w:rPr>
                <w:rFonts w:asciiTheme="minorEastAsia" w:eastAsiaTheme="minorEastAsia" w:hAnsiTheme="minorEastAsia"/>
                <w:szCs w:val="21"/>
                <w:highlight w:val="none"/>
              </w:rPr>
              <w:t>突发性自然灾害（台风、暴雨）应急预案</w:t>
            </w:r>
            <w:r>
              <w:rPr>
                <w:rFonts w:asciiTheme="minorEastAsia" w:eastAsia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7.</w:t>
            </w:r>
            <w:r>
              <w:rPr>
                <w:rFonts w:asciiTheme="minorEastAsia" w:eastAsiaTheme="minorEastAsia" w:hAnsiTheme="minorEastAsia"/>
                <w:szCs w:val="21"/>
                <w:highlight w:val="none"/>
              </w:rPr>
              <w:t>卫生间污水外溢应急预案</w:t>
            </w:r>
            <w:r>
              <w:rPr>
                <w:rFonts w:asciiTheme="minorEastAsia" w:eastAsia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8.</w:t>
            </w:r>
            <w:r>
              <w:rPr>
                <w:rFonts w:asciiTheme="minorEastAsia" w:eastAsiaTheme="minorEastAsia" w:hAnsiTheme="minorEastAsia" w:hint="eastAsia"/>
                <w:szCs w:val="21"/>
                <w:highlight w:val="none"/>
              </w:rPr>
              <w:t>突发公共卫生事件</w:t>
            </w:r>
            <w:r>
              <w:rPr>
                <w:rFonts w:asciiTheme="minorEastAsia" w:eastAsiaTheme="minorEastAsia" w:hAnsiTheme="minorEastAsia"/>
                <w:szCs w:val="21"/>
                <w:highlight w:val="none"/>
              </w:rPr>
              <w:t>应急处理</w:t>
            </w:r>
            <w:r>
              <w:rPr>
                <w:rFonts w:asciiTheme="minorEastAsia" w:eastAsiaTheme="minorEastAsia" w:hAnsiTheme="minorEastAsia" w:hint="eastAsia"/>
                <w:szCs w:val="21"/>
                <w:highlight w:val="none"/>
              </w:rPr>
              <w:t>预案。</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w:t>
            </w:r>
            <w:r>
              <w:rPr>
                <w:rFonts w:asciiTheme="minorEastAsia" w:eastAsiaTheme="minorEastAsia" w:hAnsiTheme="minorEastAsia" w:hint="eastAsia"/>
                <w:szCs w:val="21"/>
                <w:highlight w:val="none"/>
              </w:rPr>
              <w:t>10分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7</w:t>
            </w:r>
          </w:p>
        </w:tc>
        <w:tc>
          <w:tcPr>
            <w:tcW w:w="1701" w:type="dxa"/>
            <w:tcBorders>
              <w:top w:val="single" w:sz="8" w:space="0" w:color="000000"/>
              <w:left w:val="single" w:sz="8" w:space="0" w:color="000000"/>
              <w:bottom w:val="single" w:sz="8" w:space="0" w:color="000000"/>
              <w:right w:val="single" w:sz="8" w:space="0" w:color="000000"/>
            </w:tcBorders>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项目重点难点分析、应对措施及相关的合理化建议</w:t>
            </w: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5</w:t>
            </w:r>
          </w:p>
        </w:tc>
        <w:tc>
          <w:tcPr>
            <w:tcW w:w="5528" w:type="dxa"/>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b/>
                <w:bCs/>
                <w:szCs w:val="21"/>
                <w:highlight w:val="none"/>
              </w:rPr>
              <w:t>（一）评审内容</w:t>
            </w:r>
            <w:r>
              <w:rPr>
                <w:rFonts w:ascii="宋体" w:hAnsi="宋体" w:cs="宋体" w:hint="eastAsia"/>
                <w:szCs w:val="21"/>
                <w:highlight w:val="none"/>
              </w:rPr>
              <w:t>：</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1.</w:t>
            </w:r>
            <w:r>
              <w:rPr>
                <w:rFonts w:ascii="宋体" w:hAnsi="宋体" w:cs="宋体" w:hint="eastAsia"/>
                <w:szCs w:val="21"/>
                <w:highlight w:val="none"/>
              </w:rPr>
              <w:t>提供符合本项目服务特点的相关重点难点分析；</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2.</w:t>
            </w:r>
            <w:r>
              <w:rPr>
                <w:rFonts w:ascii="宋体" w:hAnsi="宋体" w:cs="宋体" w:hint="eastAsia"/>
                <w:szCs w:val="21"/>
                <w:highlight w:val="none"/>
              </w:rPr>
              <w:t>针对重难点分析提出应对措施，结合上述内容提出相关的合理化建议。</w:t>
            </w:r>
          </w:p>
          <w:p>
            <w:pPr>
              <w:widowControl w:val="0"/>
              <w:wordWrap w:val="0"/>
              <w:spacing w:line="360" w:lineRule="auto"/>
              <w:ind w:firstLine="0" w:firstLineChars="0"/>
              <w:rPr>
                <w:rFonts w:ascii="宋体" w:hAnsi="宋体" w:cs="宋体" w:hint="eastAsia"/>
                <w:b/>
                <w:bCs/>
                <w:szCs w:val="21"/>
                <w:highlight w:val="none"/>
              </w:rPr>
            </w:pPr>
            <w:r>
              <w:rPr>
                <w:rFonts w:ascii="宋体" w:hAnsi="宋体" w:cs="宋体" w:hint="eastAsia"/>
                <w:b/>
                <w:bCs/>
                <w:szCs w:val="21"/>
                <w:highlight w:val="none"/>
              </w:rPr>
              <w:t>（二）评分标准：</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1.</w:t>
            </w:r>
            <w:r>
              <w:rPr>
                <w:rFonts w:ascii="宋体" w:hAnsi="宋体" w:cs="宋体" w:hint="eastAsia"/>
                <w:szCs w:val="21"/>
                <w:highlight w:val="none"/>
              </w:rPr>
              <w:t>每提供上述任意一项内容得40分，本小项累计最高得80分；</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2.</w:t>
            </w:r>
            <w:r>
              <w:rPr>
                <w:rFonts w:ascii="宋体" w:hAnsi="宋体" w:cs="宋体" w:hint="eastAsia"/>
                <w:szCs w:val="21"/>
                <w:highlight w:val="none"/>
              </w:rPr>
              <w:t>在此基础上，专家根据各供应商的具体响应内容按照量化的评审因素指标进一步评审：</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1.重难点分析针对性强、应对措施全面具体，建议科学合理可操作性强，加20分；</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2.重难点分析针对性较强，应对措施较全面，建议科学合理可操作性较好，加10分；</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3.重难点分析无针对性，无应对措施，建议可操作性不可行，不得分。</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注：以上累计得分，最高得100分。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trike/>
                <w:szCs w:val="21"/>
                <w:highlight w:val="none"/>
              </w:rPr>
            </w:pPr>
            <w:r>
              <w:rPr>
                <w:rFonts w:ascii="宋体" w:hAnsi="宋体" w:cs="宋体" w:hint="eastAsia"/>
                <w:szCs w:val="21"/>
                <w:highlight w:val="none"/>
              </w:rPr>
              <w:t>8</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hint="eastAsia"/>
                <w:szCs w:val="21"/>
                <w:highlight w:val="none"/>
              </w:rPr>
              <w:t>安全保卫方案、消防管理</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（一）评分内容：针对本项目制定安全保卫方案、消防管理等进行评价，内容包括</w:t>
            </w:r>
            <w:r>
              <w:rPr>
                <w:rFonts w:asciiTheme="minorEastAsia" w:eastAsiaTheme="minorEastAsia" w:hAnsiTheme="minorEastAsia" w:hint="eastAsia"/>
                <w:szCs w:val="21"/>
                <w:highlight w:val="none"/>
                <w:lang w:eastAsia="zh-CN"/>
              </w:rPr>
              <w:t>以下两点</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安全保卫方案；</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消防管理。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w:t>
            </w:r>
            <w:r>
              <w:rPr>
                <w:rFonts w:asciiTheme="minorEastAsia" w:eastAsiaTheme="minorEastAsia" w:hAnsiTheme="minorEastAsia" w:hint="eastAsia"/>
                <w:szCs w:val="21"/>
                <w:highlight w:val="none"/>
              </w:rPr>
              <w:t>40分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 xml:space="preserve">； </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15分</w:t>
            </w:r>
            <w:r>
              <w:rPr>
                <w:rFonts w:asciiTheme="minorEastAsia" w:eastAsiaTheme="minorEastAsia" w:hAnsiTheme="minorEastAsia"/>
                <w:szCs w:val="21"/>
                <w:highlight w:val="none"/>
              </w:rPr>
              <w:t xml:space="preserve">； </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 xml:space="preserve"> （4）方案不合理、无针对性、无可操作性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9</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医疗辅助管理服务</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3</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（一）评分内容：针对本项目制定的医疗辅助管理</w:t>
            </w:r>
            <w:r>
              <w:rPr>
                <w:rFonts w:asciiTheme="minorEastAsia" w:eastAsiaTheme="minorEastAsia" w:hAnsiTheme="minorEastAsia" w:hint="eastAsia"/>
                <w:szCs w:val="21"/>
                <w:highlight w:val="none"/>
              </w:rPr>
              <w:t xml:space="preserve">方案 </w:t>
            </w:r>
            <w:r>
              <w:rPr>
                <w:rFonts w:asciiTheme="minorEastAsia" w:eastAsiaTheme="minorEastAsia" w:hAnsiTheme="minorEastAsia"/>
                <w:szCs w:val="21"/>
                <w:highlight w:val="none"/>
              </w:rPr>
              <w:t>，内容包括以下</w:t>
            </w:r>
            <w:r>
              <w:rPr>
                <w:rFonts w:asciiTheme="minorEastAsia" w:eastAsiaTheme="minorEastAsia" w:hAnsiTheme="minorEastAsia" w:hint="eastAsia"/>
                <w:szCs w:val="21"/>
                <w:highlight w:val="none"/>
              </w:rPr>
              <w:t>两</w:t>
            </w:r>
            <w:r>
              <w:rPr>
                <w:rFonts w:asciiTheme="minorEastAsia" w:eastAsiaTheme="minorEastAsia" w:hAnsiTheme="minorEastAsia"/>
                <w:szCs w:val="21"/>
                <w:highlight w:val="none"/>
              </w:rPr>
              <w:t>点：</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hint="eastAsia"/>
                <w:szCs w:val="21"/>
                <w:highlight w:val="none"/>
              </w:rPr>
              <w:t>医疗辅助搬运；</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hint="eastAsia"/>
                <w:szCs w:val="21"/>
                <w:highlight w:val="none"/>
              </w:rPr>
              <w:t>中央运送。</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szCs w:val="21"/>
                <w:highlight w:val="none"/>
              </w:rPr>
              <w:t>每提供以上一项得</w:t>
            </w:r>
            <w:r>
              <w:rPr>
                <w:rFonts w:asciiTheme="minorEastAsia" w:eastAsiaTheme="minorEastAsia" w:hAnsiTheme="minorEastAsia" w:hint="eastAsia"/>
                <w:szCs w:val="21"/>
                <w:highlight w:val="none"/>
              </w:rPr>
              <w:t>40分</w:t>
            </w:r>
            <w:r>
              <w:rPr>
                <w:rFonts w:asciiTheme="minorEastAsia" w:eastAsiaTheme="minorEastAsia" w:hAnsiTheme="minorEastAsia"/>
                <w:szCs w:val="21"/>
                <w:highlight w:val="none"/>
              </w:rPr>
              <w:t>，全部提供得</w:t>
            </w:r>
            <w:r>
              <w:rPr>
                <w:rFonts w:asciiTheme="minorEastAsia" w:eastAsiaTheme="minorEastAsia" w:hAnsiTheme="minorEastAsia" w:hint="eastAsia"/>
                <w:szCs w:val="21"/>
                <w:highlight w:val="none"/>
              </w:rPr>
              <w:t>80分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2.</w:t>
            </w:r>
            <w:r>
              <w:rPr>
                <w:rFonts w:asciiTheme="minorEastAsia" w:eastAsiaTheme="minorEastAsia" w:hAnsiTheme="minorEastAsia"/>
                <w:szCs w:val="21"/>
                <w:highlight w:val="none"/>
              </w:rPr>
              <w:t>在此基础上，专家根据各供应商的具体响应内容进一步评审：</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（1）方案整体科学合理、针对性强、可操作性强，评审为优加</w:t>
            </w:r>
            <w:r>
              <w:rPr>
                <w:rFonts w:asciiTheme="minorEastAsia" w:eastAsiaTheme="minorEastAsia" w:hAnsiTheme="minorEastAsia" w:hint="eastAsia"/>
                <w:szCs w:val="21"/>
                <w:highlight w:val="none"/>
              </w:rPr>
              <w:t>20分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（2）方案较合理、有一定针对性、一定可操作性，评审为良加</w:t>
            </w:r>
            <w:r>
              <w:rPr>
                <w:rFonts w:asciiTheme="minorEastAsia" w:eastAsiaTheme="minorEastAsia" w:hAnsiTheme="minorEastAsia" w:hint="eastAsia"/>
                <w:szCs w:val="21"/>
                <w:highlight w:val="none"/>
              </w:rPr>
              <w:t>1</w:t>
            </w:r>
            <w:r>
              <w:rPr>
                <w:rFonts w:asciiTheme="minorEastAsia" w:eastAsiaTheme="minorEastAsia" w:hAnsiTheme="minorEastAsia"/>
                <w:szCs w:val="21"/>
                <w:highlight w:val="none"/>
              </w:rPr>
              <w:t>5</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（3）方案不尽合理、针对性一般、可操作性一般，评审为中加10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（4）方案不合理、无针对性、无可操作性</w:t>
            </w:r>
            <w:r>
              <w:rPr>
                <w:rFonts w:asciiTheme="minorEastAsia" w:eastAsiaTheme="minorEastAsia" w:hAnsiTheme="minorEastAsia" w:hint="eastAsia"/>
                <w:szCs w:val="21"/>
                <w:highlight w:val="none"/>
              </w:rPr>
              <w:t>，</w:t>
            </w:r>
            <w:r>
              <w:rPr>
                <w:rFonts w:asciiTheme="minorEastAsia" w:eastAsiaTheme="minorEastAsia" w:hAnsiTheme="minorEastAsia"/>
                <w:szCs w:val="21"/>
                <w:highlight w:val="none"/>
              </w:rPr>
              <w:t>评审为差不加分。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10</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拟安排本项目管理的项目经理资历</w:t>
            </w:r>
            <w:r>
              <w:rPr>
                <w:rFonts w:asciiTheme="minorEastAsia" w:eastAsiaTheme="minorEastAsia" w:hAnsiTheme="minorEastAsia" w:hint="eastAsia"/>
                <w:szCs w:val="21"/>
                <w:highlight w:val="none"/>
              </w:rPr>
              <w:t>评价（限一人）</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10</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 xml:space="preserve">（一）评分内容： </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拟投入本项目的项目经理（仅限1人）需为投标人自有员工，不满足此项要求，本项不得分，在此基础上：</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 xml:space="preserve">拟安排本项目经理： </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1.具有管理类</w:t>
            </w:r>
            <w:r>
              <w:rPr>
                <w:rFonts w:ascii="宋体" w:hAnsi="宋体" w:hint="eastAsia"/>
                <w:szCs w:val="21"/>
                <w:highlight w:val="none"/>
              </w:rPr>
              <w:t>（包括但不限于：工商管理、人力资源管理等）</w:t>
            </w:r>
            <w:r>
              <w:rPr>
                <w:rFonts w:asciiTheme="minorEastAsia" w:eastAsiaTheme="minorEastAsia" w:hAnsiTheme="minorEastAsia" w:hint="eastAsia"/>
                <w:szCs w:val="21"/>
                <w:highlight w:val="none"/>
              </w:rPr>
              <w:t>研究生学历的，得20分，</w:t>
            </w:r>
            <w:r>
              <w:rPr>
                <w:rFonts w:asciiTheme="minorEastAsia" w:eastAsiaTheme="minorEastAsia" w:hAnsiTheme="minorEastAsia" w:cs="宋体" w:hint="eastAsia"/>
                <w:szCs w:val="21"/>
                <w:highlight w:val="none"/>
              </w:rPr>
              <w:t>本科学历的，得10分</w:t>
            </w:r>
            <w:r>
              <w:rPr>
                <w:rFonts w:asciiTheme="minorEastAsia" w:eastAsiaTheme="minorEastAsia" w:hAnsiTheme="minorEastAsia" w:hint="eastAsia"/>
                <w:szCs w:val="21"/>
                <w:highlight w:val="none"/>
              </w:rPr>
              <w:t>，本项满分20分；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2.具有管理类</w:t>
            </w:r>
            <w:r>
              <w:rPr>
                <w:rFonts w:ascii="宋体" w:hAnsi="宋体" w:hint="eastAsia"/>
                <w:szCs w:val="21"/>
                <w:highlight w:val="none"/>
              </w:rPr>
              <w:t>（包括但不限于：工商管理、人力资源管理等）</w:t>
            </w:r>
            <w:r>
              <w:rPr>
                <w:rFonts w:asciiTheme="minorEastAsia" w:eastAsiaTheme="minorEastAsia" w:hAnsiTheme="minorEastAsia" w:hint="eastAsia"/>
                <w:szCs w:val="21"/>
                <w:highlight w:val="none"/>
              </w:rPr>
              <w:t>副高或以上职称得30分，本项满分30分；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3.具有物业管理师职业资格证或物业管理员（师）职业技能等级证书（职业能力等级：物业管理师或以上级别）的，得25分，本项满分25分；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4.具有五年或以上医院物业服务项目经理（或项目负责人）工作经验，得25分；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以上</w:t>
            </w:r>
            <w:r>
              <w:rPr>
                <w:rFonts w:asciiTheme="minorEastAsia" w:eastAsiaTheme="minorEastAsia" w:hAnsiTheme="minorEastAsia" w:hint="eastAsia"/>
                <w:szCs w:val="21"/>
                <w:highlight w:val="none"/>
              </w:rPr>
              <w:t>四</w:t>
            </w:r>
            <w:r>
              <w:rPr>
                <w:rFonts w:asciiTheme="minorEastAsia" w:eastAsiaTheme="minorEastAsia" w:hAnsiTheme="minorEastAsia"/>
                <w:szCs w:val="21"/>
                <w:highlight w:val="none"/>
              </w:rPr>
              <w:t>项累计最高得100</w:t>
            </w:r>
            <w:r>
              <w:rPr>
                <w:rFonts w:asciiTheme="minorEastAsia" w:eastAsiaTheme="minorEastAsia" w:hAnsiTheme="minorEastAsia" w:hint="eastAsia"/>
                <w:szCs w:val="21"/>
                <w:highlight w:val="none"/>
              </w:rPr>
              <w:t>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（二）评分依据：</w:t>
            </w:r>
          </w:p>
          <w:p>
            <w:pPr>
              <w:widowControl w:val="0"/>
              <w:spacing w:line="360" w:lineRule="auto"/>
              <w:ind w:firstLine="0" w:firstLineChars="0"/>
              <w:jc w:val="left"/>
              <w:rPr>
                <w:rFonts w:ascii="宋体" w:hAnsi="宋体" w:cs="宋体" w:hint="eastAsia"/>
                <w:szCs w:val="21"/>
                <w:highlight w:val="none"/>
              </w:rPr>
            </w:pPr>
            <w:r>
              <w:rPr>
                <w:rFonts w:ascii="宋体" w:hAnsi="宋体" w:cs="宋体" w:hint="eastAsia"/>
                <w:szCs w:val="21"/>
                <w:highlight w:val="none"/>
                <w:lang w:val="en-US" w:eastAsia="zh-CN"/>
              </w:rPr>
              <w:t>1.</w:t>
            </w:r>
            <w:r>
              <w:rPr>
                <w:rFonts w:ascii="宋体" w:hAnsi="宋体" w:cs="宋体" w:hint="eastAsia"/>
                <w:szCs w:val="21"/>
                <w:highlight w:val="none"/>
              </w:rPr>
              <w:t>提供上述人员投标截止日前一个月投标人为其购买的社保证明（由于社保部门或税务部门原因投标截止日前一个月的社保证明无法提供的可往前顺延一个月；如投标人为新成立企业且成立时间不足一个月可提供加盖投标人公章的情况说明或者证明材料亦视为符合；如依法不需要缴纳社会保险的，应提供相应文件证明。</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2.</w:t>
            </w:r>
            <w:r>
              <w:rPr>
                <w:rFonts w:ascii="宋体" w:hAnsi="宋体" w:cs="宋体" w:hint="eastAsia"/>
                <w:szCs w:val="21"/>
                <w:highlight w:val="none"/>
              </w:rPr>
              <w:t>学历证明需提供学历证书及学信网查询记录（https://www.chsi.com.cn/xlcx/index.jsp）；学信网无法查询的需提供毕业院校、人社部门等颁发机构或监管机构等单位出具的证明；海外留学人员学历无法通过学信网查询的，需提供教育部留学服务中心出具的学历学位认证书及教育部留学服务中心官网（http://zwfw.cscse.edu.cn）查询截图。证明材料均提供扫描件。</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3.</w:t>
            </w:r>
            <w:r>
              <w:rPr>
                <w:rFonts w:ascii="宋体" w:hAnsi="宋体" w:cs="宋体" w:hint="eastAsia"/>
                <w:szCs w:val="21"/>
                <w:highlight w:val="none"/>
              </w:rPr>
              <w:t>涉及职称，需同时提供证书在全国人力资源和社会保障政务服务平台（https://www.12333.gov.cn/）的查询截图，该网站不能查询的，需提供人社部门或发证部门官网查询截图或出具的证明文件，否则不得分；涉及职业资格证书或职业技能等级证书的，需同时提供证书在技能人才评价证书全国联网查询平台（http://zscx.osta.org.cn/）的查询截图，否则不得分。</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4.</w:t>
            </w:r>
            <w:r>
              <w:rPr>
                <w:rFonts w:ascii="宋体" w:hAnsi="宋体" w:cs="宋体" w:hint="eastAsia"/>
                <w:szCs w:val="21"/>
                <w:highlight w:val="none"/>
              </w:rPr>
              <w:t>工作经验证明：要求提供项目合同关键信息（含合同签约主体名称、项目（合同）名称、服务内容、人员名单（需体现项目经理或项目负责人姓名）、签订合同时间、签约主体公章等关键信息）作为得分依据，通过合同关键信息无法判断是否得分的，还需同时提供合同甲方出具的证明材料（加盖合同甲方的公章或业务章）。其他资料不得分。</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5.</w:t>
            </w:r>
            <w:r>
              <w:rPr>
                <w:rFonts w:ascii="宋体" w:hAnsi="宋体" w:cs="宋体" w:hint="eastAsia"/>
                <w:szCs w:val="21"/>
                <w:highlight w:val="none"/>
              </w:rPr>
              <w:t>提供人员的资质证书扫描件。若人员证书为由社会组织颁发的证书，还需同时提供该组织在“中国社会组织政务服务平台（全国社会组织信用信息公示平台）https://chinanpo.mca.gov.cn/”的查询截图（截图需体现网址且状态为正常），否则该证书不得分。</w:t>
            </w:r>
          </w:p>
          <w:p>
            <w:pPr>
              <w:widowControl w:val="0"/>
              <w:snapToGrid w:val="0"/>
              <w:spacing w:line="360" w:lineRule="auto"/>
              <w:ind w:firstLine="0" w:firstLineChars="0"/>
              <w:rPr>
                <w:rFonts w:ascii="宋体" w:hAnsi="宋体" w:cs="宋体" w:hint="eastAsia"/>
                <w:szCs w:val="21"/>
                <w:highlight w:val="none"/>
              </w:rPr>
            </w:pPr>
            <w:r>
              <w:rPr>
                <w:rFonts w:ascii="宋体" w:hAnsi="宋体" w:cs="宋体" w:hint="eastAsia"/>
                <w:szCs w:val="21"/>
                <w:highlight w:val="none"/>
                <w:lang w:eastAsia="zh-CN"/>
              </w:rPr>
              <w:t>6.</w:t>
            </w:r>
            <w:r>
              <w:rPr>
                <w:rFonts w:ascii="宋体" w:hAnsi="宋体" w:cs="宋体" w:hint="eastAsia"/>
                <w:szCs w:val="21"/>
                <w:highlight w:val="none"/>
              </w:rPr>
              <w:t>以上资料均要求提供扫描件。评分中出现无证明资料或专家无法凭所提供资料判断是否得分的情况，一律作不得分处理。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left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11</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拟投入本项目相关人员持证情况</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18</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w:t>
            </w:r>
          </w:p>
          <w:p>
            <w:pPr>
              <w:widowControl w:val="0"/>
              <w:snapToGrid w:val="0"/>
              <w:spacing w:line="360" w:lineRule="auto"/>
              <w:ind w:firstLine="0" w:firstLineChars="0"/>
              <w:rPr>
                <w:rFonts w:asciiTheme="minorEastAsia" w:eastAsiaTheme="minorEastAsia" w:hAnsiTheme="minorEastAsia" w:hint="eastAsia"/>
                <w:b/>
                <w:bCs/>
                <w:szCs w:val="21"/>
                <w:highlight w:val="none"/>
              </w:rPr>
            </w:pPr>
            <w:r>
              <w:rPr>
                <w:rFonts w:asciiTheme="minorEastAsia" w:eastAsiaTheme="minorEastAsia" w:hAnsiTheme="minorEastAsia" w:hint="eastAsia"/>
                <w:b/>
                <w:bCs/>
                <w:szCs w:val="21"/>
                <w:highlight w:val="none"/>
              </w:rPr>
              <w:t>1.工程主管（1人），本项最高</w:t>
            </w:r>
            <w:r>
              <w:rPr>
                <w:rFonts w:asciiTheme="minorEastAsia" w:hAnsiTheme="minorEastAsia" w:hint="eastAsia"/>
                <w:b/>
                <w:bCs/>
                <w:szCs w:val="21"/>
                <w:highlight w:val="none"/>
              </w:rPr>
              <w:t>20</w:t>
            </w:r>
            <w:r>
              <w:rPr>
                <w:rFonts w:asciiTheme="minorEastAsia" w:eastAsiaTheme="minorEastAsia" w:hAnsiTheme="minorEastAsia" w:hint="eastAsia"/>
                <w:b/>
                <w:bCs/>
                <w:szCs w:val="21"/>
                <w:highlight w:val="none"/>
              </w:rPr>
              <w:t>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（1）具有本科（或以上）学历的，得</w:t>
            </w:r>
            <w:r>
              <w:rPr>
                <w:rFonts w:asciiTheme="minorEastAsia" w:hAnsiTheme="minorEastAsia" w:hint="eastAsia"/>
                <w:szCs w:val="21"/>
                <w:highlight w:val="none"/>
              </w:rPr>
              <w:t>5</w:t>
            </w:r>
            <w:r>
              <w:rPr>
                <w:rFonts w:asciiTheme="minorEastAsia" w:eastAsiaTheme="minorEastAsia" w:hAnsiTheme="minorEastAsia" w:hint="eastAsia"/>
                <w:szCs w:val="21"/>
                <w:highlight w:val="none"/>
              </w:rPr>
              <w:t>分；</w:t>
            </w:r>
          </w:p>
          <w:p>
            <w:pPr>
              <w:widowControl w:val="0"/>
              <w:snapToGrid w:val="0"/>
              <w:spacing w:line="360" w:lineRule="auto"/>
              <w:ind w:firstLine="0" w:firstLineChars="0"/>
              <w:jc w:val="left"/>
              <w:rPr>
                <w:rFonts w:asciiTheme="minorEastAsia" w:eastAsiaTheme="minorEastAsia" w:hAnsiTheme="minorEastAsia" w:hint="eastAsia"/>
                <w:bCs/>
                <w:spacing w:val="10"/>
                <w:kern w:val="0"/>
                <w:szCs w:val="21"/>
                <w:highlight w:val="none"/>
              </w:rPr>
            </w:pPr>
            <w:r>
              <w:rPr>
                <w:rFonts w:asciiTheme="minorEastAsia" w:eastAsiaTheme="minorEastAsia" w:hAnsiTheme="minorEastAsia" w:hint="eastAsia"/>
                <w:bCs/>
                <w:spacing w:val="10"/>
                <w:kern w:val="0"/>
                <w:szCs w:val="21"/>
                <w:highlight w:val="none"/>
              </w:rPr>
              <w:t>（2）</w:t>
            </w:r>
            <w:r>
              <w:rPr>
                <w:rFonts w:ascii="宋体" w:hAnsi="宋体" w:hint="eastAsia"/>
                <w:bCs/>
                <w:spacing w:val="10"/>
                <w:kern w:val="0"/>
                <w:szCs w:val="21"/>
                <w:highlight w:val="none"/>
              </w:rPr>
              <w:t>具有人社部门（或其他具备职称评定资格的单位或机构）颁发的中级职称证书（专业：机电类或电气类相关类别）的</w:t>
            </w:r>
            <w:r>
              <w:rPr>
                <w:rFonts w:asciiTheme="minorEastAsia" w:eastAsiaTheme="minorEastAsia" w:hAnsiTheme="minorEastAsia" w:hint="eastAsia"/>
                <w:bCs/>
                <w:spacing w:val="10"/>
                <w:kern w:val="0"/>
                <w:szCs w:val="21"/>
                <w:highlight w:val="none"/>
              </w:rPr>
              <w:t>，得5分</w:t>
            </w:r>
            <w:r>
              <w:rPr>
                <w:rFonts w:asciiTheme="minorEastAsia" w:hAnsiTheme="minorEastAsia" w:hint="eastAsia"/>
                <w:bCs/>
                <w:spacing w:val="10"/>
                <w:kern w:val="0"/>
                <w:szCs w:val="21"/>
                <w:highlight w:val="none"/>
              </w:rPr>
              <w:t>；</w:t>
            </w:r>
            <w:r>
              <w:rPr>
                <w:rFonts w:asciiTheme="minorEastAsia" w:eastAsiaTheme="minorEastAsia" w:hAnsiTheme="minorEastAsia" w:hint="eastAsia"/>
                <w:bCs/>
                <w:spacing w:val="10"/>
                <w:kern w:val="0"/>
                <w:szCs w:val="21"/>
                <w:highlight w:val="none"/>
              </w:rPr>
              <w:t>副高级职称（或以上）证书的得1</w:t>
            </w:r>
            <w:r>
              <w:rPr>
                <w:rFonts w:asciiTheme="minorEastAsia" w:hAnsiTheme="minorEastAsia" w:hint="eastAsia"/>
                <w:bCs/>
                <w:spacing w:val="10"/>
                <w:kern w:val="0"/>
                <w:szCs w:val="21"/>
                <w:highlight w:val="none"/>
              </w:rPr>
              <w:t>0</w:t>
            </w:r>
            <w:r>
              <w:rPr>
                <w:rFonts w:asciiTheme="minorEastAsia" w:eastAsiaTheme="minorEastAsia" w:hAnsiTheme="minorEastAsia" w:hint="eastAsia"/>
                <w:bCs/>
                <w:spacing w:val="10"/>
                <w:kern w:val="0"/>
                <w:szCs w:val="21"/>
                <w:highlight w:val="none"/>
              </w:rPr>
              <w:t>分，本项满分10分；</w:t>
            </w:r>
          </w:p>
          <w:p>
            <w:pPr>
              <w:widowControl w:val="0"/>
              <w:snapToGrid w:val="0"/>
              <w:spacing w:line="360" w:lineRule="auto"/>
              <w:ind w:firstLine="0" w:firstLineChars="0"/>
              <w:jc w:val="left"/>
              <w:rPr>
                <w:rFonts w:asciiTheme="minorEastAsia" w:eastAsiaTheme="minorEastAsia" w:hAnsiTheme="minorEastAsia" w:hint="eastAsia"/>
                <w:bCs/>
                <w:spacing w:val="10"/>
                <w:kern w:val="0"/>
                <w:szCs w:val="21"/>
                <w:highlight w:val="none"/>
              </w:rPr>
            </w:pPr>
            <w:r>
              <w:rPr>
                <w:rFonts w:asciiTheme="minorEastAsia" w:eastAsiaTheme="minorEastAsia" w:hAnsiTheme="minorEastAsia" w:hint="eastAsia"/>
                <w:bCs/>
                <w:spacing w:val="10"/>
                <w:kern w:val="0"/>
                <w:szCs w:val="21"/>
                <w:highlight w:val="none"/>
              </w:rPr>
              <w:t>（3）</w:t>
            </w:r>
            <w:r>
              <w:rPr>
                <w:rFonts w:asciiTheme="minorEastAsia" w:hAnsiTheme="minorEastAsia" w:hint="eastAsia"/>
                <w:bCs/>
                <w:spacing w:val="10"/>
                <w:kern w:val="0"/>
                <w:szCs w:val="21"/>
                <w:highlight w:val="none"/>
              </w:rPr>
              <w:t>具</w:t>
            </w:r>
            <w:r>
              <w:rPr>
                <w:rFonts w:asciiTheme="minorEastAsia" w:eastAsiaTheme="minorEastAsia" w:hAnsiTheme="minorEastAsia" w:hint="eastAsia"/>
                <w:bCs/>
                <w:spacing w:val="10"/>
                <w:kern w:val="0"/>
                <w:szCs w:val="21"/>
                <w:highlight w:val="none"/>
              </w:rPr>
              <w:t>有5年或以上医院物业管理工作经验（负责机电维保管理相关工作），得</w:t>
            </w:r>
            <w:r>
              <w:rPr>
                <w:rFonts w:asciiTheme="minorEastAsia" w:hAnsiTheme="minorEastAsia" w:hint="eastAsia"/>
                <w:bCs/>
                <w:spacing w:val="10"/>
                <w:kern w:val="0"/>
                <w:szCs w:val="21"/>
                <w:highlight w:val="none"/>
              </w:rPr>
              <w:t>5</w:t>
            </w:r>
            <w:r>
              <w:rPr>
                <w:rFonts w:asciiTheme="minorEastAsia" w:eastAsiaTheme="minorEastAsia" w:hAnsiTheme="minorEastAsia" w:hint="eastAsia"/>
                <w:bCs/>
                <w:spacing w:val="10"/>
                <w:kern w:val="0"/>
                <w:szCs w:val="21"/>
                <w:highlight w:val="none"/>
              </w:rPr>
              <w:t>分</w:t>
            </w:r>
            <w:r>
              <w:rPr>
                <w:rFonts w:asciiTheme="minorEastAsia" w:hAnsiTheme="minorEastAsia" w:hint="eastAsia"/>
                <w:bCs/>
                <w:spacing w:val="10"/>
                <w:kern w:val="0"/>
                <w:szCs w:val="21"/>
                <w:highlight w:val="none"/>
              </w:rPr>
              <w:t>。</w:t>
            </w:r>
          </w:p>
          <w:p>
            <w:pPr>
              <w:widowControl w:val="0"/>
              <w:snapToGrid w:val="0"/>
              <w:spacing w:line="360" w:lineRule="auto"/>
              <w:ind w:firstLine="0" w:firstLineChars="0"/>
              <w:rPr>
                <w:rFonts w:asciiTheme="minorEastAsia" w:eastAsiaTheme="minorEastAsia" w:hAnsiTheme="minorEastAsia" w:hint="eastAsia"/>
                <w:b/>
                <w:bCs/>
                <w:szCs w:val="21"/>
                <w:highlight w:val="none"/>
              </w:rPr>
            </w:pPr>
            <w:r>
              <w:rPr>
                <w:rFonts w:asciiTheme="minorEastAsia" w:eastAsiaTheme="minorEastAsia" w:hAnsiTheme="minorEastAsia" w:hint="eastAsia"/>
                <w:b/>
                <w:bCs/>
                <w:szCs w:val="21"/>
                <w:highlight w:val="none"/>
              </w:rPr>
              <w:t>2.保洁主管：（1人），本项最高</w:t>
            </w:r>
            <w:r>
              <w:rPr>
                <w:rFonts w:asciiTheme="minorEastAsia" w:hAnsiTheme="minorEastAsia" w:hint="eastAsia"/>
                <w:b/>
                <w:bCs/>
                <w:szCs w:val="21"/>
                <w:highlight w:val="none"/>
              </w:rPr>
              <w:t>20</w:t>
            </w:r>
            <w:r>
              <w:rPr>
                <w:rFonts w:asciiTheme="minorEastAsia" w:eastAsiaTheme="minorEastAsia" w:hAnsiTheme="minorEastAsia" w:hint="eastAsia"/>
                <w:b/>
                <w:bCs/>
                <w:szCs w:val="21"/>
                <w:highlight w:val="none"/>
              </w:rPr>
              <w:t>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（1）具有本科或以上学历的，得</w:t>
            </w:r>
            <w:r>
              <w:rPr>
                <w:rFonts w:asciiTheme="minorEastAsia" w:hAnsiTheme="minorEastAsia" w:hint="eastAsia"/>
                <w:szCs w:val="21"/>
                <w:highlight w:val="none"/>
              </w:rPr>
              <w:t>5</w:t>
            </w:r>
            <w:r>
              <w:rPr>
                <w:rFonts w:asciiTheme="minorEastAsia" w:eastAsiaTheme="minorEastAsia" w:hAnsiTheme="minorEastAsia" w:hint="eastAsia"/>
                <w:szCs w:val="21"/>
                <w:highlight w:val="none"/>
              </w:rPr>
              <w:t>分</w:t>
            </w:r>
            <w:r>
              <w:rPr>
                <w:rFonts w:ascii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w:t>
            </w:r>
            <w:r>
              <w:rPr>
                <w:rFonts w:asciiTheme="minorEastAsia" w:hAnsiTheme="minorEastAsia" w:hint="eastAsia"/>
                <w:szCs w:val="21"/>
                <w:highlight w:val="none"/>
              </w:rPr>
              <w:t>2</w:t>
            </w:r>
            <w:r>
              <w:rPr>
                <w:rFonts w:asciiTheme="minorEastAsia" w:eastAsiaTheme="minorEastAsia" w:hAnsiTheme="minorEastAsia" w:hint="eastAsia"/>
                <w:szCs w:val="21"/>
                <w:highlight w:val="none"/>
              </w:rPr>
              <w:t>）具有环卫清洁相关行业协会颁发的高级清洁管理师（项目经理）或高级清洁管理师项目经理证书的得</w:t>
            </w:r>
            <w:r>
              <w:rPr>
                <w:rFonts w:asciiTheme="minorEastAsia" w:hAnsiTheme="minorEastAsia" w:hint="eastAsia"/>
                <w:szCs w:val="21"/>
                <w:highlight w:val="none"/>
              </w:rPr>
              <w:t>10</w:t>
            </w:r>
            <w:r>
              <w:rPr>
                <w:rFonts w:asciiTheme="minorEastAsia" w:eastAsiaTheme="minorEastAsia" w:hAnsiTheme="minorEastAsia" w:hint="eastAsia"/>
                <w:szCs w:val="21"/>
                <w:highlight w:val="none"/>
              </w:rPr>
              <w:t>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hAnsiTheme="minorEastAsia" w:hint="eastAsia"/>
                <w:szCs w:val="21"/>
                <w:highlight w:val="none"/>
              </w:rPr>
              <w:t>（3）</w:t>
            </w:r>
            <w:r>
              <w:rPr>
                <w:rFonts w:asciiTheme="minorEastAsia" w:eastAsiaTheme="minorEastAsia" w:hAnsiTheme="minorEastAsia" w:hint="eastAsia"/>
                <w:szCs w:val="21"/>
                <w:highlight w:val="none"/>
              </w:rPr>
              <w:t>具有物业保洁管理相关工作经验3年（或以上），得</w:t>
            </w:r>
            <w:r>
              <w:rPr>
                <w:rFonts w:asciiTheme="minorEastAsia" w:hAnsiTheme="minorEastAsia" w:hint="eastAsia"/>
                <w:szCs w:val="21"/>
                <w:highlight w:val="none"/>
              </w:rPr>
              <w:t>5</w:t>
            </w:r>
            <w:r>
              <w:rPr>
                <w:rFonts w:asciiTheme="minorEastAsia" w:eastAsiaTheme="minorEastAsia" w:hAnsiTheme="minorEastAsia" w:hint="eastAsia"/>
                <w:szCs w:val="21"/>
                <w:highlight w:val="none"/>
              </w:rPr>
              <w:t>分。</w:t>
            </w:r>
          </w:p>
          <w:p>
            <w:pPr>
              <w:widowControl w:val="0"/>
              <w:snapToGrid w:val="0"/>
              <w:spacing w:line="360" w:lineRule="auto"/>
              <w:ind w:firstLine="0" w:firstLineChars="0"/>
              <w:rPr>
                <w:rFonts w:asciiTheme="minorEastAsia" w:eastAsiaTheme="minorEastAsia" w:hAnsiTheme="minorEastAsia" w:hint="eastAsia"/>
                <w:b/>
                <w:bCs/>
                <w:szCs w:val="21"/>
                <w:highlight w:val="none"/>
              </w:rPr>
            </w:pPr>
            <w:r>
              <w:rPr>
                <w:rFonts w:asciiTheme="minorEastAsia" w:hAnsiTheme="minorEastAsia" w:hint="eastAsia"/>
                <w:b/>
                <w:bCs/>
                <w:szCs w:val="21"/>
                <w:highlight w:val="none"/>
              </w:rPr>
              <w:t>3</w:t>
            </w:r>
            <w:r>
              <w:rPr>
                <w:rFonts w:asciiTheme="minorEastAsia" w:eastAsiaTheme="minorEastAsia" w:hAnsiTheme="minorEastAsia" w:hint="eastAsia"/>
                <w:b/>
                <w:bCs/>
                <w:szCs w:val="21"/>
                <w:highlight w:val="none"/>
              </w:rPr>
              <w:t>.</w:t>
            </w:r>
            <w:r>
              <w:rPr>
                <w:rFonts w:asciiTheme="minorEastAsia" w:hAnsiTheme="minorEastAsia" w:hint="eastAsia"/>
                <w:b/>
                <w:bCs/>
                <w:szCs w:val="21"/>
                <w:highlight w:val="none"/>
              </w:rPr>
              <w:t>安保</w:t>
            </w:r>
            <w:r>
              <w:rPr>
                <w:rFonts w:asciiTheme="minorEastAsia" w:eastAsiaTheme="minorEastAsia" w:hAnsiTheme="minorEastAsia" w:hint="eastAsia"/>
                <w:b/>
                <w:bCs/>
                <w:szCs w:val="21"/>
                <w:highlight w:val="none"/>
              </w:rPr>
              <w:t>主管：（1人），本项目最高</w:t>
            </w:r>
            <w:r>
              <w:rPr>
                <w:rFonts w:asciiTheme="minorEastAsia" w:hAnsiTheme="minorEastAsia" w:hint="eastAsia"/>
                <w:b/>
                <w:bCs/>
                <w:szCs w:val="21"/>
                <w:highlight w:val="none"/>
              </w:rPr>
              <w:t>15</w:t>
            </w:r>
            <w:r>
              <w:rPr>
                <w:rFonts w:asciiTheme="minorEastAsia" w:eastAsiaTheme="minorEastAsia" w:hAnsiTheme="minorEastAsia" w:hint="eastAsia"/>
                <w:b/>
                <w:bCs/>
                <w:szCs w:val="21"/>
                <w:highlight w:val="none"/>
              </w:rPr>
              <w:t>分</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（1）具有本科（或以上）学历，得5分；</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（2）具有退役军人相关证明，得5分；</w:t>
            </w:r>
          </w:p>
          <w:p>
            <w:pPr>
              <w:widowControl w:val="0"/>
              <w:snapToGrid w:val="0"/>
              <w:spacing w:line="360" w:lineRule="auto"/>
              <w:ind w:firstLine="0" w:firstLineChars="0"/>
              <w:rPr>
                <w:rFonts w:asciiTheme="minorEastAsia" w:hAnsiTheme="minorEastAsia" w:hint="eastAsia"/>
                <w:szCs w:val="21"/>
                <w:highlight w:val="none"/>
              </w:rPr>
            </w:pPr>
            <w:r>
              <w:rPr>
                <w:rFonts w:asciiTheme="minorEastAsia" w:eastAsiaTheme="minorEastAsia" w:hAnsiTheme="minorEastAsia" w:hint="eastAsia"/>
                <w:szCs w:val="21"/>
                <w:highlight w:val="none"/>
              </w:rPr>
              <w:t>（</w:t>
            </w:r>
            <w:r>
              <w:rPr>
                <w:rFonts w:asciiTheme="minorEastAsia" w:hAnsiTheme="minorEastAsia" w:hint="eastAsia"/>
                <w:szCs w:val="21"/>
                <w:highlight w:val="none"/>
              </w:rPr>
              <w:t>3</w:t>
            </w:r>
            <w:r>
              <w:rPr>
                <w:rFonts w:asciiTheme="minorEastAsia" w:eastAsiaTheme="minorEastAsia" w:hAnsiTheme="minorEastAsia" w:hint="eastAsia"/>
                <w:szCs w:val="21"/>
                <w:highlight w:val="none"/>
              </w:rPr>
              <w:t>）</w:t>
            </w:r>
            <w:r>
              <w:rPr>
                <w:rFonts w:ascii="宋体" w:hAnsi="宋体" w:cs="宋体" w:hint="eastAsia"/>
                <w:szCs w:val="21"/>
                <w:highlight w:val="none"/>
              </w:rPr>
              <w:t>具有物业安保管理相关工作经验3年（或以上），</w:t>
            </w:r>
            <w:r>
              <w:rPr>
                <w:rFonts w:asciiTheme="minorEastAsia" w:eastAsiaTheme="minorEastAsia" w:hAnsiTheme="minorEastAsia" w:hint="eastAsia"/>
                <w:szCs w:val="21"/>
                <w:highlight w:val="none"/>
              </w:rPr>
              <w:t>得5分</w:t>
            </w:r>
            <w:r>
              <w:rPr>
                <w:rFonts w:asciiTheme="minorEastAsia" w:hAnsiTheme="minorEastAsia" w:hint="eastAsia"/>
                <w:szCs w:val="21"/>
                <w:highlight w:val="none"/>
              </w:rPr>
              <w:t>。</w:t>
            </w:r>
          </w:p>
          <w:p>
            <w:pPr>
              <w:widowControl w:val="0"/>
              <w:snapToGrid w:val="0"/>
              <w:spacing w:line="360" w:lineRule="auto"/>
              <w:ind w:firstLine="0" w:firstLineChars="0"/>
              <w:rPr>
                <w:rFonts w:asciiTheme="minorEastAsia" w:eastAsiaTheme="minorEastAsia" w:hAnsiTheme="minorEastAsia" w:hint="eastAsia"/>
                <w:b/>
                <w:bCs/>
                <w:szCs w:val="21"/>
                <w:highlight w:val="none"/>
              </w:rPr>
            </w:pPr>
            <w:r>
              <w:rPr>
                <w:rFonts w:asciiTheme="minorEastAsia" w:hAnsiTheme="minorEastAsia" w:hint="eastAsia"/>
                <w:b/>
                <w:bCs/>
                <w:szCs w:val="21"/>
                <w:highlight w:val="none"/>
              </w:rPr>
              <w:t>4</w:t>
            </w:r>
            <w:r>
              <w:rPr>
                <w:rFonts w:asciiTheme="minorEastAsia" w:eastAsiaTheme="minorEastAsia" w:hAnsiTheme="minorEastAsia" w:hint="eastAsia"/>
                <w:b/>
                <w:bCs/>
                <w:szCs w:val="21"/>
                <w:highlight w:val="none"/>
              </w:rPr>
              <w:t>.</w:t>
            </w:r>
            <w:r>
              <w:rPr>
                <w:rFonts w:asciiTheme="minorEastAsia" w:eastAsiaTheme="minorEastAsia" w:hAnsiTheme="minorEastAsia"/>
                <w:b/>
                <w:bCs/>
                <w:szCs w:val="21"/>
                <w:highlight w:val="none"/>
              </w:rPr>
              <w:t>医辅主管</w:t>
            </w:r>
            <w:r>
              <w:rPr>
                <w:rFonts w:asciiTheme="minorEastAsia" w:eastAsiaTheme="minorEastAsia" w:hAnsiTheme="minorEastAsia" w:hint="eastAsia"/>
                <w:b/>
                <w:bCs/>
                <w:szCs w:val="21"/>
                <w:highlight w:val="none"/>
                <w:lang w:val="en-US" w:eastAsia="zh-CN"/>
              </w:rPr>
              <w:t>:</w:t>
            </w:r>
            <w:r>
              <w:rPr>
                <w:rFonts w:asciiTheme="minorEastAsia" w:eastAsiaTheme="minorEastAsia" w:hAnsiTheme="minorEastAsia" w:hint="eastAsia"/>
                <w:b/>
                <w:bCs/>
                <w:szCs w:val="21"/>
                <w:highlight w:val="none"/>
              </w:rPr>
              <w:t>（1人），本项最高1</w:t>
            </w:r>
            <w:r>
              <w:rPr>
                <w:rFonts w:asciiTheme="minorEastAsia" w:hAnsiTheme="minorEastAsia" w:hint="eastAsia"/>
                <w:b/>
                <w:bCs/>
                <w:szCs w:val="21"/>
                <w:highlight w:val="none"/>
              </w:rPr>
              <w:t>5</w:t>
            </w:r>
            <w:r>
              <w:rPr>
                <w:rFonts w:asciiTheme="minorEastAsia" w:eastAsiaTheme="minorEastAsia" w:hAnsiTheme="minorEastAsia" w:hint="eastAsia"/>
                <w:b/>
                <w:bCs/>
                <w:szCs w:val="21"/>
                <w:highlight w:val="none"/>
              </w:rPr>
              <w:t>分</w:t>
            </w:r>
            <w:r>
              <w:rPr>
                <w:rFonts w:asciiTheme="minorEastAsia" w:eastAsiaTheme="minorEastAsia" w:hAnsiTheme="minorEastAsia"/>
                <w:b/>
                <w:bCs/>
                <w:szCs w:val="21"/>
                <w:highlight w:val="none"/>
              </w:rPr>
              <w:t>：</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（1）具有护理类本科或以上学历证书的得5分；</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（2）具有人社部门（或其他具备职称评定资格的单位或机构）颁发的护理学类中级或以上职称的得5分；</w:t>
            </w:r>
          </w:p>
          <w:p>
            <w:pPr>
              <w:widowControl w:val="0"/>
              <w:topLinePunct/>
              <w:spacing w:line="360" w:lineRule="auto"/>
              <w:ind w:firstLine="0" w:firstLineChars="0"/>
              <w:rPr>
                <w:rFonts w:ascii="宋体" w:hAnsi="宋体" w:cs="宋体" w:hint="eastAsia"/>
                <w:szCs w:val="21"/>
                <w:highlight w:val="none"/>
              </w:rPr>
            </w:pPr>
            <w:r>
              <w:rPr>
                <w:rFonts w:ascii="宋体" w:hAnsi="宋体" w:hint="eastAsia"/>
                <w:szCs w:val="21"/>
                <w:highlight w:val="none"/>
              </w:rPr>
              <w:t>（3）</w:t>
            </w:r>
            <w:r>
              <w:rPr>
                <w:rFonts w:ascii="宋体" w:hAnsi="宋体" w:cs="宋体" w:hint="eastAsia"/>
                <w:szCs w:val="21"/>
                <w:highlight w:val="none"/>
              </w:rPr>
              <w:t>具有物业医疗辅助管理相关工作经验3年（或以上），得</w:t>
            </w:r>
            <w:r>
              <w:rPr>
                <w:rFonts w:ascii="宋体" w:hAnsi="宋体" w:hint="eastAsia"/>
                <w:szCs w:val="21"/>
                <w:highlight w:val="none"/>
              </w:rPr>
              <w:t>5</w:t>
            </w:r>
            <w:r>
              <w:rPr>
                <w:rFonts w:ascii="宋体" w:hAnsi="宋体" w:cs="宋体" w:hint="eastAsia"/>
                <w:szCs w:val="21"/>
                <w:highlight w:val="none"/>
              </w:rPr>
              <w:t>分。</w:t>
            </w:r>
          </w:p>
          <w:p>
            <w:pPr>
              <w:widowControl w:val="0"/>
              <w:topLinePunct/>
              <w:spacing w:line="360" w:lineRule="auto"/>
              <w:ind w:firstLine="0" w:firstLineChars="0"/>
              <w:rPr>
                <w:rFonts w:ascii="宋体" w:hAnsi="宋体" w:cs="宋体" w:hint="eastAsia"/>
                <w:b/>
                <w:bCs/>
                <w:szCs w:val="21"/>
                <w:highlight w:val="none"/>
              </w:rPr>
            </w:pPr>
            <w:r>
              <w:rPr>
                <w:rFonts w:ascii="宋体" w:hAnsi="宋体" w:cs="宋体" w:hint="eastAsia"/>
                <w:b/>
                <w:bCs/>
                <w:szCs w:val="21"/>
                <w:highlight w:val="none"/>
              </w:rPr>
              <w:t>5.</w:t>
            </w:r>
            <w:r>
              <w:rPr>
                <w:rFonts w:hint="eastAsia"/>
                <w:b/>
                <w:bCs/>
                <w:highlight w:val="none"/>
              </w:rPr>
              <w:t xml:space="preserve"> </w:t>
            </w:r>
            <w:r>
              <w:rPr>
                <w:rFonts w:ascii="宋体" w:hAnsi="宋体" w:cs="宋体" w:hint="eastAsia"/>
                <w:b/>
                <w:bCs/>
                <w:szCs w:val="21"/>
                <w:highlight w:val="none"/>
              </w:rPr>
              <w:t>综合主管:(1人)，本项最高15分</w:t>
            </w:r>
          </w:p>
          <w:p>
            <w:pPr>
              <w:widowControl w:val="0"/>
              <w:topLinePunct/>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（1）具有本科（或以上）学历的，得5分；</w:t>
            </w:r>
          </w:p>
          <w:p>
            <w:pPr>
              <w:widowControl w:val="0"/>
              <w:topLinePunct/>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（2）具有人社部门（或其他具备职称评定资格的单位或机构）颁发的中级或以上职称（专业：管理类</w:t>
            </w:r>
            <w:r>
              <w:rPr>
                <w:rFonts w:ascii="宋体" w:hAnsi="宋体" w:hint="eastAsia"/>
                <w:szCs w:val="21"/>
                <w:highlight w:val="none"/>
              </w:rPr>
              <w:t>，包括但不限于：工商管理、人力资源管理等</w:t>
            </w:r>
            <w:r>
              <w:rPr>
                <w:rFonts w:ascii="宋体" w:hAnsi="宋体" w:cs="宋体" w:hint="eastAsia"/>
                <w:szCs w:val="21"/>
                <w:highlight w:val="none"/>
              </w:rPr>
              <w:t>）证书，得5分；</w:t>
            </w:r>
          </w:p>
          <w:p>
            <w:pPr>
              <w:widowControl w:val="0"/>
              <w:topLinePunct/>
              <w:spacing w:line="360" w:lineRule="auto"/>
              <w:ind w:firstLine="0" w:firstLineChars="0"/>
              <w:rPr>
                <w:rFonts w:ascii="宋体" w:hAnsi="宋体" w:cs="宋体" w:hint="eastAsia"/>
                <w:szCs w:val="21"/>
                <w:highlight w:val="none"/>
              </w:rPr>
            </w:pPr>
            <w:r>
              <w:rPr>
                <w:rFonts w:ascii="宋体" w:hAnsi="宋体" w:cs="宋体" w:hint="eastAsia"/>
                <w:szCs w:val="21"/>
                <w:highlight w:val="none"/>
              </w:rPr>
              <w:t>（3）具有物业管理师职业资格证或物业管理员（师）职业技能等级证书（职业能力等级：物业管理师或以上级别）的，得5分。</w:t>
            </w:r>
          </w:p>
          <w:p>
            <w:pPr>
              <w:widowControl w:val="0"/>
              <w:snapToGrid w:val="0"/>
              <w:spacing w:line="360" w:lineRule="auto"/>
              <w:ind w:firstLine="0" w:firstLineChars="0"/>
              <w:rPr>
                <w:rFonts w:asciiTheme="minorEastAsia" w:eastAsiaTheme="minorEastAsia" w:hAnsiTheme="minorEastAsia" w:hint="eastAsia"/>
                <w:b/>
                <w:bCs/>
                <w:szCs w:val="21"/>
                <w:highlight w:val="none"/>
              </w:rPr>
            </w:pPr>
            <w:r>
              <w:rPr>
                <w:rFonts w:asciiTheme="minorEastAsia" w:hAnsiTheme="minorEastAsia" w:hint="eastAsia"/>
                <w:b/>
                <w:bCs/>
                <w:szCs w:val="21"/>
                <w:highlight w:val="none"/>
              </w:rPr>
              <w:t>6</w:t>
            </w:r>
            <w:r>
              <w:rPr>
                <w:rFonts w:asciiTheme="minorEastAsia" w:eastAsiaTheme="minorEastAsia" w:hAnsiTheme="minorEastAsia" w:hint="eastAsia"/>
                <w:b/>
                <w:bCs/>
                <w:szCs w:val="21"/>
                <w:highlight w:val="none"/>
              </w:rPr>
              <w:t>.其他成员，同一人具有不同证件不累计加分，本项目最高</w:t>
            </w:r>
            <w:r>
              <w:rPr>
                <w:rFonts w:asciiTheme="minorEastAsia" w:hAnsiTheme="minorEastAsia" w:hint="eastAsia"/>
                <w:b/>
                <w:bCs/>
                <w:szCs w:val="21"/>
                <w:highlight w:val="none"/>
              </w:rPr>
              <w:t>15</w:t>
            </w:r>
            <w:r>
              <w:rPr>
                <w:rFonts w:asciiTheme="minorEastAsia" w:eastAsiaTheme="minorEastAsia" w:hAnsiTheme="minorEastAsia" w:hint="eastAsia"/>
                <w:b/>
                <w:bCs/>
                <w:szCs w:val="21"/>
                <w:highlight w:val="none"/>
              </w:rPr>
              <w:t>分：</w:t>
            </w:r>
          </w:p>
          <w:p>
            <w:pPr>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（1）1人具有在技能人才评价证书全国联网查询平台可查的一级制冷设备维修工证书，得3分，本小项最高得3分；</w:t>
            </w:r>
          </w:p>
          <w:p>
            <w:pPr>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（2）1人具有在技能人才评价证书全国联网查询平台可查的二级或以上绿化工证书，得3分，本小项最高得3分；</w:t>
            </w:r>
          </w:p>
          <w:p>
            <w:pPr>
              <w:spacing w:line="360" w:lineRule="auto"/>
              <w:ind w:firstLine="0" w:firstLineChars="0"/>
              <w:rPr>
                <w:rFonts w:ascii="宋体" w:hAnsi="宋体" w:cs="宋体" w:hint="eastAsia"/>
                <w:szCs w:val="21"/>
                <w:highlight w:val="none"/>
              </w:rPr>
            </w:pPr>
            <w:r>
              <w:rPr>
                <w:rFonts w:ascii="宋体" w:hAnsi="宋体" w:cs="宋体" w:hint="eastAsia"/>
                <w:szCs w:val="21"/>
                <w:highlight w:val="none"/>
              </w:rPr>
              <w:t>（3）每提供1人同时具有防暴指导员证书或退役军人相关证明，得1.5分，本小项最高得3分；</w:t>
            </w:r>
          </w:p>
          <w:p>
            <w:pPr>
              <w:spacing w:line="360" w:lineRule="auto"/>
              <w:ind w:firstLine="0" w:firstLineChars="0"/>
              <w:rPr>
                <w:rFonts w:ascii="宋体" w:hAnsi="宋体" w:cs="宋体" w:hint="eastAsia"/>
                <w:szCs w:val="21"/>
                <w:highlight w:val="none"/>
              </w:rPr>
            </w:pPr>
            <w:r>
              <w:rPr>
                <w:rFonts w:ascii="宋体" w:hAnsi="宋体" w:cs="宋体" w:hint="eastAsia"/>
                <w:szCs w:val="21"/>
                <w:highlight w:val="none"/>
              </w:rPr>
              <w:t>（4）每提供1人具有在技能人才评价证书全国联网查询平台可查的一级维修电工证书，得1.5分，本小项最高得3分；</w:t>
            </w:r>
          </w:p>
          <w:p>
            <w:pPr>
              <w:spacing w:line="360" w:lineRule="auto"/>
              <w:ind w:firstLine="0" w:firstLineChars="0"/>
              <w:rPr>
                <w:rFonts w:ascii="宋体" w:hAnsi="宋体" w:cs="宋体" w:hint="eastAsia"/>
                <w:szCs w:val="21"/>
                <w:highlight w:val="none"/>
              </w:rPr>
            </w:pPr>
            <w:r>
              <w:rPr>
                <w:rFonts w:ascii="宋体" w:hAnsi="宋体" w:cs="宋体" w:hint="eastAsia"/>
                <w:szCs w:val="21"/>
                <w:highlight w:val="none"/>
              </w:rPr>
              <w:t>（5）每提供1人具有在技能人才评价证书全国联网查询平台可查的四级或以上保洁员证书，得1.5分，本小项最高得3分。</w:t>
            </w:r>
          </w:p>
          <w:p>
            <w:pPr>
              <w:spacing w:line="360" w:lineRule="auto"/>
              <w:ind w:firstLine="210" w:firstLineChars="100"/>
              <w:jc w:val="left"/>
              <w:rPr>
                <w:rFonts w:asciiTheme="minorEastAsia" w:eastAsiaTheme="minorEastAsia" w:hAnsiTheme="minorEastAsia" w:cs="宋体" w:hint="eastAsia"/>
                <w:b/>
                <w:bCs/>
                <w:kern w:val="0"/>
                <w:szCs w:val="21"/>
                <w:highlight w:val="none"/>
              </w:rPr>
            </w:pPr>
            <w:r>
              <w:rPr>
                <w:rFonts w:asciiTheme="minorEastAsia" w:eastAsiaTheme="minorEastAsia" w:hAnsiTheme="minorEastAsia" w:cs="宋体" w:hint="eastAsia"/>
                <w:kern w:val="0"/>
                <w:szCs w:val="21"/>
                <w:highlight w:val="none"/>
              </w:rPr>
              <w:t>以上1至6项同一人不得担任多个岗位（如投标人同一人同时担任多个岗位，以得分最高岗位计分），最高得100分。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以上</w:t>
            </w:r>
            <w:r>
              <w:rPr>
                <w:rFonts w:asciiTheme="minorEastAsia" w:eastAsiaTheme="minorEastAsia" w:hAnsiTheme="minorEastAsia" w:hint="eastAsia"/>
                <w:szCs w:val="21"/>
                <w:highlight w:val="none"/>
              </w:rPr>
              <w:t>六</w:t>
            </w:r>
            <w:r>
              <w:rPr>
                <w:rFonts w:asciiTheme="minorEastAsia" w:eastAsiaTheme="minorEastAsia" w:hAnsiTheme="minorEastAsia"/>
                <w:szCs w:val="21"/>
                <w:highlight w:val="none"/>
              </w:rPr>
              <w:t>项累计最高得100</w:t>
            </w:r>
            <w:r>
              <w:rPr>
                <w:rFonts w:asciiTheme="minorEastAsia" w:eastAsiaTheme="minorEastAsia" w:hAnsiTheme="minorEastAsia" w:hint="eastAsia"/>
                <w:szCs w:val="21"/>
                <w:highlight w:val="none"/>
              </w:rPr>
              <w:t>分</w:t>
            </w:r>
            <w:r>
              <w:rPr>
                <w:rFonts w:asciiTheme="minorEastAsia" w:eastAsiaTheme="minorEastAsia" w:hAnsiTheme="minorEastAsia"/>
                <w:szCs w:val="21"/>
                <w:highlight w:val="none"/>
              </w:rPr>
              <w:t>。</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（二）评分依据：</w:t>
            </w:r>
          </w:p>
          <w:p>
            <w:pPr>
              <w:widowControl w:val="0"/>
              <w:numPr>
                <w:ilvl w:val="255"/>
                <w:numId w:val="0"/>
              </w:numPr>
              <w:tabs>
                <w:tab w:val="left" w:pos="502"/>
              </w:tabs>
              <w:snapToGrid w:val="0"/>
              <w:spacing w:line="360" w:lineRule="auto"/>
              <w:ind w:left="77"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val="en-US" w:eastAsia="zh-CN"/>
              </w:rPr>
              <w:t>1.</w:t>
            </w:r>
            <w:r>
              <w:rPr>
                <w:rFonts w:asciiTheme="minorEastAsia" w:eastAsiaTheme="minorEastAsia" w:hAnsiTheme="minorEastAsia" w:hint="eastAsia"/>
                <w:szCs w:val="21"/>
                <w:highlight w:val="none"/>
              </w:rPr>
              <w:t>提供相关证书；</w:t>
            </w:r>
          </w:p>
          <w:p>
            <w:pPr>
              <w:widowControl w:val="0"/>
              <w:tabs>
                <w:tab w:val="left" w:pos="928"/>
              </w:tabs>
              <w:snapToGrid w:val="0"/>
              <w:spacing w:line="360" w:lineRule="auto"/>
              <w:ind w:firstLine="210" w:firstLineChars="10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1）提供学位或学历证书以及学信网查询记录；学信网无法查询的，可提供其他佐证材料:如毕业院校、人社部门等颁发机构或监管机构等单位出具的证明，留学归国人员如无法提供学信网查询记录截图，提供国（境）外学历证书（以及中文翻译件）和教育部留学服务中心出具的国外学历学位认证书【或教育部留学服务中心网站（http://zwfw.cscse.edu.cn/）在线查询截图】也予以认可。</w:t>
            </w:r>
          </w:p>
          <w:p>
            <w:pPr>
              <w:widowControl w:val="0"/>
              <w:tabs>
                <w:tab w:val="left" w:pos="928"/>
              </w:tabs>
              <w:snapToGrid w:val="0"/>
              <w:spacing w:line="360" w:lineRule="auto"/>
              <w:ind w:firstLine="210" w:firstLineChars="100"/>
              <w:jc w:val="left"/>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（2）职称证书提供相关证书还须提供全国职称评审信息查询（http://www.12333.gov.cn/）或中国人事考试网（http://www.cpta.com.cn/certQuery.html）查询截图；</w:t>
            </w:r>
          </w:p>
          <w:p>
            <w:pPr>
              <w:widowControl w:val="0"/>
              <w:tabs>
                <w:tab w:val="left" w:pos="928"/>
              </w:tabs>
              <w:snapToGrid w:val="0"/>
              <w:spacing w:line="360" w:lineRule="auto"/>
              <w:ind w:firstLine="210" w:firstLineChars="10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（3）若为职业资格证书提供相关证书还须提供技能人才评价证书全国联网查询</w:t>
            </w:r>
          </w:p>
          <w:p>
            <w:pPr>
              <w:widowControl w:val="0"/>
              <w:tabs>
                <w:tab w:val="left" w:pos="928"/>
              </w:tabs>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（http://zscx.osta.org.cn/）截图。</w:t>
            </w:r>
          </w:p>
          <w:p>
            <w:pPr>
              <w:widowControl w:val="0"/>
              <w:tabs>
                <w:tab w:val="left" w:pos="928"/>
              </w:tabs>
              <w:spacing w:line="360" w:lineRule="auto"/>
              <w:ind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（4）职业技能等级证书需提供相关证书，若证书为协会颁发的，则还需要提供该机构在中国社会组织政务服务平台（网址</w:t>
            </w:r>
          </w:p>
          <w:p>
            <w:pPr>
              <w:pStyle w:val="ListParagraph"/>
              <w:widowControl w:val="0"/>
              <w:numPr>
                <w:ilvl w:val="0"/>
                <w:numId w:val="0"/>
              </w:numPr>
              <w:tabs>
                <w:tab w:val="left" w:pos="0"/>
                <w:tab w:val="left" w:pos="928"/>
              </w:tabs>
              <w:spacing w:line="360" w:lineRule="auto"/>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 xml:space="preserve"> https://xxgs.chinanpo.mca.gov.cn)的查询“正常”页面截图。</w:t>
            </w:r>
          </w:p>
          <w:p>
            <w:pPr>
              <w:widowControl w:val="0"/>
              <w:autoSpaceDE w:val="0"/>
              <w:autoSpaceDN w:val="0"/>
              <w:adjustRightInd w:val="0"/>
              <w:spacing w:line="360" w:lineRule="auto"/>
              <w:ind w:firstLine="0" w:firstLineChars="0"/>
              <w:jc w:val="left"/>
              <w:textAlignment w:val="baseline"/>
              <w:rPr>
                <w:rFonts w:asciiTheme="minorEastAsia" w:eastAsiaTheme="minorEastAsia" w:hAnsiTheme="minorEastAsia" w:hint="eastAsia"/>
                <w:kern w:val="0"/>
                <w:szCs w:val="21"/>
                <w:highlight w:val="none"/>
              </w:rPr>
            </w:pPr>
            <w:r>
              <w:rPr>
                <w:rFonts w:asciiTheme="minorEastAsia" w:eastAsiaTheme="minorEastAsia" w:hAnsiTheme="minorEastAsia" w:hint="eastAsia"/>
                <w:kern w:val="0"/>
                <w:szCs w:val="21"/>
                <w:highlight w:val="none"/>
                <w:lang w:eastAsia="zh-CN"/>
              </w:rPr>
              <w:t>2.</w:t>
            </w:r>
            <w:r>
              <w:rPr>
                <w:rFonts w:asciiTheme="minorEastAsia" w:eastAsiaTheme="minorEastAsia" w:hAnsiTheme="minorEastAsia" w:hint="eastAsia"/>
                <w:kern w:val="0"/>
                <w:szCs w:val="21"/>
                <w:highlight w:val="none"/>
              </w:rPr>
              <w:t>需要提供工作经验的，证明为项目合同关键信息，关键信息包括但不仅限于合同的项目名称、服务内容，通过合同关键信息无法判断是否得分的，</w:t>
            </w:r>
            <w:r>
              <w:rPr>
                <w:rFonts w:ascii="宋体" w:hAnsi="宋体" w:cs="宋体" w:hint="eastAsia"/>
                <w:szCs w:val="21"/>
                <w:highlight w:val="none"/>
              </w:rPr>
              <w:t>还需同时提供合同甲方出具的证明材料（加盖合同甲方的公章或业务章）</w:t>
            </w:r>
            <w:r>
              <w:rPr>
                <w:rFonts w:asciiTheme="minorEastAsia" w:eastAsiaTheme="minorEastAsia" w:hAnsiTheme="minorEastAsia" w:hint="eastAsia"/>
                <w:kern w:val="0"/>
                <w:szCs w:val="21"/>
                <w:highlight w:val="none"/>
              </w:rPr>
              <w:t>。</w:t>
            </w:r>
          </w:p>
          <w:p>
            <w:pPr>
              <w:widowControl w:val="0"/>
              <w:spacing w:line="360" w:lineRule="auto"/>
              <w:ind w:firstLine="0" w:firstLineChars="0"/>
              <w:jc w:val="left"/>
              <w:rPr>
                <w:rFonts w:ascii="宋体" w:hAnsi="宋体" w:cs="宋体" w:hint="eastAsia"/>
                <w:szCs w:val="21"/>
                <w:highlight w:val="none"/>
              </w:rPr>
            </w:pPr>
            <w:r>
              <w:rPr>
                <w:rFonts w:asciiTheme="minorEastAsia" w:eastAsiaTheme="minorEastAsia" w:hAnsiTheme="minorEastAsia" w:hint="eastAsia"/>
                <w:szCs w:val="21"/>
                <w:highlight w:val="none"/>
                <w:lang w:eastAsia="zh-CN"/>
              </w:rPr>
              <w:t>3.</w:t>
            </w:r>
            <w:r>
              <w:rPr>
                <w:rFonts w:ascii="宋体" w:hAnsi="宋体" w:cs="宋体" w:hint="eastAsia"/>
                <w:szCs w:val="21"/>
                <w:highlight w:val="none"/>
              </w:rPr>
              <w:t>提供上述人员投标截止日前一个月投标人为其购买的社保证明（由于社保部门或税务部门原因投标截止日前一个月的社保证明无法提供的可往前顺延一个月；如投标人为新成立企业且成立时间不足一个月可提供加盖投标人公章的情况说明或者证明材料亦视为符合；如依法不需要缴纳社会保险的，应提供相应文件证明。</w:t>
            </w:r>
          </w:p>
          <w:p>
            <w:pPr>
              <w:widowControl w:val="0"/>
              <w:snapToGrid w:val="0"/>
              <w:spacing w:line="360" w:lineRule="auto"/>
              <w:ind w:firstLine="0" w:firstLineChars="0"/>
              <w:jc w:val="left"/>
              <w:rPr>
                <w:rFonts w:ascii="宋体" w:hAnsi="宋体" w:cs="宋体" w:hint="eastAsia"/>
                <w:bCs/>
                <w:spacing w:val="10"/>
                <w:szCs w:val="21"/>
                <w:highlight w:val="none"/>
              </w:rPr>
            </w:pPr>
            <w:r>
              <w:rPr>
                <w:rFonts w:asciiTheme="minorEastAsia" w:eastAsiaTheme="minorEastAsia" w:hAnsiTheme="minorEastAsia" w:hint="eastAsia"/>
                <w:bCs/>
                <w:spacing w:val="10"/>
                <w:kern w:val="0"/>
                <w:szCs w:val="21"/>
                <w:highlight w:val="none"/>
                <w:lang w:eastAsia="zh-CN"/>
              </w:rPr>
              <w:t>4.</w:t>
            </w:r>
            <w:r>
              <w:rPr>
                <w:rFonts w:asciiTheme="minorEastAsia" w:eastAsiaTheme="minorEastAsia" w:hAnsiTheme="minorEastAsia" w:hint="eastAsia"/>
                <w:bCs/>
                <w:spacing w:val="10"/>
                <w:kern w:val="0"/>
                <w:szCs w:val="21"/>
                <w:highlight w:val="none"/>
              </w:rPr>
              <w:t>原件备查，未提供或提供不清晰导致无法识别的不得分。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val="restart"/>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3</w:t>
            </w:r>
          </w:p>
        </w:tc>
        <w:tc>
          <w:tcPr>
            <w:tcW w:w="2835" w:type="dxa"/>
            <w:gridSpan w:val="3"/>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综合实力</w:t>
            </w:r>
          </w:p>
        </w:tc>
        <w:tc>
          <w:tcPr>
            <w:tcW w:w="5528" w:type="dxa"/>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25</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top w:val="single" w:sz="8" w:space="0" w:color="000000"/>
              <w:left w:val="single" w:sz="8" w:space="0" w:color="000000"/>
              <w:bottom w:val="single" w:sz="8" w:space="0" w:color="000000"/>
              <w:right w:val="single" w:sz="8" w:space="0" w:color="000000"/>
            </w:tcBorders>
            <w:shd w:val="clear" w:color="auto" w:fill="E6EFFA"/>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序号</w:t>
            </w:r>
          </w:p>
        </w:tc>
        <w:tc>
          <w:tcPr>
            <w:tcW w:w="1701"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评分因素</w:t>
            </w:r>
          </w:p>
        </w:tc>
        <w:tc>
          <w:tcPr>
            <w:tcW w:w="567"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权重(%)</w:t>
            </w:r>
          </w:p>
        </w:tc>
        <w:tc>
          <w:tcPr>
            <w:tcW w:w="5528"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评分准则</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1</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hint="eastAsia"/>
                <w:szCs w:val="21"/>
                <w:highlight w:val="none"/>
              </w:rPr>
              <w:t>供应商认证情况</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5</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szCs w:val="21"/>
                <w:highlight w:val="none"/>
              </w:rPr>
              <w:t>（一）评分内容：</w:t>
            </w:r>
          </w:p>
          <w:p>
            <w:pPr>
              <w:widowControl w:val="0"/>
              <w:autoSpaceDE w:val="0"/>
              <w:autoSpaceDN w:val="0"/>
              <w:adjustRightInd w:val="0"/>
              <w:snapToGrid w:val="0"/>
              <w:spacing w:line="360" w:lineRule="auto"/>
              <w:ind w:firstLine="0" w:firstLineChars="0"/>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lang w:eastAsia="zh-CN"/>
              </w:rPr>
              <w:t>1.</w:t>
            </w:r>
            <w:r>
              <w:rPr>
                <w:rFonts w:asciiTheme="minorEastAsia" w:eastAsiaTheme="minorEastAsia" w:hAnsiTheme="minorEastAsia" w:cs="宋体" w:hint="eastAsia"/>
                <w:snapToGrid w:val="0"/>
                <w:kern w:val="0"/>
                <w:szCs w:val="21"/>
                <w:highlight w:val="none"/>
              </w:rPr>
              <w:t>投标人具备以下认证证书：</w:t>
            </w:r>
          </w:p>
          <w:p>
            <w:pPr>
              <w:widowControl w:val="0"/>
              <w:autoSpaceDE w:val="0"/>
              <w:autoSpaceDN w:val="0"/>
              <w:adjustRightInd w:val="0"/>
              <w:snapToGrid w:val="0"/>
              <w:spacing w:line="360" w:lineRule="auto"/>
              <w:ind w:firstLine="0" w:firstLineChars="0"/>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rPr>
              <w:t>（1）质量管理体系认证；</w:t>
            </w:r>
          </w:p>
          <w:p>
            <w:pPr>
              <w:widowControl w:val="0"/>
              <w:autoSpaceDE w:val="0"/>
              <w:autoSpaceDN w:val="0"/>
              <w:adjustRightInd w:val="0"/>
              <w:snapToGrid w:val="0"/>
              <w:spacing w:line="360" w:lineRule="auto"/>
              <w:ind w:firstLine="0" w:firstLineChars="0"/>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rPr>
              <w:t>（2）物业服务认证；</w:t>
            </w:r>
          </w:p>
          <w:p>
            <w:pPr>
              <w:widowControl w:val="0"/>
              <w:autoSpaceDE w:val="0"/>
              <w:autoSpaceDN w:val="0"/>
              <w:adjustRightInd w:val="0"/>
              <w:snapToGrid w:val="0"/>
              <w:spacing w:line="360" w:lineRule="auto"/>
              <w:ind w:firstLine="0" w:firstLineChars="0"/>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rPr>
              <w:t>（3）</w:t>
            </w:r>
            <w:r>
              <w:rPr>
                <w:rFonts w:ascii="宋体" w:hAnsi="宋体" w:cs="宋体" w:hint="eastAsia"/>
                <w:szCs w:val="21"/>
                <w:highlight w:val="none"/>
              </w:rPr>
              <w:t>环境管理体系认证</w:t>
            </w:r>
            <w:r>
              <w:rPr>
                <w:rFonts w:asciiTheme="minorEastAsia" w:eastAsiaTheme="minorEastAsia" w:hAnsiTheme="minorEastAsia" w:cs="宋体" w:hint="eastAsia"/>
                <w:snapToGrid w:val="0"/>
                <w:kern w:val="0"/>
                <w:szCs w:val="21"/>
                <w:highlight w:val="none"/>
              </w:rPr>
              <w:t>；</w:t>
            </w:r>
          </w:p>
          <w:p>
            <w:pPr>
              <w:widowControl w:val="0"/>
              <w:snapToGrid w:val="0"/>
              <w:spacing w:line="360" w:lineRule="auto"/>
              <w:ind w:firstLine="0" w:firstLineChars="0"/>
              <w:jc w:val="left"/>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rPr>
              <w:t>（4）</w:t>
            </w:r>
            <w:r>
              <w:rPr>
                <w:rFonts w:ascii="宋体" w:hAnsi="宋体" w:cs="宋体" w:hint="eastAsia"/>
                <w:bCs/>
                <w:spacing w:val="10"/>
                <w:kern w:val="0"/>
                <w:szCs w:val="21"/>
                <w:highlight w:val="none"/>
              </w:rPr>
              <w:t>职业健康安全管理体系认证</w:t>
            </w:r>
            <w:r>
              <w:rPr>
                <w:rFonts w:asciiTheme="minorEastAsia" w:eastAsiaTheme="minorEastAsia" w:hAnsiTheme="minorEastAsia" w:cs="宋体" w:hint="eastAsia"/>
                <w:snapToGrid w:val="0"/>
                <w:kern w:val="0"/>
                <w:szCs w:val="21"/>
                <w:highlight w:val="none"/>
              </w:rPr>
              <w:t>；</w:t>
            </w:r>
          </w:p>
          <w:p>
            <w:pPr>
              <w:widowControl w:val="0"/>
              <w:snapToGrid w:val="0"/>
              <w:spacing w:line="360" w:lineRule="auto"/>
              <w:ind w:firstLine="0" w:firstLineChars="0"/>
              <w:jc w:val="left"/>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rPr>
              <w:t>（5）培训管理体系认证。</w:t>
            </w:r>
          </w:p>
          <w:p>
            <w:pPr>
              <w:widowControl w:val="0"/>
              <w:autoSpaceDE w:val="0"/>
              <w:autoSpaceDN w:val="0"/>
              <w:adjustRightInd w:val="0"/>
              <w:snapToGrid w:val="0"/>
              <w:spacing w:line="360" w:lineRule="auto"/>
              <w:ind w:firstLine="0" w:firstLineChars="0"/>
              <w:rPr>
                <w:rFonts w:asciiTheme="minorEastAsia" w:eastAsiaTheme="minorEastAsia" w:hAnsiTheme="minorEastAsia" w:cs="宋体" w:hint="eastAsia"/>
                <w:snapToGrid w:val="0"/>
                <w:kern w:val="0"/>
                <w:szCs w:val="21"/>
                <w:highlight w:val="none"/>
              </w:rPr>
            </w:pPr>
            <w:r>
              <w:rPr>
                <w:rFonts w:asciiTheme="minorEastAsia" w:eastAsiaTheme="minorEastAsia" w:hAnsiTheme="minorEastAsia" w:cs="宋体" w:hint="eastAsia"/>
                <w:snapToGrid w:val="0"/>
                <w:kern w:val="0"/>
                <w:szCs w:val="21"/>
                <w:highlight w:val="none"/>
              </w:rPr>
              <w:t>持有以上任意一个体系认证且认证范围需涵盖物业管理服务类，每提供一个得20分，最高得100分。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（二）评分依据：</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eastAsia="zh-CN"/>
              </w:rPr>
              <w:t>1.</w:t>
            </w:r>
            <w:r>
              <w:rPr>
                <w:rFonts w:asciiTheme="minorEastAsia" w:eastAsiaTheme="minorEastAsia" w:hAnsiTheme="minorEastAsia" w:hint="eastAsia"/>
                <w:szCs w:val="21"/>
                <w:highlight w:val="none"/>
              </w:rPr>
              <w:t>同时提供：</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（1）有效的认证证书，如无法证明证书在有效期内的，不得分；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lang w:val="en-US" w:eastAsia="zh-CN"/>
              </w:rPr>
              <w:t>(</w:t>
            </w:r>
            <w:r>
              <w:rPr>
                <w:rFonts w:asciiTheme="minorEastAsia" w:eastAsiaTheme="minorEastAsia" w:hAnsiTheme="minorEastAsia" w:hint="eastAsia"/>
                <w:szCs w:val="21"/>
                <w:highlight w:val="none"/>
              </w:rPr>
              <w:t>2</w:t>
            </w:r>
            <w:r>
              <w:rPr>
                <w:rFonts w:asciiTheme="minorEastAsia" w:eastAsiaTheme="minorEastAsia" w:hAnsiTheme="minorEastAsia" w:hint="eastAsia"/>
                <w:szCs w:val="21"/>
                <w:highlight w:val="none"/>
                <w:lang w:val="en-US" w:eastAsia="zh-CN"/>
              </w:rPr>
              <w:t>)</w:t>
            </w:r>
            <w:r>
              <w:rPr>
                <w:rFonts w:asciiTheme="minorEastAsia" w:eastAsiaTheme="minorEastAsia" w:hAnsiTheme="minorEastAsia" w:hint="eastAsia"/>
                <w:szCs w:val="21"/>
                <w:highlight w:val="none"/>
              </w:rPr>
              <w:t>全国认证认可信息公共服务平台（http://cx.cnca.cn）认证信息查询截图（截图需显示证书状态为有效）；未按要求提供或提供不清晰导致专家无法判断的，不得分；</w:t>
            </w:r>
          </w:p>
          <w:p>
            <w:pPr>
              <w:widowControl w:val="0"/>
              <w:snapToGrid w:val="0"/>
              <w:spacing w:line="360" w:lineRule="auto"/>
              <w:ind w:firstLine="0" w:firstLineChars="0"/>
              <w:jc w:val="left"/>
              <w:rPr>
                <w:rFonts w:asciiTheme="minorEastAsia" w:eastAsiaTheme="minorEastAsia" w:hAnsiTheme="minorEastAsia" w:hint="eastAsia"/>
                <w:bCs/>
                <w:spacing w:val="10"/>
                <w:kern w:val="0"/>
                <w:szCs w:val="21"/>
                <w:highlight w:val="none"/>
              </w:rPr>
            </w:pPr>
            <w:r>
              <w:rPr>
                <w:rFonts w:asciiTheme="minorEastAsia" w:eastAsiaTheme="minorEastAsia" w:hAnsiTheme="minorEastAsia" w:hint="eastAsia"/>
                <w:bCs/>
                <w:spacing w:val="10"/>
                <w:kern w:val="0"/>
                <w:szCs w:val="21"/>
                <w:highlight w:val="none"/>
                <w:lang w:eastAsia="zh-CN"/>
              </w:rPr>
              <w:t>2.</w:t>
            </w:r>
            <w:r>
              <w:rPr>
                <w:rFonts w:asciiTheme="minorEastAsia" w:eastAsiaTheme="minorEastAsia" w:hAnsiTheme="minorEastAsia" w:hint="eastAsia"/>
                <w:bCs/>
                <w:spacing w:val="10"/>
                <w:kern w:val="0"/>
                <w:szCs w:val="21"/>
                <w:highlight w:val="none"/>
              </w:rPr>
              <w:t>如投标人距本项目开标之日的注册成立时间不足3个月，且未取得以上认证证书的，可提供承诺函（</w:t>
            </w:r>
            <w:r>
              <w:rPr>
                <w:rFonts w:ascii="宋体" w:hAnsi="宋体" w:cs="宋体" w:hint="eastAsia"/>
                <w:szCs w:val="21"/>
                <w:highlight w:val="none"/>
              </w:rPr>
              <w:t>格式自拟，至少包含中标（成交）后4个月内取得评审因素相关认证证书等内容</w:t>
            </w:r>
            <w:r>
              <w:rPr>
                <w:rFonts w:asciiTheme="minorEastAsia" w:eastAsiaTheme="minorEastAsia" w:hAnsiTheme="minorEastAsia" w:hint="eastAsia"/>
                <w:bCs/>
                <w:spacing w:val="10"/>
                <w:kern w:val="0"/>
                <w:szCs w:val="21"/>
                <w:highlight w:val="none"/>
              </w:rPr>
              <w:t>），评审委员会根据承诺内容中的认证证书情况评分。</w:t>
            </w:r>
          </w:p>
          <w:p>
            <w:pPr>
              <w:widowControl w:val="0"/>
              <w:snapToGrid w:val="0"/>
              <w:spacing w:line="360" w:lineRule="auto"/>
              <w:ind w:firstLine="0" w:firstLineChars="0"/>
              <w:jc w:val="left"/>
              <w:rPr>
                <w:rFonts w:ascii="宋体" w:hAnsi="宋体" w:cs="宋体" w:hint="eastAsia"/>
                <w:bCs/>
                <w:spacing w:val="10"/>
                <w:szCs w:val="21"/>
                <w:highlight w:val="none"/>
              </w:rPr>
            </w:pPr>
            <w:r>
              <w:rPr>
                <w:rFonts w:asciiTheme="minorEastAsia" w:eastAsiaTheme="minorEastAsia" w:hAnsiTheme="minorEastAsia" w:hint="eastAsia"/>
                <w:bCs/>
                <w:spacing w:val="10"/>
                <w:kern w:val="0"/>
                <w:szCs w:val="21"/>
                <w:highlight w:val="none"/>
                <w:lang w:eastAsia="zh-CN"/>
              </w:rPr>
              <w:t>3.</w:t>
            </w:r>
            <w:r>
              <w:rPr>
                <w:rFonts w:asciiTheme="minorEastAsia" w:eastAsiaTheme="minorEastAsia" w:hAnsiTheme="minorEastAsia" w:hint="eastAsia"/>
                <w:bCs/>
                <w:spacing w:val="10"/>
                <w:kern w:val="0"/>
                <w:szCs w:val="21"/>
                <w:highlight w:val="none"/>
              </w:rPr>
              <w:t>以上资料均要求提供扫描件。</w:t>
            </w:r>
            <w:r>
              <w:rPr>
                <w:rFonts w:asciiTheme="minorEastAsia" w:eastAsiaTheme="minorEastAsia" w:hAnsiTheme="minorEastAsia"/>
                <w:bCs/>
                <w:spacing w:val="10"/>
                <w:kern w:val="0"/>
                <w:szCs w:val="21"/>
                <w:highlight w:val="none"/>
              </w:rPr>
              <w:t>评分中出现无证明资料或专家无法凭所提供资料判断是否得分的情况，一律作不得分处理。</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2</w:t>
            </w:r>
          </w:p>
        </w:tc>
        <w:tc>
          <w:tcPr>
            <w:tcW w:w="1701"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宋体" w:hAnsi="宋体" w:cs="宋体" w:hint="eastAsia"/>
                <w:szCs w:val="21"/>
                <w:highlight w:val="none"/>
              </w:rPr>
            </w:pPr>
            <w:r>
              <w:rPr>
                <w:rFonts w:asciiTheme="minorEastAsia" w:eastAsiaTheme="minorEastAsia" w:hAnsiTheme="minorEastAsia"/>
                <w:szCs w:val="21"/>
                <w:highlight w:val="none"/>
              </w:rPr>
              <w:t>企业荣誉</w:t>
            </w:r>
          </w:p>
        </w:tc>
        <w:tc>
          <w:tcPr>
            <w:tcW w:w="567"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jc w:val="center"/>
              <w:rPr>
                <w:rFonts w:ascii="宋体" w:hAnsi="宋体" w:cs="宋体" w:hint="eastAsia"/>
                <w:szCs w:val="21"/>
                <w:highlight w:val="none"/>
              </w:rPr>
            </w:pPr>
            <w:r>
              <w:rPr>
                <w:rFonts w:asciiTheme="minorEastAsia" w:hAnsiTheme="minorEastAsia" w:hint="eastAsia"/>
                <w:szCs w:val="21"/>
                <w:highlight w:val="none"/>
              </w:rPr>
              <w:t>8</w:t>
            </w:r>
          </w:p>
        </w:tc>
        <w:tc>
          <w:tcPr>
            <w:tcW w:w="5528" w:type="dxa"/>
            <w:tcBorders>
              <w:top w:val="single" w:sz="8" w:space="0" w:color="000000"/>
              <w:left w:val="single" w:sz="8" w:space="0" w:color="000000"/>
              <w:bottom w:val="single" w:sz="8" w:space="0" w:color="000000"/>
              <w:right w:val="single" w:sz="8" w:space="0" w:color="000000"/>
            </w:tcBorders>
          </w:tcPr>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（一）评分内容：</w:t>
            </w:r>
          </w:p>
          <w:p>
            <w:pPr>
              <w:widowControl w:val="0"/>
              <w:tabs>
                <w:tab w:val="center" w:pos="4153"/>
              </w:tabs>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1.投标人服务的物业服务项目在服务期间获得由政府部门（或事业单位）颁发的</w:t>
            </w:r>
            <w:r>
              <w:rPr>
                <w:rFonts w:hint="eastAsia"/>
                <w:szCs w:val="21"/>
                <w:highlight w:val="none"/>
              </w:rPr>
              <w:t>消防（或安保）相关的先进单位或荣誉称号的，每提供1个得10分，</w:t>
            </w:r>
            <w:r>
              <w:rPr>
                <w:rFonts w:ascii="宋体" w:hAnsi="宋体" w:cs="宋体" w:hint="eastAsia"/>
                <w:szCs w:val="21"/>
                <w:highlight w:val="none"/>
              </w:rPr>
              <w:t>本小项最高得50分</w:t>
            </w:r>
            <w:r>
              <w:rPr>
                <w:rFonts w:hint="eastAsia"/>
                <w:szCs w:val="21"/>
                <w:highlight w:val="none"/>
              </w:rPr>
              <w:t>。</w:t>
            </w:r>
          </w:p>
          <w:p>
            <w:pPr>
              <w:widowControl w:val="0"/>
              <w:tabs>
                <w:tab w:val="center" w:pos="4153"/>
              </w:tabs>
              <w:spacing w:line="360" w:lineRule="auto"/>
              <w:ind w:firstLine="0" w:firstLineChars="0"/>
              <w:rPr>
                <w:rFonts w:asciiTheme="minorEastAsia" w:eastAsiaTheme="minorEastAsia" w:hAnsiTheme="minorEastAsia" w:hint="eastAsia"/>
                <w:szCs w:val="21"/>
                <w:highlight w:val="none"/>
              </w:rPr>
            </w:pPr>
            <w:r>
              <w:rPr>
                <w:rFonts w:ascii="宋体" w:hAnsi="宋体" w:cs="宋体" w:hint="eastAsia"/>
                <w:szCs w:val="21"/>
                <w:highlight w:val="none"/>
              </w:rPr>
              <w:t>2. 投标人服务的项目在服务期间获得过政府部门或事业单位颁发的节能类荣誉（节水、节电等），每提供1个得10分，本小项最高得50分；</w:t>
            </w:r>
          </w:p>
          <w:p>
            <w:pPr>
              <w:widowControl w:val="0"/>
              <w:snapToGrid w:val="0"/>
              <w:spacing w:line="360" w:lineRule="auto"/>
              <w:ind w:firstLine="0" w:firstLineChars="0"/>
              <w:rPr>
                <w:rFonts w:asciiTheme="minorEastAsia" w:eastAsiaTheme="minorEastAsia" w:hAnsiTheme="minorEastAsia" w:hint="eastAsia"/>
                <w:szCs w:val="21"/>
                <w:highlight w:val="none"/>
              </w:rPr>
            </w:pPr>
            <w:r>
              <w:rPr>
                <w:rFonts w:asciiTheme="minorEastAsia" w:eastAsiaTheme="minorEastAsia" w:hAnsiTheme="minorEastAsia" w:hint="eastAsia"/>
                <w:szCs w:val="21"/>
                <w:highlight w:val="none"/>
              </w:rPr>
              <w:t>（二）评分依据：</w:t>
            </w:r>
          </w:p>
          <w:p>
            <w:pPr>
              <w:widowControl w:val="0"/>
              <w:tabs>
                <w:tab w:val="center" w:pos="4153"/>
              </w:tabs>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1.第1-2项要求提供奖项照片或获奖（荣誉）证书等证明材料作为得分依据。</w:t>
            </w:r>
          </w:p>
          <w:p>
            <w:pPr>
              <w:widowControl w:val="0"/>
              <w:snapToGrid w:val="0"/>
              <w:spacing w:line="360" w:lineRule="auto"/>
              <w:ind w:firstLine="0" w:firstLineChars="0"/>
              <w:rPr>
                <w:szCs w:val="21"/>
                <w:highlight w:val="none"/>
              </w:rPr>
            </w:pPr>
            <w:r>
              <w:rPr>
                <w:rFonts w:ascii="宋体" w:hAnsi="宋体" w:cs="宋体" w:hint="eastAsia"/>
                <w:szCs w:val="21"/>
                <w:highlight w:val="none"/>
              </w:rPr>
              <w:t>如未按要求提供证明材料，或所提供的证明材料未能体现上述评分内容的，视为该证明材料无效</w:t>
            </w:r>
            <w:r>
              <w:rPr>
                <w:rFonts w:asciiTheme="minorEastAsia" w:eastAsiaTheme="minorEastAsia" w:hAnsiTheme="minorEastAsia" w:hint="eastAsia"/>
                <w:szCs w:val="21"/>
                <w:highlight w:val="none"/>
              </w:rPr>
              <w:t>。</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r>
              <w:rPr>
                <w:highlight w:val="none"/>
              </w:rPr>
              <w:br w:type="page"/>
            </w: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同类型项目业绩及履约评价</w:t>
            </w: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12</w:t>
            </w:r>
          </w:p>
        </w:tc>
        <w:tc>
          <w:tcPr>
            <w:tcW w:w="5528" w:type="dxa"/>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rPr>
                <w:rFonts w:ascii="宋体" w:hAnsi="宋体" w:cs="宋体" w:hint="eastAsia"/>
                <w:szCs w:val="21"/>
                <w:highlight w:val="none"/>
              </w:rPr>
            </w:pPr>
            <w:r>
              <w:rPr>
                <w:rFonts w:ascii="宋体" w:hAnsi="宋体" w:cs="宋体" w:hint="eastAsia"/>
                <w:b/>
                <w:bCs/>
                <w:szCs w:val="21"/>
                <w:highlight w:val="none"/>
              </w:rPr>
              <w:t>（一）评分内容：</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1.考察投标人医院物业服务经验情况：</w:t>
            </w:r>
          </w:p>
          <w:p>
            <w:pPr>
              <w:spacing w:line="360" w:lineRule="auto"/>
              <w:ind w:firstLine="0" w:firstLineChars="0"/>
              <w:jc w:val="left"/>
              <w:rPr>
                <w:rFonts w:ascii="宋体" w:hAnsi="宋体" w:cs="宋体" w:hint="eastAsia"/>
                <w:szCs w:val="21"/>
                <w:highlight w:val="none"/>
              </w:rPr>
            </w:pPr>
            <w:r>
              <w:rPr>
                <w:rFonts w:ascii="宋体" w:hAnsi="宋体" w:cs="宋体" w:hint="eastAsia"/>
                <w:szCs w:val="21"/>
                <w:highlight w:val="none"/>
              </w:rPr>
              <w:t>投标人具有2022年8月1日至本项目投标截止之日（以合同签订时间为准）医院的物业服务经验，服务内容需包括①</w:t>
            </w:r>
            <w:r>
              <w:rPr>
                <w:rFonts w:asciiTheme="minorEastAsia" w:eastAsiaTheme="minorEastAsia" w:hAnsiTheme="minorEastAsia" w:cs="宋体" w:hint="eastAsia"/>
                <w:kern w:val="0"/>
                <w:szCs w:val="21"/>
                <w:highlight w:val="none"/>
              </w:rPr>
              <w:t>工程管理服务</w:t>
            </w:r>
            <w:r>
              <w:rPr>
                <w:rFonts w:ascii="宋体" w:hAnsi="宋体" w:cs="宋体" w:hint="eastAsia"/>
                <w:szCs w:val="21"/>
                <w:highlight w:val="none"/>
              </w:rPr>
              <w:t>②</w:t>
            </w:r>
            <w:r>
              <w:rPr>
                <w:rFonts w:asciiTheme="minorEastAsia" w:eastAsiaTheme="minorEastAsia" w:hAnsiTheme="minorEastAsia" w:cs="宋体" w:hint="eastAsia"/>
                <w:kern w:val="0"/>
                <w:szCs w:val="21"/>
                <w:highlight w:val="none"/>
              </w:rPr>
              <w:t>环境美化服务</w:t>
            </w:r>
            <w:r>
              <w:rPr>
                <w:rFonts w:ascii="宋体" w:hAnsi="宋体" w:cs="宋体" w:hint="eastAsia"/>
                <w:szCs w:val="21"/>
                <w:highlight w:val="none"/>
              </w:rPr>
              <w:t>③</w:t>
            </w:r>
            <w:r>
              <w:rPr>
                <w:rFonts w:asciiTheme="minorEastAsia" w:eastAsiaTheme="minorEastAsia" w:hAnsiTheme="minorEastAsia" w:cs="宋体" w:hint="eastAsia"/>
                <w:kern w:val="0"/>
                <w:szCs w:val="21"/>
                <w:highlight w:val="none"/>
              </w:rPr>
              <w:t>秩序维护服务</w:t>
            </w:r>
            <w:r>
              <w:rPr>
                <w:rFonts w:ascii="宋体" w:hAnsi="宋体" w:cs="宋体" w:hint="eastAsia"/>
                <w:szCs w:val="21"/>
                <w:highlight w:val="none"/>
              </w:rPr>
              <w:t>④</w:t>
            </w:r>
            <w:r>
              <w:rPr>
                <w:rFonts w:asciiTheme="minorEastAsia" w:eastAsiaTheme="minorEastAsia" w:hAnsiTheme="minorEastAsia" w:cs="宋体" w:hint="eastAsia"/>
                <w:kern w:val="0"/>
                <w:szCs w:val="21"/>
                <w:highlight w:val="none"/>
              </w:rPr>
              <w:t>医疗辅助服务</w:t>
            </w:r>
            <w:r>
              <w:rPr>
                <w:rFonts w:ascii="宋体" w:hAnsi="宋体" w:cs="宋体" w:hint="eastAsia"/>
                <w:szCs w:val="21"/>
                <w:highlight w:val="none"/>
              </w:rPr>
              <w:t>（服务内容涵盖即可，文字描述可不完全一致），</w:t>
            </w:r>
            <w:r>
              <w:rPr>
                <w:rFonts w:ascii="宋体" w:hAnsi="宋体" w:cs="宋体" w:hint="eastAsia"/>
                <w:kern w:val="0"/>
                <w:szCs w:val="21"/>
                <w:highlight w:val="none"/>
              </w:rPr>
              <w:t>经履约评价（或履约验收）且评价结果为满意或优秀等最高评价，</w:t>
            </w:r>
            <w:r>
              <w:rPr>
                <w:rFonts w:ascii="宋体" w:hAnsi="宋体" w:cs="宋体" w:hint="eastAsia"/>
                <w:szCs w:val="21"/>
                <w:highlight w:val="none"/>
              </w:rPr>
              <w:t>每提供1个得10分，本小项最高得60分。</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2.考察投标人三甲医院协助创建（或复审）业绩情况：投标人所服务的医院</w:t>
            </w:r>
            <w:r>
              <w:rPr>
                <w:rFonts w:ascii="宋体" w:hAnsi="宋体" w:cs="宋体" w:hint="eastAsia"/>
                <w:szCs w:val="21"/>
                <w:highlight w:val="none"/>
                <w:lang w:eastAsia="zh-CN"/>
              </w:rPr>
              <w:t>自</w:t>
            </w:r>
            <w:r>
              <w:rPr>
                <w:rFonts w:ascii="宋体" w:hAnsi="宋体" w:cs="宋体" w:hint="eastAsia"/>
                <w:szCs w:val="21"/>
                <w:highlight w:val="none"/>
              </w:rPr>
              <w:t xml:space="preserve">2022年8月1日至本项目投标截止之日（以合同签订时间为准），具有参与所服务医院进行三级甲等医院评审（创建或复审）过程的经验，并协助医院通过评审（创建或复审）的，每提供一个案例得10分，本小项最高得40分。 </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以上1-2项累计最高得100分。</w:t>
            </w:r>
          </w:p>
          <w:p>
            <w:pPr>
              <w:widowControl w:val="0"/>
              <w:spacing w:line="360" w:lineRule="auto"/>
              <w:ind w:firstLine="0" w:firstLineChars="0"/>
              <w:rPr>
                <w:rFonts w:ascii="宋体" w:hAnsi="宋体" w:cs="宋体" w:hint="eastAsia"/>
                <w:b/>
                <w:bCs/>
                <w:szCs w:val="21"/>
                <w:highlight w:val="none"/>
              </w:rPr>
            </w:pPr>
            <w:r>
              <w:rPr>
                <w:rFonts w:ascii="宋体" w:hAnsi="宋体" w:cs="宋体" w:hint="eastAsia"/>
                <w:b/>
                <w:bCs/>
                <w:szCs w:val="21"/>
                <w:highlight w:val="none"/>
              </w:rPr>
              <w:t>（二）评分依据：</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1.第1项投标人提供的每项业绩需按以下要求提供完整准确的证明文件，如未按以下要求提供完整证明文件的业绩不计分，长期续签合同只计算一个业绩：</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①中标通知书；</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②合同关键页（关键信息包括但不仅限于合同的项目名称、服务内容、合同服务的起止时间、签订日期、合同签字盖章页）；</w:t>
            </w:r>
          </w:p>
          <w:p>
            <w:pPr>
              <w:spacing w:line="360" w:lineRule="auto"/>
              <w:ind w:firstLine="0" w:firstLineChars="0"/>
              <w:rPr>
                <w:rFonts w:ascii="宋体" w:eastAsia="宋体" w:hAnsi="宋体" w:cs="宋体" w:hint="eastAsia"/>
                <w:szCs w:val="21"/>
                <w:highlight w:val="none"/>
                <w:lang w:val="en-US" w:eastAsia="zh-CN"/>
              </w:rPr>
            </w:pPr>
            <w:r>
              <w:rPr>
                <w:rFonts w:ascii="宋体" w:hAnsi="宋体" w:cs="宋体"/>
                <w:szCs w:val="21"/>
                <w:highlight w:val="none"/>
              </w:rPr>
              <w:t>③</w:t>
            </w:r>
            <w:r>
              <w:rPr>
                <w:rFonts w:ascii="宋体" w:hAnsi="宋体" w:cs="宋体" w:hint="eastAsia"/>
                <w:szCs w:val="21"/>
                <w:highlight w:val="none"/>
              </w:rPr>
              <w:t>加盖合同甲方（或被服务单位）公章或业务章的履约评价（或履约验收）资料（阶段性评价/验收也认可）。如提交的证明材料其评价结果没有结论仅是打分则不计分</w:t>
            </w:r>
            <w:r>
              <w:rPr>
                <w:rFonts w:ascii="宋体" w:hAnsi="宋体" w:cs="宋体" w:hint="eastAsia"/>
                <w:szCs w:val="21"/>
                <w:highlight w:val="none"/>
                <w:lang w:eastAsia="zh-CN"/>
              </w:rPr>
              <w:t>。</w:t>
            </w:r>
          </w:p>
          <w:p>
            <w:pPr>
              <w:widowControl w:val="0"/>
              <w:spacing w:line="360" w:lineRule="auto"/>
              <w:ind w:firstLine="0" w:firstLineChars="0"/>
              <w:rPr>
                <w:rFonts w:ascii="宋体" w:hAnsi="宋体" w:cs="宋体" w:hint="eastAsia"/>
                <w:szCs w:val="21"/>
                <w:highlight w:val="none"/>
              </w:rPr>
            </w:pPr>
            <w:r>
              <w:rPr>
                <w:rFonts w:ascii="宋体" w:hAnsi="宋体" w:cs="宋体" w:hint="eastAsia"/>
                <w:szCs w:val="21"/>
                <w:highlight w:val="none"/>
              </w:rPr>
              <w:t>2.第2项提供投标人与所服务医院的三级甲等医院评审（创建或复审）期间的服务合同关键页</w:t>
            </w:r>
            <w:r>
              <w:rPr>
                <w:rFonts w:hint="eastAsia"/>
                <w:highlight w:val="none"/>
              </w:rPr>
              <w:t>（包括但不限于合同的项目名称、服务内容、合同服务的起止时间、签订日期、合同签字盖章页）</w:t>
            </w:r>
            <w:r>
              <w:rPr>
                <w:rFonts w:ascii="宋体" w:hAnsi="宋体" w:cs="宋体" w:hint="eastAsia"/>
                <w:szCs w:val="21"/>
                <w:highlight w:val="none"/>
              </w:rPr>
              <w:t>扫描件和中标通知书扫描件及所服务期间该医院通过三级甲等医院评审（创建或复审）的相关证明材料（盖采购人公章或采购人业务部门章）扫描件。如未按要求提供证明材料，或所提供的证明材料未能体现上述评分内容的，视为该证明材料无效。</w:t>
            </w:r>
          </w:p>
          <w:p>
            <w:pPr>
              <w:widowControl w:val="0"/>
              <w:spacing w:line="360" w:lineRule="auto"/>
              <w:ind w:firstLine="0" w:firstLineChars="0"/>
              <w:rPr>
                <w:rFonts w:ascii="宋体" w:hAnsi="宋体" w:eastAsiaTheme="minorEastAsia" w:cs="宋体" w:hint="eastAsia"/>
                <w:szCs w:val="21"/>
                <w:highlight w:val="none"/>
              </w:rPr>
            </w:pPr>
            <w:r>
              <w:rPr>
                <w:rFonts w:ascii="宋体" w:hAnsi="宋体" w:cs="宋体" w:hint="eastAsia"/>
                <w:szCs w:val="21"/>
                <w:highlight w:val="none"/>
              </w:rPr>
              <w:t>3.以上证明材料均提供扫描件。</w:t>
            </w:r>
            <w:r>
              <w:rPr>
                <w:rFonts w:asciiTheme="minorEastAsia" w:eastAsiaTheme="minorEastAsia" w:hAnsiTheme="minorEastAsia"/>
                <w:bCs/>
                <w:spacing w:val="10"/>
                <w:kern w:val="0"/>
                <w:szCs w:val="21"/>
                <w:highlight w:val="none"/>
              </w:rPr>
              <w:t>评分中出现无证明资料或专家无法凭所提供资料判断是否得分的情况，一律作不得分处理</w:t>
            </w:r>
            <w:r>
              <w:rPr>
                <w:rFonts w:asciiTheme="minorEastAsia" w:eastAsiaTheme="minorEastAsia" w:hAnsiTheme="minorEastAsia" w:hint="eastAsia"/>
                <w:bCs/>
                <w:spacing w:val="10"/>
                <w:kern w:val="0"/>
                <w:szCs w:val="21"/>
                <w:highlight w:val="none"/>
              </w:rPr>
              <w:t>。</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val="restart"/>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p>
          <w:p>
            <w:pPr>
              <w:widowControl w:val="0"/>
              <w:wordWrap w:val="0"/>
              <w:spacing w:line="360" w:lineRule="auto"/>
              <w:ind w:firstLine="0" w:firstLineChars="0"/>
              <w:jc w:val="center"/>
              <w:rPr>
                <w:rFonts w:ascii="宋体" w:hAnsi="宋体" w:cs="宋体" w:hint="eastAsia"/>
                <w:b/>
                <w:bCs/>
                <w:szCs w:val="21"/>
                <w:highlight w:val="none"/>
              </w:rPr>
            </w:pPr>
          </w:p>
          <w:p>
            <w:pPr>
              <w:widowControl w:val="0"/>
              <w:wordWrap w:val="0"/>
              <w:spacing w:line="360" w:lineRule="auto"/>
              <w:ind w:firstLine="0" w:firstLineChars="0"/>
              <w:jc w:val="center"/>
              <w:rPr>
                <w:rFonts w:ascii="宋体" w:hAnsi="宋体" w:cs="宋体" w:hint="eastAsia"/>
                <w:b/>
                <w:bCs/>
                <w:szCs w:val="21"/>
                <w:highlight w:val="none"/>
              </w:rPr>
            </w:pPr>
          </w:p>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4</w:t>
            </w:r>
          </w:p>
        </w:tc>
        <w:tc>
          <w:tcPr>
            <w:tcW w:w="2835" w:type="dxa"/>
            <w:gridSpan w:val="3"/>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诚信情况</w:t>
            </w:r>
          </w:p>
        </w:tc>
        <w:tc>
          <w:tcPr>
            <w:tcW w:w="5528" w:type="dxa"/>
            <w:tcBorders>
              <w:top w:val="single" w:sz="8" w:space="0" w:color="000000"/>
              <w:left w:val="single" w:sz="8" w:space="0" w:color="000000"/>
              <w:bottom w:val="single" w:sz="8" w:space="0" w:color="000000"/>
              <w:right w:val="single" w:sz="8" w:space="0" w:color="000000"/>
            </w:tcBorders>
          </w:tcPr>
          <w:p>
            <w:pPr>
              <w:widowControl w:val="0"/>
              <w:wordWrap w:val="0"/>
              <w:spacing w:line="360" w:lineRule="auto"/>
              <w:ind w:firstLine="0" w:firstLineChars="0"/>
              <w:jc w:val="center"/>
              <w:rPr>
                <w:rFonts w:ascii="宋体" w:hAnsi="宋体" w:cs="宋体" w:hint="eastAsia"/>
                <w:b/>
                <w:bCs/>
                <w:szCs w:val="21"/>
                <w:highlight w:val="none"/>
              </w:rPr>
            </w:pPr>
            <w:r>
              <w:rPr>
                <w:rFonts w:ascii="宋体" w:hAnsi="宋体" w:cs="宋体" w:hint="eastAsia"/>
                <w:b/>
                <w:bCs/>
                <w:szCs w:val="21"/>
                <w:highlight w:val="none"/>
              </w:rPr>
              <w:t>5</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top w:val="single" w:sz="8" w:space="0" w:color="000000"/>
              <w:left w:val="single" w:sz="8" w:space="0" w:color="000000"/>
              <w:bottom w:val="single" w:sz="8" w:space="0" w:color="000000"/>
              <w:right w:val="single" w:sz="8" w:space="0" w:color="000000"/>
            </w:tcBorders>
            <w:shd w:val="clear" w:color="auto" w:fill="E6EFFA"/>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序号</w:t>
            </w:r>
          </w:p>
        </w:tc>
        <w:tc>
          <w:tcPr>
            <w:tcW w:w="1701"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评分因素</w:t>
            </w:r>
          </w:p>
        </w:tc>
        <w:tc>
          <w:tcPr>
            <w:tcW w:w="567"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权重(%)</w:t>
            </w:r>
          </w:p>
        </w:tc>
        <w:tc>
          <w:tcPr>
            <w:tcW w:w="5528" w:type="dxa"/>
            <w:tcBorders>
              <w:top w:val="outset" w:sz="6" w:space="0" w:color="000000"/>
              <w:left w:val="outset" w:sz="6" w:space="0" w:color="000000"/>
              <w:bottom w:val="outset" w:sz="6" w:space="0" w:color="000000"/>
              <w:right w:val="outset" w:sz="6" w:space="0" w:color="000000"/>
            </w:tcBorders>
            <w:shd w:val="clear" w:color="auto" w:fill="E6EFFA"/>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评分准则</w:t>
            </w:r>
          </w:p>
        </w:tc>
      </w:tr>
      <w:tr>
        <w:tblPrEx>
          <w:tblW w:w="8789" w:type="dxa"/>
          <w:jc w:val="center"/>
          <w:tblCellSpacing w:w="0" w:type="dxa"/>
          <w:tblLayout w:type="fixed"/>
          <w:tblCellMar>
            <w:top w:w="20" w:type="dxa"/>
            <w:left w:w="108" w:type="dxa"/>
            <w:bottom w:w="20" w:type="dxa"/>
            <w:right w:w="108" w:type="dxa"/>
          </w:tblCellMar>
        </w:tblPrEx>
        <w:trPr>
          <w:tblCellSpacing w:w="0" w:type="dxa"/>
          <w:jc w:val="center"/>
        </w:trPr>
        <w:tc>
          <w:tcPr>
            <w:tcW w:w="426" w:type="dxa"/>
            <w:vMerge/>
            <w:tcBorders>
              <w:top w:val="single" w:sz="8" w:space="0" w:color="000000"/>
              <w:left w:val="single" w:sz="8" w:space="0" w:color="000000"/>
              <w:bottom w:val="single" w:sz="8" w:space="0" w:color="000000"/>
              <w:right w:val="single" w:sz="8" w:space="0" w:color="000000"/>
            </w:tcBorders>
            <w:vAlign w:val="center"/>
          </w:tcPr>
          <w:p>
            <w:pPr>
              <w:widowControl w:val="0"/>
              <w:spacing w:line="360" w:lineRule="auto"/>
              <w:ind w:firstLine="0" w:firstLineChars="0"/>
              <w:rPr>
                <w:rFonts w:ascii="宋体" w:hAnsi="宋体" w:cs="宋体" w:hint="eastAsia"/>
                <w:b/>
                <w:bCs/>
                <w:szCs w:val="21"/>
                <w:highlight w:val="none"/>
              </w:rPr>
            </w:pP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诚信情况</w:t>
            </w:r>
          </w:p>
        </w:tc>
        <w:tc>
          <w:tcPr>
            <w:tcW w:w="567" w:type="dxa"/>
            <w:tcBorders>
              <w:top w:val="single" w:sz="8" w:space="0" w:color="000000"/>
              <w:left w:val="single" w:sz="8" w:space="0" w:color="000000"/>
              <w:bottom w:val="single" w:sz="8" w:space="0" w:color="000000"/>
              <w:right w:val="single" w:sz="8" w:space="0" w:color="000000"/>
            </w:tcBorders>
            <w:vAlign w:val="center"/>
          </w:tcPr>
          <w:p>
            <w:pPr>
              <w:widowControl w:val="0"/>
              <w:wordWrap w:val="0"/>
              <w:spacing w:line="360" w:lineRule="auto"/>
              <w:ind w:firstLine="0" w:firstLineChars="0"/>
              <w:jc w:val="center"/>
              <w:rPr>
                <w:rFonts w:ascii="宋体" w:hAnsi="宋体" w:cs="宋体" w:hint="eastAsia"/>
                <w:szCs w:val="21"/>
                <w:highlight w:val="none"/>
              </w:rPr>
            </w:pPr>
            <w:r>
              <w:rPr>
                <w:rFonts w:ascii="宋体" w:hAnsi="宋体" w:cs="宋体" w:hint="eastAsia"/>
                <w:szCs w:val="21"/>
                <w:highlight w:val="none"/>
              </w:rPr>
              <w:t>5</w:t>
            </w:r>
          </w:p>
        </w:tc>
        <w:tc>
          <w:tcPr>
            <w:tcW w:w="5528" w:type="dxa"/>
            <w:tcBorders>
              <w:top w:val="single" w:sz="8" w:space="0" w:color="000000"/>
              <w:left w:val="single" w:sz="8" w:space="0" w:color="000000"/>
              <w:bottom w:val="single" w:sz="8" w:space="0" w:color="000000"/>
              <w:right w:val="single" w:sz="8" w:space="0" w:color="000000"/>
            </w:tcBorders>
          </w:tcPr>
          <w:p>
            <w:pPr>
              <w:widowControl w:val="0"/>
              <w:adjustRightInd w:val="0"/>
              <w:snapToGrid w:val="0"/>
              <w:spacing w:line="360" w:lineRule="auto"/>
              <w:ind w:firstLine="0" w:firstLineChars="0"/>
              <w:rPr>
                <w:rFonts w:ascii="宋体" w:hAnsi="宋体" w:cs="宋体" w:hint="eastAsia"/>
                <w:b/>
                <w:bCs/>
                <w:kern w:val="0"/>
                <w:szCs w:val="21"/>
                <w:highlight w:val="none"/>
              </w:rPr>
            </w:pPr>
            <w:r>
              <w:rPr>
                <w:rFonts w:ascii="宋体" w:hAnsi="宋体" w:cs="宋体" w:hint="eastAsia"/>
                <w:b/>
                <w:bCs/>
                <w:kern w:val="0"/>
                <w:szCs w:val="21"/>
                <w:highlight w:val="none"/>
              </w:rPr>
              <w:t>（一）评分内容：</w:t>
            </w:r>
          </w:p>
          <w:p>
            <w:pPr>
              <w:adjustRightInd w:val="0"/>
              <w:snapToGrid w:val="0"/>
              <w:spacing w:line="360" w:lineRule="auto"/>
              <w:ind w:firstLine="0" w:firstLineChars="0"/>
              <w:textAlignment w:val="top"/>
              <w:rPr>
                <w:rFonts w:ascii="宋体" w:hAnsi="宋体" w:cs="宋体" w:hint="eastAsia"/>
                <w:kern w:val="0"/>
                <w:szCs w:val="21"/>
                <w:highlight w:val="none"/>
              </w:rPr>
            </w:pPr>
            <w:r>
              <w:rPr>
                <w:rFonts w:ascii="宋体" w:hAnsi="宋体" w:cs="宋体" w:hint="eastAsia"/>
                <w:kern w:val="0"/>
                <w:szCs w:val="21"/>
                <w:highlight w:val="none"/>
              </w:rPr>
              <w:t>投标人存在《深圳市财政局政府采购供应商信用信息管理办法》（深财规〔2023〕3号）列明的一般行政处罚信息、一般违法失信记录信息的，本项不得分，不存在上述情形的本项得100分。投标人无需提供任何证明材料，评标过程中由工作人员向评审委员会提供有关供应商诚信查询结果。</w:t>
            </w:r>
          </w:p>
          <w:p>
            <w:pPr>
              <w:widowControl w:val="0"/>
              <w:adjustRightInd w:val="0"/>
              <w:snapToGrid w:val="0"/>
              <w:spacing w:line="360" w:lineRule="auto"/>
              <w:ind w:firstLine="0" w:firstLineChars="0"/>
              <w:rPr>
                <w:rFonts w:ascii="宋体" w:hAnsi="宋体" w:cs="宋体" w:hint="eastAsia"/>
                <w:szCs w:val="21"/>
                <w:highlight w:val="none"/>
              </w:rPr>
            </w:pPr>
            <w:r>
              <w:rPr>
                <w:rFonts w:ascii="宋体" w:hAnsi="宋体" w:cs="宋体" w:hint="eastAsia"/>
                <w:b/>
                <w:bCs/>
                <w:kern w:val="0"/>
                <w:szCs w:val="21"/>
                <w:highlight w:val="none"/>
              </w:rPr>
              <w:t>（二）评分依据：</w:t>
            </w:r>
          </w:p>
          <w:p>
            <w:pPr>
              <w:widowControl w:val="0"/>
              <w:wordWrap w:val="0"/>
              <w:spacing w:line="360" w:lineRule="auto"/>
              <w:ind w:firstLine="0" w:firstLineChars="0"/>
              <w:rPr>
                <w:rFonts w:ascii="宋体" w:hAnsi="宋体" w:cs="宋体" w:hint="eastAsia"/>
                <w:szCs w:val="21"/>
                <w:highlight w:val="none"/>
              </w:rPr>
            </w:pPr>
            <w:r>
              <w:rPr>
                <w:rFonts w:ascii="宋体" w:hAnsi="宋体" w:cs="宋体" w:hint="eastAsia"/>
                <w:kern w:val="0"/>
                <w:szCs w:val="21"/>
                <w:highlight w:val="none"/>
              </w:rPr>
              <w:t>查询渠道：通过“信用中国”（www.creditchina.gov.cn，下载信用信息报告）、“中国政府采购网”（www.ccgp.gov.cn）以及“深圳市政府采购监管网”（http://zfcg.sz.gov.cn）</w:t>
            </w:r>
            <w:r>
              <w:rPr>
                <w:rFonts w:ascii="宋体" w:hAnsi="宋体" w:cs="宋体" w:hint="eastAsia"/>
                <w:kern w:val="0"/>
                <w:szCs w:val="21"/>
                <w:highlight w:val="none"/>
                <w:lang w:eastAsia="zh-CN"/>
              </w:rPr>
              <w:t>、</w:t>
            </w:r>
            <w:r>
              <w:rPr>
                <w:rFonts w:asciiTheme="minorEastAsia" w:eastAsiaTheme="minorEastAsia" w:hAnsiTheme="minorEastAsia" w:cstheme="minorEastAsia" w:hint="eastAsia"/>
                <w:b w:val="0"/>
                <w:bCs w:val="0"/>
                <w:sz w:val="21"/>
                <w:szCs w:val="21"/>
                <w:highlight w:val="none"/>
              </w:rPr>
              <w:t>“深圳政府采购智慧平台信用库”</w:t>
            </w:r>
            <w:r>
              <w:rPr>
                <w:rFonts w:ascii="宋体" w:hAnsi="宋体" w:cs="宋体" w:hint="eastAsia"/>
                <w:kern w:val="0"/>
                <w:szCs w:val="21"/>
                <w:highlight w:val="none"/>
              </w:rPr>
              <w:t>查询供应商信用信息，信用信息以开标当日的查询结果为准。</w:t>
            </w:r>
          </w:p>
        </w:tc>
      </w:tr>
    </w:tbl>
    <w:p>
      <w:pPr>
        <w:rPr>
          <w:rFonts w:ascii="宋体" w:hAnsi="宋体"/>
          <w:sz w:val="24"/>
        </w:rPr>
      </w:pPr>
    </w:p>
    <w:p>
      <w:pPr>
        <w:sectPr>
          <w:pgSz w:w="11907" w:h="16840"/>
          <w:pgMar w:top="1440" w:right="1417" w:bottom="1440" w:left="1417" w:header="851" w:footer="992" w:gutter="0"/>
          <w:cols w:num="1" w:space="425"/>
          <w:titlePg/>
          <w:docGrid w:linePitch="462" w:charSpace="0"/>
        </w:sectPr>
      </w:pPr>
    </w:p>
    <w:p>
      <w:pPr>
        <w:jc w:val="center"/>
        <w:rPr>
          <w:rFonts w:hint="eastAsia"/>
          <w:b/>
          <w:sz w:val="120"/>
          <w:szCs w:val="120"/>
        </w:rPr>
      </w:pPr>
    </w:p>
    <w:p>
      <w:pPr>
        <w:jc w:val="center"/>
        <w:rPr>
          <w:rFonts w:hint="eastAsia"/>
          <w:b/>
          <w:sz w:val="120"/>
          <w:szCs w:val="120"/>
        </w:rPr>
      </w:pPr>
    </w:p>
    <w:p>
      <w:pPr>
        <w:jc w:val="center"/>
        <w:rPr>
          <w:rFonts w:hint="eastAsia"/>
          <w:b/>
          <w:sz w:val="120"/>
          <w:szCs w:val="120"/>
        </w:rPr>
      </w:pPr>
    </w:p>
    <w:p>
      <w:pPr>
        <w:jc w:val="center"/>
        <w:rPr>
          <w:b/>
          <w:sz w:val="120"/>
          <w:szCs w:val="120"/>
        </w:rPr>
      </w:pPr>
      <w:r>
        <w:rPr>
          <w:rFonts w:hint="eastAsia"/>
          <w:b/>
          <w:sz w:val="120"/>
          <w:szCs w:val="120"/>
        </w:rPr>
        <w:t>政府采购</w:t>
      </w:r>
    </w:p>
    <w:p>
      <w:pPr>
        <w:jc w:val="center"/>
        <w:rPr>
          <w:b/>
          <w:sz w:val="120"/>
          <w:szCs w:val="120"/>
        </w:rPr>
      </w:pPr>
      <w:r>
        <w:rPr>
          <w:rFonts w:hint="eastAsia"/>
          <w:b/>
          <w:sz w:val="120"/>
          <w:szCs w:val="120"/>
        </w:rPr>
        <w:t>招标文件</w:t>
      </w:r>
    </w:p>
    <w:p>
      <w:pPr>
        <w:jc w:val="center"/>
        <w:rPr>
          <w:b/>
          <w:sz w:val="52"/>
          <w:szCs w:val="52"/>
        </w:rPr>
      </w:pPr>
      <w:r>
        <w:rPr>
          <w:rFonts w:hint="eastAsia"/>
          <w:b/>
          <w:sz w:val="52"/>
          <w:szCs w:val="52"/>
        </w:rPr>
        <w:t>（服务类）</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bookmarkStart w:id="0" w:name="_Hlk71465316"/>
      <w:r>
        <w:rPr>
          <w:rFonts w:hint="eastAsia"/>
          <w:b/>
          <w:sz w:val="44"/>
          <w:szCs w:val="44"/>
        </w:rPr>
        <w:t>深圳公共资源交易中心</w:t>
      </w:r>
    </w:p>
    <w:p>
      <w:pPr>
        <w:jc w:val="center"/>
        <w:rPr>
          <w:sz w:val="28"/>
          <w:szCs w:val="28"/>
        </w:rPr>
      </w:pPr>
      <w:r>
        <w:rPr>
          <w:rFonts w:hint="eastAsia"/>
          <w:b/>
          <w:sz w:val="28"/>
          <w:szCs w:val="28"/>
        </w:rPr>
        <w:t>（</w:t>
      </w:r>
      <w:r>
        <w:rPr>
          <w:b/>
          <w:sz w:val="28"/>
          <w:szCs w:val="28"/>
        </w:rPr>
        <w:t>20</w:t>
      </w:r>
      <w:r>
        <w:rPr>
          <w:rFonts w:hint="eastAsia"/>
          <w:b/>
          <w:sz w:val="28"/>
          <w:szCs w:val="28"/>
        </w:rPr>
        <w:t>2</w:t>
      </w:r>
      <w:r>
        <w:rPr>
          <w:rFonts w:hint="eastAsia"/>
          <w:b/>
          <w:sz w:val="28"/>
          <w:szCs w:val="28"/>
          <w:lang w:val="en-US" w:eastAsia="zh-CN"/>
        </w:rPr>
        <w:t>5</w:t>
      </w:r>
      <w:r>
        <w:rPr>
          <w:rFonts w:hint="eastAsia"/>
          <w:b/>
          <w:sz w:val="28"/>
          <w:szCs w:val="28"/>
        </w:rPr>
        <w:t>）</w:t>
      </w:r>
      <w:bookmarkEnd w:id="0"/>
    </w:p>
    <w:p>
      <w:pPr>
        <w:ind w:firstLine="420" w:firstLineChars="200"/>
        <w:rPr>
          <w:rFonts w:hint="eastAsia"/>
        </w:rPr>
      </w:pPr>
      <w:r>
        <w:rPr>
          <w:rFonts w:hint="eastAsia"/>
        </w:rPr>
        <w:br w:type="page"/>
      </w:r>
    </w:p>
    <w:p>
      <w:pPr>
        <w:pStyle w:val="Heading1"/>
      </w:pPr>
      <w:r>
        <w:rPr>
          <w:rFonts w:hint="eastAsia"/>
        </w:rPr>
        <w:t>目   录</w:t>
      </w:r>
    </w:p>
    <w:p>
      <w:pPr>
        <w:outlineLvl w:val="0"/>
        <w:rPr>
          <w:b/>
          <w:sz w:val="24"/>
        </w:rPr>
      </w:pPr>
      <w:r>
        <w:rPr>
          <w:rFonts w:hint="eastAsia"/>
          <w:b/>
          <w:sz w:val="24"/>
        </w:rPr>
        <w:t>第一册  专用条款</w:t>
      </w:r>
    </w:p>
    <w:p>
      <w:pPr>
        <w:ind w:firstLine="840" w:firstLineChars="400"/>
        <w:rPr>
          <w:sz w:val="24"/>
        </w:rPr>
      </w:pPr>
      <w:r>
        <w:rPr>
          <w:rFonts w:hint="eastAsia"/>
          <w:sz w:val="24"/>
        </w:rPr>
        <w:t>关键信息</w:t>
      </w:r>
    </w:p>
    <w:p>
      <w:pPr>
        <w:ind w:left="630" w:firstLine="630" w:leftChars="300" w:firstLineChars="300"/>
        <w:rPr>
          <w:rFonts w:ascii="宋体" w:hAnsi="宋体"/>
          <w:szCs w:val="21"/>
        </w:rPr>
      </w:pPr>
      <w:r>
        <w:rPr>
          <w:rFonts w:ascii="宋体" w:hAnsi="宋体" w:hint="eastAsia"/>
          <w:szCs w:val="21"/>
        </w:rPr>
        <w:t>第一章  招标公告</w:t>
      </w:r>
    </w:p>
    <w:p>
      <w:pPr>
        <w:ind w:left="630" w:firstLine="630" w:leftChars="300" w:firstLineChars="300"/>
        <w:rPr>
          <w:rFonts w:ascii="宋体" w:hAnsi="宋体"/>
          <w:szCs w:val="21"/>
        </w:rPr>
      </w:pPr>
      <w:r>
        <w:rPr>
          <w:rFonts w:ascii="宋体" w:hAnsi="宋体" w:hint="eastAsia"/>
          <w:szCs w:val="21"/>
        </w:rPr>
        <w:t xml:space="preserve">第二章  </w:t>
      </w:r>
      <w:bookmarkStart w:id="1" w:name="_Hlk71994379"/>
      <w:r>
        <w:rPr>
          <w:rFonts w:ascii="宋体" w:hAnsi="宋体" w:hint="eastAsia"/>
          <w:szCs w:val="21"/>
        </w:rPr>
        <w:t>对通用条款的补充内容及其他关键信息</w:t>
      </w:r>
      <w:bookmarkEnd w:id="1"/>
    </w:p>
    <w:p>
      <w:pPr>
        <w:ind w:left="630" w:firstLine="630" w:leftChars="300" w:firstLineChars="300"/>
        <w:rPr>
          <w:rFonts w:ascii="宋体" w:hAnsi="宋体"/>
          <w:szCs w:val="21"/>
        </w:rPr>
      </w:pPr>
      <w:r>
        <w:rPr>
          <w:rFonts w:ascii="宋体" w:hAnsi="宋体" w:hint="eastAsia"/>
          <w:szCs w:val="21"/>
        </w:rPr>
        <w:t xml:space="preserve">第三章 </w:t>
      </w:r>
      <w:r>
        <w:rPr>
          <w:rFonts w:ascii="宋体" w:hAnsi="宋体"/>
          <w:szCs w:val="21"/>
        </w:rPr>
        <w:t xml:space="preserve"> </w:t>
      </w:r>
      <w:r>
        <w:rPr>
          <w:rFonts w:ascii="宋体" w:hAnsi="宋体" w:hint="eastAsia"/>
          <w:szCs w:val="21"/>
        </w:rPr>
        <w:t>用户需求书</w:t>
      </w:r>
    </w:p>
    <w:p>
      <w:pPr>
        <w:ind w:left="630" w:firstLine="630" w:leftChars="300" w:firstLineChars="300"/>
        <w:rPr>
          <w:rFonts w:ascii="宋体" w:hAnsi="宋体"/>
          <w:szCs w:val="21"/>
        </w:rPr>
      </w:pPr>
      <w:r>
        <w:rPr>
          <w:rFonts w:ascii="宋体" w:hAnsi="宋体" w:hint="eastAsia"/>
          <w:szCs w:val="21"/>
        </w:rPr>
        <w:t xml:space="preserve">第四章 </w:t>
      </w:r>
      <w:r>
        <w:rPr>
          <w:rFonts w:ascii="宋体" w:hAnsi="宋体"/>
          <w:szCs w:val="21"/>
        </w:rPr>
        <w:t xml:space="preserve"> </w:t>
      </w:r>
      <w:r>
        <w:rPr>
          <w:rFonts w:ascii="宋体" w:hAnsi="宋体" w:hint="eastAsia"/>
          <w:szCs w:val="21"/>
        </w:rPr>
        <w:t>投标文件组成要求及格式</w:t>
      </w:r>
    </w:p>
    <w:p>
      <w:pPr>
        <w:ind w:left="630" w:firstLine="630" w:leftChars="300" w:firstLineChars="300"/>
        <w:rPr>
          <w:rFonts w:ascii="宋体" w:hAnsi="宋体"/>
          <w:szCs w:val="21"/>
        </w:rPr>
      </w:pPr>
      <w:r>
        <w:rPr>
          <w:rFonts w:ascii="宋体" w:hAnsi="宋体" w:hint="eastAsia"/>
          <w:szCs w:val="21"/>
        </w:rPr>
        <w:t>第五章  合同条款及格式</w:t>
      </w:r>
    </w:p>
    <w:p>
      <w:pPr>
        <w:rPr>
          <w:b/>
          <w:sz w:val="24"/>
        </w:rPr>
      </w:pPr>
    </w:p>
    <w:p>
      <w:pPr>
        <w:outlineLvl w:val="0"/>
        <w:rPr>
          <w:b/>
          <w:sz w:val="24"/>
        </w:rPr>
      </w:pPr>
      <w:r>
        <w:rPr>
          <w:rFonts w:hint="eastAsia"/>
          <w:b/>
          <w:sz w:val="24"/>
        </w:rPr>
        <w:t>第二册  通用条款</w:t>
      </w:r>
    </w:p>
    <w:p>
      <w:pPr>
        <w:ind w:left="630" w:firstLine="412" w:leftChars="300" w:firstLineChars="196"/>
        <w:rPr>
          <w:rFonts w:ascii="宋体" w:hAnsi="宋体"/>
          <w:szCs w:val="21"/>
        </w:rPr>
      </w:pPr>
      <w:r>
        <w:rPr>
          <w:rFonts w:ascii="宋体" w:hAnsi="宋体" w:hint="eastAsia"/>
          <w:szCs w:val="21"/>
        </w:rPr>
        <w:t>第一章  总则</w:t>
      </w:r>
    </w:p>
    <w:p>
      <w:pPr>
        <w:ind w:left="630" w:firstLine="412" w:leftChars="300" w:firstLineChars="196"/>
        <w:rPr>
          <w:rFonts w:ascii="宋体" w:hAnsi="宋体"/>
          <w:szCs w:val="21"/>
        </w:rPr>
      </w:pPr>
      <w:r>
        <w:rPr>
          <w:rFonts w:ascii="宋体" w:hAnsi="宋体" w:hint="eastAsia"/>
          <w:szCs w:val="21"/>
        </w:rPr>
        <w:t>第二章  招标文件</w:t>
      </w:r>
    </w:p>
    <w:p>
      <w:pPr>
        <w:ind w:left="630" w:firstLine="412" w:leftChars="300" w:firstLineChars="196"/>
        <w:rPr>
          <w:rFonts w:ascii="宋体" w:hAnsi="宋体"/>
          <w:szCs w:val="21"/>
        </w:rPr>
      </w:pPr>
      <w:r>
        <w:rPr>
          <w:rFonts w:ascii="宋体" w:hAnsi="宋体" w:hint="eastAsia"/>
          <w:szCs w:val="21"/>
        </w:rPr>
        <w:t>第三章  投标文件的编制</w:t>
      </w:r>
    </w:p>
    <w:p>
      <w:pPr>
        <w:ind w:left="630" w:firstLine="412" w:leftChars="300" w:firstLineChars="196"/>
        <w:rPr>
          <w:rFonts w:ascii="宋体" w:hAnsi="宋体"/>
          <w:szCs w:val="21"/>
        </w:rPr>
      </w:pPr>
      <w:r>
        <w:rPr>
          <w:rFonts w:ascii="宋体" w:hAnsi="宋体" w:hint="eastAsia"/>
          <w:szCs w:val="21"/>
        </w:rPr>
        <w:t>第四章  投标文件的递交</w:t>
      </w:r>
    </w:p>
    <w:p>
      <w:pPr>
        <w:ind w:left="630" w:firstLine="412" w:leftChars="300" w:firstLineChars="196"/>
        <w:rPr>
          <w:rFonts w:ascii="宋体" w:hAnsi="宋体"/>
          <w:szCs w:val="21"/>
        </w:rPr>
      </w:pPr>
      <w:r>
        <w:rPr>
          <w:rFonts w:ascii="宋体" w:hAnsi="宋体" w:hint="eastAsia"/>
          <w:szCs w:val="21"/>
        </w:rPr>
        <w:t>第五章  开标</w:t>
      </w:r>
    </w:p>
    <w:p>
      <w:pPr>
        <w:ind w:left="630" w:firstLine="412" w:leftChars="300" w:firstLineChars="196"/>
        <w:rPr>
          <w:rFonts w:ascii="宋体" w:hAnsi="宋体"/>
          <w:szCs w:val="21"/>
        </w:rPr>
      </w:pPr>
      <w:r>
        <w:rPr>
          <w:rFonts w:ascii="宋体" w:hAnsi="宋体" w:hint="eastAsia"/>
          <w:szCs w:val="21"/>
        </w:rPr>
        <w:t>第六章  评审要求</w:t>
      </w:r>
    </w:p>
    <w:p>
      <w:pPr>
        <w:ind w:left="630" w:firstLine="412" w:leftChars="300" w:firstLineChars="196"/>
        <w:rPr>
          <w:rFonts w:ascii="宋体" w:hAnsi="宋体"/>
          <w:szCs w:val="21"/>
        </w:rPr>
      </w:pPr>
      <w:r>
        <w:rPr>
          <w:rFonts w:ascii="宋体" w:hAnsi="宋体" w:hint="eastAsia"/>
          <w:szCs w:val="21"/>
        </w:rPr>
        <w:t>第七章  评审程序及评审方法</w:t>
      </w:r>
    </w:p>
    <w:p>
      <w:pPr>
        <w:ind w:left="630" w:firstLine="412" w:leftChars="300" w:firstLineChars="196"/>
        <w:rPr>
          <w:rFonts w:ascii="宋体" w:hAnsi="宋体"/>
          <w:szCs w:val="21"/>
        </w:rPr>
      </w:pPr>
      <w:r>
        <w:rPr>
          <w:rFonts w:ascii="宋体" w:hAnsi="宋体" w:hint="eastAsia"/>
          <w:szCs w:val="21"/>
        </w:rPr>
        <w:t>第八章  定标及公示</w:t>
      </w:r>
    </w:p>
    <w:p>
      <w:pPr>
        <w:ind w:left="630" w:firstLine="412" w:leftChars="300" w:firstLineChars="196"/>
        <w:rPr>
          <w:rFonts w:ascii="宋体" w:hAnsi="宋体"/>
          <w:szCs w:val="21"/>
        </w:rPr>
      </w:pPr>
      <w:r>
        <w:rPr>
          <w:rFonts w:ascii="宋体" w:hAnsi="宋体" w:hint="eastAsia"/>
          <w:szCs w:val="21"/>
        </w:rPr>
        <w:t>第九章  公开招标失败的后续处理</w:t>
      </w:r>
    </w:p>
    <w:p>
      <w:pPr>
        <w:ind w:left="630" w:firstLine="412" w:leftChars="300" w:firstLineChars="196"/>
        <w:rPr>
          <w:rFonts w:ascii="宋体" w:hAnsi="宋体"/>
          <w:szCs w:val="21"/>
        </w:rPr>
      </w:pPr>
      <w:r>
        <w:rPr>
          <w:rFonts w:ascii="宋体" w:hAnsi="宋体" w:hint="eastAsia"/>
          <w:szCs w:val="21"/>
        </w:rPr>
        <w:t>第十章  合同的授予与备案</w:t>
      </w:r>
    </w:p>
    <w:p>
      <w:pPr>
        <w:ind w:firstLine="1050" w:firstLineChars="500"/>
        <w:outlineLvl w:val="0"/>
        <w:rPr>
          <w:b/>
          <w:sz w:val="24"/>
        </w:rPr>
      </w:pPr>
      <w:r>
        <w:rPr>
          <w:rFonts w:ascii="宋体" w:hAnsi="宋体" w:hint="eastAsia"/>
          <w:szCs w:val="21"/>
        </w:rPr>
        <w:t>第十一章  质疑处理</w:t>
      </w:r>
    </w:p>
    <w:p>
      <w:pPr>
        <w:spacing w:line="360" w:lineRule="auto"/>
        <w:ind w:firstLine="420" w:firstLineChars="200"/>
        <w:jc w:val="left"/>
        <w:rPr>
          <w:rFonts w:ascii="宋体" w:hAnsi="宋体"/>
          <w:szCs w:val="21"/>
        </w:rPr>
      </w:pPr>
    </w:p>
    <w:p>
      <w:pPr>
        <w:pStyle w:val="Heading1"/>
        <w:rPr>
          <w:sz w:val="24"/>
        </w:rPr>
      </w:pPr>
      <w:r>
        <w:br w:type="page"/>
      </w:r>
      <w:bookmarkStart w:id="2" w:name="bt合同条款及格式"/>
      <w:bookmarkEnd w:id="2"/>
      <w:bookmarkStart w:id="3" w:name="bt其他资料2"/>
      <w:bookmarkEnd w:id="3"/>
      <w:bookmarkStart w:id="4" w:name="bt项目管理班子配备情况"/>
      <w:bookmarkEnd w:id="4"/>
      <w:bookmarkStart w:id="5" w:name="合同格式"/>
      <w:bookmarkEnd w:id="5"/>
      <w:bookmarkStart w:id="6" w:name="bt投标人情况介绍"/>
      <w:bookmarkEnd w:id="6"/>
      <w:bookmarkStart w:id="7" w:name="bt其他资料由投标人自定"/>
      <w:bookmarkEnd w:id="7"/>
      <w:bookmarkStart w:id="8" w:name="bt合同条款"/>
      <w:bookmarkEnd w:id="8"/>
      <w:bookmarkStart w:id="9" w:name="bt投标人须知"/>
      <w:bookmarkEnd w:id="9"/>
      <w:bookmarkStart w:id="10" w:name="bt说明"/>
      <w:bookmarkEnd w:id="10"/>
      <w:bookmarkStart w:id="11" w:name="bt技术标投标文件格式"/>
      <w:bookmarkEnd w:id="11"/>
      <w:bookmarkStart w:id="12" w:name="bt合同格式"/>
      <w:bookmarkEnd w:id="12"/>
      <w:bookmarkStart w:id="13" w:name="bt投标文件签署授权委托书"/>
      <w:bookmarkEnd w:id="13"/>
      <w:bookmarkStart w:id="14" w:name="bt开标一览表"/>
      <w:bookmarkEnd w:id="14"/>
      <w:bookmarkStart w:id="15" w:name="bt本工程承诺书"/>
      <w:bookmarkEnd w:id="15"/>
      <w:bookmarkStart w:id="16" w:name="bt投标报价汇总表"/>
      <w:bookmarkEnd w:id="16"/>
      <w:bookmarkStart w:id="17" w:name="bt商务标投标文件格式"/>
      <w:bookmarkEnd w:id="17"/>
      <w:bookmarkStart w:id="18" w:name="bt投标函"/>
      <w:bookmarkEnd w:id="18"/>
      <w:r>
        <w:rPr>
          <w:rFonts w:hint="eastAsia"/>
        </w:rPr>
        <w:t>第一册</w:t>
      </w:r>
      <w:r>
        <w:rPr>
          <w:rFonts w:hint="eastAsia"/>
          <w:lang w:val="en-US" w:eastAsia="zh-CN"/>
        </w:rPr>
        <w:t xml:space="preserve">  </w:t>
      </w:r>
      <w:r>
        <w:rPr>
          <w:rFonts w:hint="eastAsia"/>
        </w:rPr>
        <w:t>专用条款</w:t>
      </w:r>
    </w:p>
    <w:p>
      <w:pPr>
        <w:pStyle w:val="Heading2"/>
        <w:rPr>
          <w:rFonts w:hint="eastAsia"/>
          <w:sz w:val="28"/>
          <w:szCs w:val="28"/>
        </w:rPr>
      </w:pPr>
      <w:r>
        <w:rPr>
          <w:rFonts w:hint="eastAsia"/>
          <w:sz w:val="28"/>
          <w:szCs w:val="28"/>
        </w:rPr>
        <w:t>第一章  招标公告</w:t>
      </w:r>
    </w:p>
    <w:tbl>
      <w:tblPr>
        <w:tblStyle w:val="TableNormal"/>
        <w:tblW w:w="8193" w:type="dxa"/>
        <w:jc w:val="center"/>
        <w:tblCellSpacing w:w="0" w:type="dxa"/>
        <w:tblLayout w:type="fixed"/>
        <w:tblCellMar>
          <w:top w:w="0" w:type="dxa"/>
          <w:left w:w="0" w:type="dxa"/>
          <w:bottom w:w="0" w:type="dxa"/>
          <w:right w:w="0" w:type="dxa"/>
        </w:tblCellMar>
      </w:tblPr>
      <w:tblGrid>
        <w:gridCol w:w="8193"/>
      </w:tblGrid>
      <w:tr>
        <w:tblPrEx>
          <w:tblW w:w="8193" w:type="dxa"/>
          <w:jc w:val="center"/>
          <w:tblCellSpacing w:w="0" w:type="dxa"/>
          <w:tblLayout w:type="fixed"/>
          <w:tblCellMar>
            <w:top w:w="0" w:type="dxa"/>
            <w:left w:w="0" w:type="dxa"/>
            <w:bottom w:w="0" w:type="dxa"/>
            <w:right w:w="0" w:type="dxa"/>
          </w:tblCellMar>
        </w:tblPrEx>
        <w:trPr>
          <w:tblCellSpacing w:w="0" w:type="dxa"/>
          <w:jc w:val="center"/>
        </w:trPr>
        <w:tc>
          <w:tcPr>
            <w:tcW w:w="8193" w:type="dxa"/>
            <w:vAlign w:val="center"/>
          </w:tcPr>
          <w:tbl>
            <w:tblPr>
              <w:tblStyle w:val="TableNormal"/>
              <w:tblW w:w="8147" w:type="dxa"/>
              <w:jc w:val="center"/>
              <w:tblCellSpacing w:w="0" w:type="dxa"/>
              <w:tblLayout w:type="fixed"/>
              <w:tblCellMar>
                <w:top w:w="30" w:type="dxa"/>
                <w:left w:w="30" w:type="dxa"/>
                <w:bottom w:w="30" w:type="dxa"/>
                <w:right w:w="30" w:type="dxa"/>
              </w:tblCellMar>
            </w:tblPr>
            <w:tblGrid>
              <w:gridCol w:w="8147"/>
            </w:tblGrid>
            <w:tr>
              <w:tblPrEx>
                <w:tblW w:w="8147" w:type="dxa"/>
                <w:jc w:val="center"/>
                <w:tblCellSpacing w:w="0" w:type="dxa"/>
                <w:tblLayout w:type="fixed"/>
                <w:tblCellMar>
                  <w:top w:w="30" w:type="dxa"/>
                  <w:left w:w="30" w:type="dxa"/>
                  <w:bottom w:w="30" w:type="dxa"/>
                  <w:right w:w="30" w:type="dxa"/>
                </w:tblCellMar>
              </w:tblPrEx>
              <w:trPr>
                <w:tblCellSpacing w:w="0" w:type="dxa"/>
                <w:jc w:val="center"/>
              </w:trPr>
              <w:tc>
                <w:tcPr>
                  <w:tcW w:w="8147" w:type="dxa"/>
                </w:tcPr>
                <w:p>
                  <w:pPr>
                    <w:spacing w:line="360" w:lineRule="auto"/>
                    <w:rPr>
                      <w:rFonts w:ascii="宋体" w:hAnsi="宋体" w:cs="宋体"/>
                      <w:b/>
                      <w:bCs/>
                      <w:kern w:val="0"/>
                      <w:szCs w:val="21"/>
                    </w:rPr>
                  </w:pPr>
                  <w:r>
                    <w:rPr>
                      <w:rFonts w:ascii="宋体" w:hAnsi="宋体" w:cs="宋体" w:hint="eastAsia"/>
                      <w:b/>
                      <w:bCs/>
                      <w:kern w:val="0"/>
                      <w:szCs w:val="21"/>
                    </w:rPr>
                    <w:t>申请人的资格要求：</w:t>
                  </w:r>
                </w:p>
                <w:p>
                  <w:pPr>
                    <w:spacing w:line="360" w:lineRule="auto"/>
                    <w:ind w:firstLine="420" w:firstLineChars="200"/>
                    <w:rPr>
                      <w:rFonts w:ascii="宋体" w:eastAsia="宋体" w:hAnsi="宋体" w:cs="宋体" w:hint="eastAsia"/>
                      <w:kern w:val="0"/>
                      <w:szCs w:val="21"/>
                      <w:lang w:eastAsia="zh-CN"/>
                    </w:rPr>
                  </w:pPr>
                  <w:r>
                    <w:rPr>
                      <w:rFonts w:ascii="宋体" w:hAnsi="宋体" w:cs="宋体" w:hint="eastAsia"/>
                      <w:kern w:val="0"/>
                      <w:szCs w:val="21"/>
                    </w:rPr>
                    <w:t>1</w:t>
                  </w:r>
                  <w:r>
                    <w:rPr>
                      <w:rFonts w:ascii="宋体" w:hAnsi="宋体" w:cs="宋体"/>
                      <w:kern w:val="0"/>
                      <w:szCs w:val="21"/>
                    </w:rPr>
                    <w:t>.</w:t>
                  </w:r>
                  <w:bookmarkStart w:id="19" w:name="_Hlk72162904"/>
                  <w:r>
                    <w:rPr>
                      <w:rFonts w:ascii="宋体" w:hAnsi="宋体" w:cs="宋体" w:hint="eastAsia"/>
                      <w:kern w:val="0"/>
                      <w:szCs w:val="21"/>
                    </w:rPr>
                    <w:t>具有独立承担民事责任的能力（提供营业执照或事业单位法人证书等证明资料扫描件，原件备查，分支机构参与投标的，须同时提供总公司授权文件且授权书载明其民事责任由总公司承担）</w:t>
                  </w:r>
                  <w:bookmarkEnd w:id="19"/>
                  <w:r>
                    <w:rPr>
                      <w:rFonts w:eastAsia="宋体" w:hint="eastAsia"/>
                      <w:szCs w:val="21"/>
                      <w:lang w:eastAsia="zh-CN"/>
                    </w:rPr>
                    <w:t>；</w:t>
                  </w:r>
                </w:p>
                <w:p>
                  <w:pPr>
                    <w:spacing w:line="360" w:lineRule="auto"/>
                    <w:ind w:firstLine="420" w:firstLineChars="200"/>
                    <w:rPr>
                      <w:rFonts w:ascii="宋体" w:hAnsi="宋体" w:cs="宋体"/>
                      <w:kern w:val="0"/>
                      <w:szCs w:val="21"/>
                    </w:rPr>
                  </w:pPr>
                  <w:r>
                    <w:rPr>
                      <w:rFonts w:ascii="宋体" w:hAnsi="宋体" w:cs="宋体" w:hint="eastAsia"/>
                      <w:color w:val="FF0000"/>
                      <w:kern w:val="0"/>
                      <w:szCs w:val="21"/>
                    </w:rPr>
                    <w:t>2.本项目不接受联合体投标</w:t>
                  </w:r>
                  <w:r>
                    <w:rPr>
                      <w:rFonts w:ascii="宋体" w:hAnsi="宋体" w:cs="宋体" w:hint="eastAsia"/>
                      <w:color w:val="FF0000"/>
                      <w:kern w:val="0"/>
                      <w:szCs w:val="21"/>
                      <w:lang w:val="en-US" w:eastAsia="zh-CN"/>
                    </w:rPr>
                    <w:t>，</w:t>
                  </w:r>
                  <w:r>
                    <w:rPr>
                      <w:rFonts w:ascii="宋体" w:hAnsi="宋体" w:cs="宋体" w:hint="eastAsia"/>
                      <w:color w:val="FF0000"/>
                      <w:kern w:val="0"/>
                      <w:szCs w:val="21"/>
                    </w:rPr>
                    <w:t>不接受投标人选用进口产品参与投标，详见招标文件</w:t>
                  </w:r>
                  <w:r>
                    <w:rPr>
                      <w:rFonts w:ascii="宋体" w:hAnsi="宋体" w:cs="宋体" w:hint="eastAsia"/>
                      <w:color w:val="FF0000"/>
                      <w:kern w:val="0"/>
                      <w:szCs w:val="21"/>
                      <w:lang w:eastAsia="zh-CN"/>
                    </w:rPr>
                    <w:t>“</w:t>
                  </w:r>
                  <w:r>
                    <w:rPr>
                      <w:rFonts w:ascii="宋体" w:hAnsi="宋体" w:cs="宋体" w:hint="eastAsia"/>
                      <w:color w:val="FF0000"/>
                      <w:kern w:val="0"/>
                      <w:szCs w:val="21"/>
                      <w:lang w:val="en-US" w:eastAsia="zh-CN"/>
                    </w:rPr>
                    <w:t>第三章 用户需求书</w:t>
                  </w:r>
                  <w:r>
                    <w:rPr>
                      <w:rFonts w:ascii="宋体" w:hAnsi="宋体" w:cs="宋体" w:hint="eastAsia"/>
                      <w:color w:val="FF0000"/>
                      <w:kern w:val="0"/>
                      <w:szCs w:val="21"/>
                    </w:rPr>
                    <w:t>”；</w:t>
                  </w:r>
                </w:p>
                <w:p>
                  <w:pPr>
                    <w:spacing w:line="360" w:lineRule="auto"/>
                    <w:ind w:firstLine="420" w:firstLineChars="200"/>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参与本项目政府采购活动时不存在被有关部门禁止参与政府采购活动且在有效期内的情况（由供应商在《政府采购投标及履约承诺函》中作出声明）；</w:t>
                  </w:r>
                </w:p>
                <w:p>
                  <w:pPr>
                    <w:spacing w:line="360" w:lineRule="auto"/>
                    <w:ind w:firstLine="420" w:firstLineChars="200"/>
                    <w:rPr>
                      <w:rFonts w:ascii="宋体" w:hAnsi="宋体" w:cs="宋体"/>
                      <w:kern w:val="0"/>
                      <w:szCs w:val="21"/>
                    </w:rPr>
                  </w:pPr>
                  <w:r>
                    <w:rPr>
                      <w:rFonts w:ascii="宋体" w:hAnsi="宋体" w:cs="宋体" w:hint="eastAsia"/>
                      <w:kern w:val="0"/>
                      <w:szCs w:val="21"/>
                      <w:lang w:val="en-US" w:eastAsia="zh-CN"/>
                    </w:rPr>
                    <w:t>4</w:t>
                  </w:r>
                  <w:r>
                    <w:rPr>
                      <w:rFonts w:ascii="宋体" w:hAnsi="宋体" w:cs="宋体"/>
                      <w:kern w:val="0"/>
                      <w:szCs w:val="21"/>
                    </w:rPr>
                    <w:t>.</w:t>
                  </w:r>
                  <w:r>
                    <w:rPr>
                      <w:rFonts w:ascii="宋体" w:hAnsi="宋体" w:cs="宋体" w:hint="eastAsia"/>
                      <w:kern w:val="0"/>
                      <w:szCs w:val="21"/>
                    </w:rPr>
                    <w:t>具备《中华人民共和国政府采购法》第二十二条第一款的条件（由供应商在《政府采购投标及履约承诺函》中作出声明）；</w:t>
                  </w:r>
                </w:p>
                <w:p>
                  <w:pPr>
                    <w:spacing w:line="360" w:lineRule="auto"/>
                    <w:ind w:firstLine="420" w:firstLineChars="200"/>
                    <w:rPr>
                      <w:rFonts w:ascii="宋体" w:hAnsi="宋体" w:cs="宋体" w:hint="eastAsia"/>
                      <w:kern w:val="0"/>
                      <w:szCs w:val="21"/>
                      <w:lang w:val="en-US" w:eastAsia="zh-CN"/>
                    </w:rPr>
                  </w:pPr>
                  <w:r>
                    <w:rPr>
                      <w:rFonts w:ascii="宋体" w:hAnsi="宋体" w:cs="宋体" w:hint="eastAsia"/>
                      <w:kern w:val="0"/>
                      <w:szCs w:val="21"/>
                      <w:lang w:val="en-US" w:eastAsia="zh-CN"/>
                    </w:rPr>
                    <w:t>5</w:t>
                  </w:r>
                  <w:r>
                    <w:rPr>
                      <w:rFonts w:ascii="宋体" w:hAnsi="宋体" w:cs="宋体"/>
                      <w:kern w:val="0"/>
                      <w:szCs w:val="21"/>
                    </w:rPr>
                    <w:t>.</w:t>
                  </w:r>
                  <w:r>
                    <w:rPr>
                      <w:rFonts w:ascii="宋体" w:hAnsi="宋体" w:cs="宋体" w:hint="eastAsia"/>
                      <w:kern w:val="0"/>
                      <w:szCs w:val="21"/>
                    </w:rPr>
                    <w:t>未被列入失信被执行人、重大税收违法案件当事人名单、政府采购严重违法失信行为记录名单（由供应商在《政府采购投标及履约承诺函》中作出声明）</w:t>
                  </w:r>
                  <w:r>
                    <w:rPr>
                      <w:rFonts w:ascii="宋体" w:hAnsi="宋体" w:cs="宋体" w:hint="eastAsia"/>
                      <w:kern w:val="0"/>
                      <w:szCs w:val="21"/>
                      <w:lang w:val="en-US" w:eastAsia="zh-CN"/>
                    </w:rPr>
                    <w:t>；</w:t>
                  </w:r>
                </w:p>
                <w:p>
                  <w:pPr>
                    <w:spacing w:line="360" w:lineRule="auto"/>
                    <w:ind w:firstLine="420" w:firstLineChars="200"/>
                    <w:rPr>
                      <w:rFonts w:ascii="宋体" w:hAnsi="宋体" w:cs="宋体" w:hint="default"/>
                      <w:color w:val="FF0000"/>
                      <w:kern w:val="0"/>
                      <w:szCs w:val="21"/>
                      <w:lang w:val="en-US" w:eastAsia="zh-CN"/>
                    </w:rPr>
                  </w:pPr>
                  <w:r>
                    <w:rPr>
                      <w:rFonts w:ascii="宋体" w:hAnsi="宋体" w:cs="宋体" w:hint="eastAsia"/>
                      <w:color w:val="FF0000"/>
                      <w:kern w:val="0"/>
                      <w:szCs w:val="21"/>
                      <w:lang w:val="en-US" w:eastAsia="zh-CN"/>
                    </w:rPr>
                    <w:t>6.不存在《深圳市财政局政府采购供应商信用信息管理办法》（深财规〔2023〕3号）列明的严重违法失信行为</w:t>
                  </w:r>
                  <w:r>
                    <w:rPr>
                      <w:rFonts w:ascii="宋体" w:hAnsi="宋体" w:cs="宋体" w:hint="eastAsia"/>
                      <w:color w:val="FF0000"/>
                      <w:kern w:val="0"/>
                      <w:szCs w:val="21"/>
                    </w:rPr>
                    <w:t>（由供应商在《政府采购投标及履约承诺函》中作出声明）</w:t>
                  </w:r>
                  <w:r>
                    <w:rPr>
                      <w:rFonts w:ascii="宋体" w:hAnsi="宋体" w:cs="宋体" w:hint="eastAsia"/>
                      <w:color w:val="FF0000"/>
                      <w:kern w:val="0"/>
                      <w:szCs w:val="21"/>
                      <w:lang w:eastAsia="zh-CN"/>
                    </w:rPr>
                    <w:t>；</w:t>
                  </w:r>
                </w:p>
                <w:p>
                  <w:pPr>
                    <w:spacing w:line="360" w:lineRule="auto"/>
                    <w:ind w:firstLine="420" w:firstLineChars="200"/>
                    <w:rPr>
                      <w:rFonts w:ascii="宋体" w:hAnsi="宋体" w:cs="宋体" w:hint="eastAsia"/>
                      <w:kern w:val="0"/>
                      <w:szCs w:val="21"/>
                      <w:lang w:val="en-US" w:eastAsia="zh-CN"/>
                    </w:rPr>
                  </w:pPr>
                  <w:r>
                    <w:rPr>
                      <w:rFonts w:ascii="宋体" w:hAnsi="宋体" w:cs="宋体" w:hint="eastAsia"/>
                      <w:kern w:val="0"/>
                      <w:szCs w:val="21"/>
                      <w:lang w:val="en-US" w:eastAsia="zh-CN"/>
                    </w:rPr>
                    <w:t>7</w:t>
                  </w:r>
                  <w:r>
                    <w:rPr>
                      <w:rFonts w:ascii="宋体" w:hAnsi="宋体" w:cs="宋体" w:hint="eastAsia"/>
                      <w:kern w:val="0"/>
                      <w:szCs w:val="21"/>
                    </w:rPr>
                    <w:t>.为采购项目提供整体设计、规范编制或者项目管理、监理、检测等服务的供应商，不得再参加该采购项目的其他采购活动（由供应商在《政府采购投标及履约承诺函》中作出声明）</w:t>
                  </w:r>
                  <w:r>
                    <w:rPr>
                      <w:rFonts w:ascii="宋体" w:hAnsi="宋体" w:cs="宋体" w:hint="eastAsia"/>
                      <w:kern w:val="0"/>
                      <w:szCs w:val="21"/>
                      <w:lang w:val="en-US" w:eastAsia="zh-CN"/>
                    </w:rPr>
                    <w:t>；</w:t>
                  </w:r>
                </w:p>
                <w:p>
                  <w:pPr>
                    <w:pStyle w:val="NoSpacing"/>
                    <w:spacing w:line="360" w:lineRule="auto"/>
                    <w:ind w:firstLine="420" w:firstLineChars="200"/>
                    <w:rPr>
                      <w:rFonts w:hint="default"/>
                      <w:szCs w:val="21"/>
                      <w:lang w:val="en-US" w:eastAsia="zh-CN"/>
                    </w:rPr>
                  </w:pPr>
                  <w:r>
                    <w:rPr>
                      <w:rFonts w:ascii="宋体" w:eastAsia="宋体" w:hAnsi="宋体" w:cs="宋体" w:hint="eastAsia"/>
                      <w:color w:val="FF0000"/>
                      <w:kern w:val="0"/>
                      <w:sz w:val="21"/>
                      <w:szCs w:val="21"/>
                      <w:lang w:val="en-US" w:eastAsia="zh-CN" w:bidi="ar-SA"/>
                    </w:rPr>
                    <w:t>8.不同供应商的法定代表人、主要经营负责人、项目投标授权代表人、项目负责人、主要技术人员不得为同一人、属同一单位或者在同一单位缴纳社会保险；不同投标供应商的投标文件不得由同一单位或者同一人编制；单位负责人为同一人或者存在直接控股、管理关系的不同供应商，不得参加本项目政府采购活动（由供应商填写《供应商基本情况表》相关信息）</w:t>
                  </w:r>
                </w:p>
                <w:p>
                  <w:pPr>
                    <w:spacing w:line="360" w:lineRule="auto"/>
                    <w:ind w:firstLine="420" w:firstLineChars="200"/>
                    <w:rPr>
                      <w:rFonts w:ascii="宋体" w:hAnsi="宋体" w:cs="宋体" w:hint="eastAsia"/>
                      <w:kern w:val="0"/>
                      <w:szCs w:val="21"/>
                      <w:lang w:eastAsia="zh-CN"/>
                    </w:rPr>
                  </w:pPr>
                  <w:r>
                    <w:rPr>
                      <w:rFonts w:ascii="宋体" w:hAnsi="宋体" w:cs="宋体" w:hint="eastAsia"/>
                      <w:kern w:val="0"/>
                      <w:szCs w:val="21"/>
                      <w:lang w:val="en-US" w:eastAsia="zh-CN"/>
                    </w:rPr>
                    <w:t>9.</w:t>
                  </w:r>
                  <w:r>
                    <w:rPr>
                      <w:rFonts w:ascii="宋体" w:hAnsi="宋体" w:cs="宋体" w:hint="eastAsia"/>
                      <w:kern w:val="0"/>
                      <w:szCs w:val="21"/>
                    </w:rPr>
                    <w:t>本项目</w:t>
                  </w:r>
                  <w:r>
                    <w:rPr>
                      <w:rFonts w:ascii="宋体" w:hAnsi="宋体" w:cs="宋体" w:hint="eastAsia"/>
                      <w:kern w:val="0"/>
                      <w:szCs w:val="21"/>
                      <w:lang w:val="en-US" w:eastAsia="zh-CN"/>
                    </w:rPr>
                    <w:t>全部</w:t>
                  </w:r>
                  <w:r>
                    <w:rPr>
                      <w:rFonts w:ascii="宋体" w:hAnsi="宋体" w:cs="宋体" w:hint="eastAsia"/>
                      <w:kern w:val="0"/>
                      <w:szCs w:val="21"/>
                    </w:rPr>
                    <w:t>专门面向中小企业采购</w:t>
                  </w:r>
                  <w:r>
                    <w:rPr>
                      <w:rFonts w:ascii="宋体" w:hAnsi="宋体" w:cs="宋体" w:hint="eastAsia"/>
                      <w:kern w:val="0"/>
                      <w:szCs w:val="21"/>
                      <w:lang w:eastAsia="zh-CN"/>
                    </w:rPr>
                    <w:t>：</w:t>
                  </w:r>
                  <w:r>
                    <w:rPr>
                      <w:rFonts w:ascii="宋体" w:hAnsi="宋体" w:cs="宋体" w:hint="eastAsia"/>
                      <w:kern w:val="0"/>
                      <w:szCs w:val="21"/>
                    </w:rPr>
                    <w:t>否</w:t>
                  </w:r>
                  <w:r>
                    <w:rPr>
                      <w:rFonts w:ascii="宋体" w:hAnsi="宋体" w:cs="宋体" w:hint="eastAsia"/>
                      <w:kern w:val="0"/>
                      <w:szCs w:val="21"/>
                      <w:lang w:eastAsia="zh-CN"/>
                    </w:rPr>
                    <w:t>。</w:t>
                  </w:r>
                </w:p>
                <w:p>
                  <w:pPr>
                    <w:spacing w:line="360" w:lineRule="auto"/>
                    <w:ind w:firstLine="420" w:firstLineChars="200"/>
                    <w:rPr>
                      <w:rFonts w:ascii="宋体" w:hAnsi="宋体" w:cs="宋体" w:hint="eastAsia"/>
                      <w:kern w:val="0"/>
                      <w:sz w:val="21"/>
                      <w:szCs w:val="21"/>
                    </w:rPr>
                  </w:pPr>
                  <w:r>
                    <w:rPr>
                      <w:rFonts w:ascii="宋体" w:hAnsi="宋体" w:cs="宋体" w:hint="eastAsia"/>
                      <w:kern w:val="0"/>
                      <w:sz w:val="21"/>
                      <w:szCs w:val="21"/>
                      <w:lang w:val="en-US" w:eastAsia="zh-CN"/>
                    </w:rPr>
                    <w:t>10.</w:t>
                  </w:r>
                  <w:r>
                    <w:rPr>
                      <w:rFonts w:ascii="宋体" w:hAnsi="宋体" w:cs="宋体" w:hint="eastAsia"/>
                      <w:color w:val="FF0000"/>
                      <w:szCs w:val="21"/>
                    </w:rPr>
                    <w:t>本项目允许将化粪池清理、隔油设备维修、无害化清理、绝缘工具检测、消杀、绿化等六项业务分包。若投标人选择分包的，必须提供：与分包供应商签订的《分包意向协议》（内容、格式自拟）扫描件，且协议须明确各方承担的工作（业务）范围、合同金额比例等</w:t>
                  </w:r>
                  <w:r>
                    <w:rPr>
                      <w:rFonts w:ascii="宋体" w:hAnsi="宋体" w:cs="宋体" w:hint="eastAsia"/>
                      <w:kern w:val="0"/>
                      <w:sz w:val="21"/>
                      <w:szCs w:val="21"/>
                    </w:rPr>
                    <w:t xml:space="preserve">。 </w:t>
                  </w:r>
                </w:p>
                <w:p>
                  <w:pPr>
                    <w:spacing w:line="360" w:lineRule="auto"/>
                    <w:ind w:firstLine="420" w:firstLineChars="200"/>
                    <w:rPr>
                      <w:rFonts w:ascii="宋体" w:hAnsi="宋体" w:cs="宋体" w:hint="eastAsia"/>
                      <w:kern w:val="0"/>
                      <w:sz w:val="21"/>
                      <w:szCs w:val="21"/>
                    </w:rPr>
                  </w:pPr>
                  <w:r>
                    <w:rPr>
                      <w:rFonts w:ascii="宋体" w:hAnsi="宋体" w:cs="宋体" w:hint="eastAsia"/>
                      <w:kern w:val="0"/>
                      <w:sz w:val="21"/>
                      <w:szCs w:val="21"/>
                    </w:rPr>
                    <w:t xml:space="preserve">11.投标人须提供《保安服务许可证》（提供证书扫描件）或承诺签订合同之后按《保安服务管理条例》的要求到公安机关备案自行招用保安（提供承诺函，格式自拟）。 </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ascii="宋体" w:hAnsi="宋体" w:cs="宋体" w:hint="eastAsia"/>
                      <w:kern w:val="0"/>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ascii="宋体" w:hAnsi="宋体" w:cs="宋体" w:hint="eastAsia"/>
                      <w:kern w:val="0"/>
                      <w:szCs w:val="21"/>
                    </w:rPr>
                  </w:pPr>
                  <w:r>
                    <w:rPr>
                      <w:rFonts w:ascii="宋体" w:hAnsi="宋体" w:cs="宋体" w:hint="eastAsia"/>
                      <w:kern w:val="0"/>
                      <w:szCs w:val="21"/>
                    </w:rPr>
                    <w:t>注：（1）“信用中国”（www.creditchina.gov.cn</w:t>
                  </w:r>
                  <w:r>
                    <w:rPr>
                      <w:rFonts w:ascii="宋体" w:hAnsi="宋体" w:cs="宋体" w:hint="eastAsia"/>
                      <w:kern w:val="0"/>
                      <w:szCs w:val="21"/>
                      <w:lang w:eastAsia="zh-CN"/>
                    </w:rPr>
                    <w:t>，</w:t>
                  </w:r>
                  <w:r>
                    <w:rPr>
                      <w:rFonts w:ascii="宋体" w:hAnsi="宋体" w:cs="宋体" w:hint="eastAsia"/>
                      <w:kern w:val="0"/>
                      <w:szCs w:val="21"/>
                      <w:lang w:val="en-US" w:eastAsia="zh-CN"/>
                    </w:rPr>
                    <w:t>查询</w:t>
                  </w:r>
                  <w:r>
                    <w:rPr>
                      <w:rFonts w:ascii="宋体" w:hAnsi="宋体" w:cs="宋体" w:hint="eastAsia"/>
                      <w:kern w:val="0"/>
                      <w:szCs w:val="21"/>
                    </w:rPr>
                    <w:t>“信用服务”栏的“重大税收违法失信主体”“失信被执行人”</w:t>
                  </w:r>
                  <w:r>
                    <w:rPr>
                      <w:rFonts w:ascii="宋体" w:hAnsi="宋体" w:cs="宋体" w:hint="eastAsia"/>
                      <w:kern w:val="0"/>
                      <w:szCs w:val="21"/>
                      <w:lang w:val="en-US" w:eastAsia="zh-CN"/>
                    </w:rPr>
                    <w:t>或者下载信用信息报告）</w:t>
                  </w:r>
                  <w:r>
                    <w:rPr>
                      <w:rFonts w:ascii="宋体" w:hAnsi="宋体" w:cs="宋体" w:hint="eastAsia"/>
                      <w:kern w:val="0"/>
                      <w:szCs w:val="21"/>
                    </w:rPr>
                    <w:t>，“中国政府采购网”（www.ccgp.gov.cn）中的“政府采购严重违法失信行为记录名单”，以及“深圳市政府采购监管网”（http://zfcg.sz.gov.cn）为供应商信用信息的查询渠道，相关信息以开标当日的查询结果为准；</w:t>
                  </w:r>
                </w:p>
                <w:p>
                  <w:pPr>
                    <w:spacing w:line="360" w:lineRule="auto"/>
                    <w:ind w:firstLine="420" w:firstLineChars="200"/>
                    <w:rPr>
                      <w:rFonts w:ascii="宋体" w:hAnsi="宋体" w:cs="宋体" w:hint="eastAsia"/>
                      <w:kern w:val="0"/>
                      <w:szCs w:val="21"/>
                    </w:rPr>
                  </w:pPr>
                  <w:r>
                    <w:rPr>
                      <w:rFonts w:ascii="宋体" w:hAnsi="宋体" w:cs="宋体" w:hint="eastAsia"/>
                      <w:kern w:val="0"/>
                      <w:szCs w:val="21"/>
                    </w:rPr>
                    <w:t>（2）供应商投标（上传投标文件）必须先行办理注册手续，具体请按照本公告“六、其他补充事宜”相关内容指引办理。</w:t>
                  </w:r>
                </w:p>
                <w:p>
                  <w:pPr>
                    <w:spacing w:beforeAutospacing="1" w:afterAutospacing="1" w:line="360" w:lineRule="auto"/>
                    <w:ind w:firstLine="420" w:firstLineChars="200"/>
                    <w:rPr>
                      <w:rFonts w:ascii="宋体" w:hAnsi="宋体" w:cs="宋体"/>
                      <w:sz w:val="21"/>
                      <w:szCs w:val="21"/>
                    </w:rPr>
                  </w:pPr>
                  <w:r>
                    <w:rPr>
                      <w:rFonts w:hint="eastAsia"/>
                      <w:b/>
                      <w:sz w:val="21"/>
                      <w:szCs w:val="21"/>
                      <w:highlight w:val="none"/>
                    </w:rPr>
                    <w:t>完整公告内容详见：深圳公共资源交易网（</w:t>
                  </w:r>
                  <w:r>
                    <w:rPr>
                      <w:b/>
                      <w:sz w:val="21"/>
                      <w:szCs w:val="21"/>
                      <w:highlight w:val="none"/>
                    </w:rPr>
                    <w:t>https://www.szggzy.com</w:t>
                  </w:r>
                  <w:r>
                    <w:rPr>
                      <w:rFonts w:hint="eastAsia"/>
                      <w:b/>
                      <w:sz w:val="21"/>
                      <w:szCs w:val="21"/>
                      <w:highlight w:val="none"/>
                    </w:rPr>
                    <w:t>）</w:t>
                  </w:r>
                </w:p>
              </w:tc>
            </w:tr>
          </w:tbl>
          <w:p>
            <w:pPr>
              <w:rPr>
                <w:rFonts w:ascii="宋体" w:hAnsi="宋体" w:cs="宋体"/>
                <w:sz w:val="24"/>
              </w:rPr>
            </w:pPr>
          </w:p>
        </w:tc>
      </w:tr>
    </w:tbl>
    <w:p>
      <w:r>
        <w:rPr>
          <w:rFonts w:hint="eastAsia"/>
        </w:rPr>
        <w:br w:type="page"/>
      </w:r>
    </w:p>
    <w:p>
      <w:pPr>
        <w:pStyle w:val="Heading2"/>
        <w:numPr>
          <w:ilvl w:val="0"/>
          <w:numId w:val="8"/>
        </w:numPr>
        <w:rPr>
          <w:rFonts w:hint="eastAsia"/>
          <w:b/>
          <w:bCs/>
          <w:sz w:val="28"/>
          <w:szCs w:val="28"/>
        </w:rPr>
      </w:pPr>
      <w:r>
        <w:rPr>
          <w:rFonts w:hint="eastAsia"/>
          <w:b/>
          <w:bCs/>
          <w:sz w:val="28"/>
          <w:szCs w:val="28"/>
        </w:rPr>
        <w:t>对通用条款的补充内容及其他关键信息</w:t>
      </w:r>
    </w:p>
    <w:p>
      <w:pPr>
        <w:numPr>
          <w:ilvl w:val="255"/>
          <w:numId w:val="0"/>
        </w:numPr>
        <w:rPr>
          <w:b/>
          <w:bCs/>
        </w:rPr>
      </w:pPr>
    </w:p>
    <w:p>
      <w:pPr>
        <w:pStyle w:val="Heading2"/>
        <w:spacing w:before="120" w:beforeLines="50" w:after="120" w:afterLines="50"/>
        <w:rPr>
          <w:b/>
          <w:bCs/>
          <w:sz w:val="28"/>
          <w:szCs w:val="28"/>
        </w:rPr>
      </w:pPr>
      <w:bookmarkStart w:id="20" w:name="_Toc60560625"/>
      <w:bookmarkStart w:id="21" w:name="_Toc73521547"/>
      <w:bookmarkStart w:id="22" w:name="_Toc101074876"/>
      <w:bookmarkStart w:id="23" w:name="_Toc73517639"/>
      <w:bookmarkStart w:id="24" w:name="_Toc60631620"/>
      <w:bookmarkStart w:id="25" w:name="_Toc73518117"/>
      <w:bookmarkStart w:id="26" w:name="_Toc73521635"/>
      <w:bookmarkStart w:id="27" w:name="_Toc100052364"/>
      <w:r>
        <w:rPr>
          <w:rFonts w:hint="eastAsia"/>
          <w:b/>
          <w:bCs/>
          <w:szCs w:val="24"/>
        </w:rPr>
        <w:t>一、对通用条款的补充内容</w:t>
      </w:r>
    </w:p>
    <w:tbl>
      <w:tblPr>
        <w:tblStyle w:val="TableNormal"/>
        <w:tblW w:w="836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0" w:type="dxa"/>
          <w:left w:w="108" w:type="dxa"/>
          <w:bottom w:w="0" w:type="dxa"/>
          <w:right w:w="108" w:type="dxa"/>
        </w:tblCellMar>
      </w:tblPr>
      <w:tblGrid>
        <w:gridCol w:w="978"/>
        <w:gridCol w:w="2409"/>
        <w:gridCol w:w="4980"/>
      </w:tblGrid>
      <w:tr>
        <w:tblPrEx>
          <w:tblW w:w="836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b/>
                <w:bCs/>
                <w:szCs w:val="21"/>
              </w:rPr>
            </w:pPr>
            <w:bookmarkEnd w:id="20"/>
            <w:bookmarkEnd w:id="21"/>
            <w:bookmarkEnd w:id="22"/>
            <w:bookmarkEnd w:id="23"/>
            <w:bookmarkEnd w:id="24"/>
            <w:bookmarkEnd w:id="25"/>
            <w:bookmarkEnd w:id="26"/>
            <w:bookmarkEnd w:id="27"/>
            <w:r>
              <w:rPr>
                <w:rFonts w:ascii="宋体" w:hAnsi="宋体" w:hint="eastAsia"/>
                <w:b/>
                <w:bCs/>
                <w:szCs w:val="21"/>
              </w:rPr>
              <w:t>通用条款序号</w:t>
            </w:r>
          </w:p>
        </w:tc>
        <w:tc>
          <w:tcPr>
            <w:tcW w:w="2409" w:type="dxa"/>
            <w:vAlign w:val="center"/>
          </w:tcPr>
          <w:p>
            <w:pPr>
              <w:spacing w:line="360" w:lineRule="auto"/>
              <w:jc w:val="center"/>
              <w:rPr>
                <w:rFonts w:ascii="宋体" w:hAnsi="宋体"/>
                <w:b/>
                <w:bCs/>
                <w:szCs w:val="21"/>
              </w:rPr>
            </w:pPr>
            <w:r>
              <w:rPr>
                <w:rFonts w:ascii="宋体" w:hAnsi="宋体" w:hint="eastAsia"/>
                <w:b/>
                <w:bCs/>
                <w:szCs w:val="21"/>
              </w:rPr>
              <w:t>涉及事项</w:t>
            </w:r>
          </w:p>
        </w:tc>
        <w:tc>
          <w:tcPr>
            <w:tcW w:w="4980" w:type="dxa"/>
            <w:vAlign w:val="center"/>
          </w:tcPr>
          <w:p>
            <w:pPr>
              <w:spacing w:line="360" w:lineRule="auto"/>
              <w:jc w:val="center"/>
              <w:rPr>
                <w:rFonts w:ascii="宋体" w:hAnsi="宋体"/>
                <w:b/>
                <w:bCs/>
                <w:szCs w:val="21"/>
              </w:rPr>
            </w:pPr>
            <w:r>
              <w:rPr>
                <w:rFonts w:ascii="宋体" w:hAnsi="宋体" w:hint="eastAsia"/>
                <w:b/>
                <w:bCs/>
                <w:szCs w:val="21"/>
              </w:rPr>
              <w:t xml:space="preserve">具 </w:t>
            </w:r>
            <w:r>
              <w:rPr>
                <w:rFonts w:ascii="宋体" w:hAnsi="宋体"/>
                <w:b/>
                <w:bCs/>
                <w:szCs w:val="21"/>
              </w:rPr>
              <w:t xml:space="preserve"> </w:t>
            </w:r>
            <w:r>
              <w:rPr>
                <w:rFonts w:ascii="宋体" w:hAnsi="宋体" w:hint="eastAsia"/>
                <w:b/>
                <w:bCs/>
                <w:szCs w:val="21"/>
              </w:rPr>
              <w:t xml:space="preserve">体 </w:t>
            </w:r>
            <w:r>
              <w:rPr>
                <w:rFonts w:ascii="宋体" w:hAnsi="宋体"/>
                <w:b/>
                <w:bCs/>
                <w:szCs w:val="21"/>
              </w:rPr>
              <w:t xml:space="preserve"> </w:t>
            </w:r>
            <w:r>
              <w:rPr>
                <w:rFonts w:ascii="宋体" w:hAnsi="宋体" w:hint="eastAsia"/>
                <w:b/>
                <w:bCs/>
                <w:szCs w:val="21"/>
              </w:rPr>
              <w:t xml:space="preserve">补 </w:t>
            </w:r>
            <w:r>
              <w:rPr>
                <w:rFonts w:ascii="宋体" w:hAnsi="宋体"/>
                <w:b/>
                <w:bCs/>
                <w:szCs w:val="21"/>
              </w:rPr>
              <w:t xml:space="preserve"> </w:t>
            </w:r>
            <w:r>
              <w:rPr>
                <w:rFonts w:ascii="宋体" w:hAnsi="宋体" w:hint="eastAsia"/>
                <w:b/>
                <w:bCs/>
                <w:szCs w:val="21"/>
              </w:rPr>
              <w:t xml:space="preserve">充 </w:t>
            </w:r>
            <w:r>
              <w:rPr>
                <w:rFonts w:ascii="宋体" w:hAnsi="宋体"/>
                <w:b/>
                <w:bCs/>
                <w:szCs w:val="21"/>
              </w:rPr>
              <w:t xml:space="preserve"> </w:t>
            </w:r>
            <w:r>
              <w:rPr>
                <w:rFonts w:ascii="宋体" w:hAnsi="宋体" w:hint="eastAsia"/>
                <w:b/>
                <w:bCs/>
                <w:szCs w:val="21"/>
              </w:rPr>
              <w:t xml:space="preserve">内 </w:t>
            </w:r>
            <w:r>
              <w:rPr>
                <w:rFonts w:ascii="宋体" w:hAnsi="宋体"/>
                <w:b/>
                <w:bCs/>
                <w:szCs w:val="21"/>
              </w:rPr>
              <w:t xml:space="preserve"> </w:t>
            </w:r>
            <w:r>
              <w:rPr>
                <w:rFonts w:ascii="宋体" w:hAnsi="宋体" w:hint="eastAsia"/>
                <w:b/>
                <w:bCs/>
                <w:szCs w:val="21"/>
              </w:rPr>
              <w:t>容</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3</w:t>
            </w:r>
            <w:r>
              <w:rPr>
                <w:rFonts w:ascii="宋体" w:hAnsi="宋体"/>
                <w:szCs w:val="21"/>
              </w:rPr>
              <w:t>.1</w:t>
            </w:r>
          </w:p>
        </w:tc>
        <w:tc>
          <w:tcPr>
            <w:tcW w:w="2409" w:type="dxa"/>
            <w:vAlign w:val="center"/>
          </w:tcPr>
          <w:p>
            <w:pPr>
              <w:spacing w:line="360" w:lineRule="auto"/>
              <w:jc w:val="center"/>
              <w:rPr>
                <w:szCs w:val="21"/>
              </w:rPr>
            </w:pPr>
            <w:r>
              <w:rPr>
                <w:rFonts w:hint="eastAsia"/>
                <w:szCs w:val="21"/>
              </w:rPr>
              <w:t>采购人</w:t>
            </w:r>
          </w:p>
        </w:tc>
        <w:tc>
          <w:tcPr>
            <w:tcW w:w="4980" w:type="dxa"/>
            <w:vAlign w:val="center"/>
          </w:tcPr>
          <w:p>
            <w:pPr>
              <w:spacing w:line="360" w:lineRule="auto"/>
              <w:jc w:val="center"/>
              <w:rPr>
                <w:rFonts w:ascii="宋体" w:hAnsi="宋体"/>
                <w:szCs w:val="21"/>
              </w:rPr>
            </w:pPr>
            <w:r>
              <w:rPr>
                <w:rFonts w:ascii="宋体" w:hAnsi="宋体" w:hint="eastAsia"/>
                <w:szCs w:val="21"/>
              </w:rPr>
              <w:t>深圳市龙岗区人民医院</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3</w:t>
            </w:r>
            <w:r>
              <w:rPr>
                <w:rFonts w:ascii="宋体" w:hAnsi="宋体"/>
                <w:szCs w:val="21"/>
              </w:rPr>
              <w:t>.2</w:t>
            </w:r>
          </w:p>
        </w:tc>
        <w:tc>
          <w:tcPr>
            <w:tcW w:w="2409" w:type="dxa"/>
            <w:vAlign w:val="center"/>
          </w:tcPr>
          <w:p>
            <w:pPr>
              <w:spacing w:line="360" w:lineRule="auto"/>
              <w:jc w:val="center"/>
              <w:rPr>
                <w:rFonts w:ascii="宋体" w:hAnsi="宋体"/>
                <w:szCs w:val="21"/>
              </w:rPr>
            </w:pPr>
            <w:r>
              <w:rPr>
                <w:rFonts w:ascii="宋体" w:hAnsi="宋体" w:hint="eastAsia"/>
                <w:szCs w:val="21"/>
              </w:rPr>
              <w:t>政府集中采购机构</w:t>
            </w:r>
          </w:p>
        </w:tc>
        <w:tc>
          <w:tcPr>
            <w:tcW w:w="4980" w:type="dxa"/>
            <w:vAlign w:val="center"/>
          </w:tcPr>
          <w:p>
            <w:pPr>
              <w:spacing w:line="360" w:lineRule="auto"/>
              <w:jc w:val="center"/>
              <w:rPr>
                <w:rFonts w:ascii="宋体" w:hAnsi="宋体"/>
                <w:szCs w:val="21"/>
              </w:rPr>
            </w:pPr>
            <w:r>
              <w:rPr>
                <w:rFonts w:ascii="宋体" w:hAnsi="宋体" w:hint="eastAsia"/>
                <w:szCs w:val="21"/>
              </w:rPr>
              <w:t>深圳公共资源交易中心（深圳交易集团有限公司</w:t>
            </w:r>
            <w:r>
              <w:rPr>
                <w:rFonts w:ascii="宋体" w:hAnsi="宋体" w:cs="宋体" w:hint="eastAsia"/>
                <w:kern w:val="0"/>
                <w:szCs w:val="21"/>
              </w:rPr>
              <w:t>龙岗</w:t>
            </w:r>
            <w:r>
              <w:rPr>
                <w:rFonts w:ascii="宋体" w:hAnsi="宋体" w:hint="eastAsia"/>
                <w:szCs w:val="21"/>
              </w:rPr>
              <w:t>分公司）</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9</w:t>
            </w:r>
          </w:p>
        </w:tc>
        <w:tc>
          <w:tcPr>
            <w:tcW w:w="2409" w:type="dxa"/>
            <w:vAlign w:val="center"/>
          </w:tcPr>
          <w:p>
            <w:pPr>
              <w:spacing w:line="360" w:lineRule="auto"/>
              <w:jc w:val="center"/>
              <w:rPr>
                <w:rFonts w:ascii="宋体" w:hAnsi="宋体"/>
                <w:szCs w:val="21"/>
              </w:rPr>
            </w:pPr>
            <w:r>
              <w:rPr>
                <w:rFonts w:ascii="宋体" w:hAnsi="宋体" w:hint="eastAsia"/>
                <w:szCs w:val="21"/>
              </w:rPr>
              <w:t>踏勘现场</w:t>
            </w:r>
          </w:p>
        </w:tc>
        <w:tc>
          <w:tcPr>
            <w:tcW w:w="4980" w:type="dxa"/>
            <w:vAlign w:val="center"/>
          </w:tcPr>
          <w:p>
            <w:pPr>
              <w:spacing w:line="360" w:lineRule="auto"/>
              <w:jc w:val="center"/>
              <w:rPr>
                <w:rFonts w:ascii="宋体" w:hAnsi="宋体"/>
                <w:szCs w:val="21"/>
              </w:rPr>
            </w:pPr>
            <w:r>
              <w:rPr>
                <w:rFonts w:ascii="宋体" w:hAnsi="宋体" w:hint="eastAsia"/>
                <w:szCs w:val="21"/>
              </w:rPr>
              <w:t>不组织</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1</w:t>
            </w:r>
            <w:r>
              <w:rPr>
                <w:rFonts w:ascii="宋体" w:hAnsi="宋体"/>
                <w:szCs w:val="21"/>
              </w:rPr>
              <w:t>0</w:t>
            </w:r>
          </w:p>
        </w:tc>
        <w:tc>
          <w:tcPr>
            <w:tcW w:w="2409" w:type="dxa"/>
            <w:vAlign w:val="center"/>
          </w:tcPr>
          <w:p>
            <w:pPr>
              <w:spacing w:line="360" w:lineRule="auto"/>
              <w:jc w:val="center"/>
              <w:rPr>
                <w:rFonts w:ascii="宋体" w:hAnsi="宋体"/>
                <w:szCs w:val="21"/>
              </w:rPr>
            </w:pPr>
            <w:r>
              <w:rPr>
                <w:rFonts w:ascii="宋体" w:hAnsi="宋体" w:hint="eastAsia"/>
                <w:szCs w:val="21"/>
              </w:rPr>
              <w:t>标前会议</w:t>
            </w:r>
          </w:p>
        </w:tc>
        <w:tc>
          <w:tcPr>
            <w:tcW w:w="4980" w:type="dxa"/>
            <w:vAlign w:val="center"/>
          </w:tcPr>
          <w:p>
            <w:pPr>
              <w:spacing w:line="360" w:lineRule="auto"/>
              <w:jc w:val="center"/>
              <w:rPr>
                <w:rFonts w:ascii="宋体" w:hAnsi="宋体"/>
                <w:szCs w:val="21"/>
              </w:rPr>
            </w:pPr>
            <w:r>
              <w:rPr>
                <w:rFonts w:ascii="宋体" w:hAnsi="宋体" w:hint="eastAsia"/>
                <w:szCs w:val="21"/>
              </w:rPr>
              <w:t>不组织</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1</w:t>
            </w:r>
            <w:r>
              <w:rPr>
                <w:rFonts w:ascii="宋体" w:hAnsi="宋体"/>
                <w:szCs w:val="21"/>
              </w:rPr>
              <w:t>2</w:t>
            </w:r>
            <w:r>
              <w:rPr>
                <w:rFonts w:ascii="宋体" w:hAnsi="宋体" w:hint="eastAsia"/>
                <w:szCs w:val="21"/>
              </w:rPr>
              <w:t>/1</w:t>
            </w:r>
            <w:r>
              <w:rPr>
                <w:rFonts w:ascii="宋体" w:hAnsi="宋体"/>
                <w:szCs w:val="21"/>
              </w:rPr>
              <w:t>3</w:t>
            </w:r>
          </w:p>
        </w:tc>
        <w:tc>
          <w:tcPr>
            <w:tcW w:w="2409" w:type="dxa"/>
            <w:vAlign w:val="center"/>
          </w:tcPr>
          <w:p>
            <w:pPr>
              <w:spacing w:line="360" w:lineRule="auto"/>
              <w:jc w:val="center"/>
              <w:rPr>
                <w:rFonts w:ascii="宋体" w:hAnsi="宋体"/>
                <w:szCs w:val="21"/>
              </w:rPr>
            </w:pPr>
            <w:r>
              <w:rPr>
                <w:rFonts w:ascii="宋体" w:hAnsi="宋体" w:hint="eastAsia"/>
                <w:szCs w:val="21"/>
              </w:rPr>
              <w:t>招标文件的澄清和修改</w:t>
            </w:r>
          </w:p>
        </w:tc>
        <w:tc>
          <w:tcPr>
            <w:tcW w:w="4980" w:type="dxa"/>
            <w:vAlign w:val="center"/>
          </w:tcPr>
          <w:p>
            <w:pPr>
              <w:spacing w:line="360" w:lineRule="auto"/>
              <w:jc w:val="center"/>
              <w:rPr>
                <w:rFonts w:ascii="宋体" w:hAnsi="宋体"/>
                <w:szCs w:val="21"/>
              </w:rPr>
            </w:pPr>
            <w:r>
              <w:rPr>
                <w:rFonts w:ascii="宋体" w:hAnsi="宋体" w:hint="eastAsia"/>
                <w:szCs w:val="21"/>
              </w:rPr>
              <w:t>不晚于投标截止日三日前，投标人有义务在招标期间在政府集中采购机构网站浏览与本项目有关的澄清和修改信息</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2</w:t>
            </w:r>
            <w:r>
              <w:rPr>
                <w:rFonts w:ascii="宋体" w:hAnsi="宋体"/>
                <w:szCs w:val="21"/>
              </w:rPr>
              <w:t>0</w:t>
            </w:r>
          </w:p>
        </w:tc>
        <w:tc>
          <w:tcPr>
            <w:tcW w:w="2409" w:type="dxa"/>
            <w:vAlign w:val="center"/>
          </w:tcPr>
          <w:p>
            <w:pPr>
              <w:spacing w:line="360" w:lineRule="auto"/>
              <w:jc w:val="center"/>
              <w:rPr>
                <w:rFonts w:ascii="宋体" w:hAnsi="宋体"/>
                <w:szCs w:val="21"/>
              </w:rPr>
            </w:pPr>
            <w:r>
              <w:rPr>
                <w:rFonts w:ascii="宋体" w:hAnsi="宋体" w:hint="eastAsia"/>
                <w:szCs w:val="21"/>
              </w:rPr>
              <w:t>投标有效期</w:t>
            </w:r>
          </w:p>
        </w:tc>
        <w:tc>
          <w:tcPr>
            <w:tcW w:w="4980" w:type="dxa"/>
            <w:vAlign w:val="center"/>
          </w:tcPr>
          <w:p>
            <w:pPr>
              <w:spacing w:line="360" w:lineRule="auto"/>
              <w:jc w:val="center"/>
              <w:rPr>
                <w:rFonts w:ascii="宋体" w:hAnsi="宋体"/>
                <w:szCs w:val="21"/>
              </w:rPr>
            </w:pPr>
            <w:r>
              <w:rPr>
                <w:rFonts w:ascii="宋体" w:hAnsi="宋体" w:hint="eastAsia"/>
                <w:szCs w:val="21"/>
              </w:rPr>
              <w:t>120个日历日</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2</w:t>
            </w:r>
            <w:r>
              <w:rPr>
                <w:rFonts w:ascii="宋体" w:hAnsi="宋体"/>
                <w:szCs w:val="21"/>
              </w:rPr>
              <w:t>2</w:t>
            </w:r>
          </w:p>
        </w:tc>
        <w:tc>
          <w:tcPr>
            <w:tcW w:w="2409" w:type="dxa"/>
            <w:vAlign w:val="center"/>
          </w:tcPr>
          <w:p>
            <w:pPr>
              <w:spacing w:line="360" w:lineRule="auto"/>
              <w:jc w:val="center"/>
              <w:rPr>
                <w:rFonts w:ascii="宋体" w:hAnsi="宋体"/>
                <w:szCs w:val="21"/>
              </w:rPr>
            </w:pPr>
            <w:r>
              <w:rPr>
                <w:rFonts w:ascii="宋体" w:hAnsi="宋体" w:hint="eastAsia"/>
                <w:szCs w:val="21"/>
              </w:rPr>
              <w:t>投标人的替代方案</w:t>
            </w:r>
          </w:p>
        </w:tc>
        <w:tc>
          <w:tcPr>
            <w:tcW w:w="4980" w:type="dxa"/>
            <w:vAlign w:val="center"/>
          </w:tcPr>
          <w:p>
            <w:pPr>
              <w:spacing w:line="360" w:lineRule="auto"/>
              <w:jc w:val="center"/>
              <w:rPr>
                <w:rFonts w:ascii="宋体" w:hAnsi="宋体"/>
                <w:szCs w:val="21"/>
              </w:rPr>
            </w:pPr>
            <w:r>
              <w:rPr>
                <w:rFonts w:ascii="宋体" w:hAnsi="宋体" w:hint="eastAsia"/>
                <w:szCs w:val="21"/>
              </w:rPr>
              <w:t>不接受</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2</w:t>
            </w:r>
            <w:r>
              <w:rPr>
                <w:rFonts w:ascii="宋体" w:hAnsi="宋体"/>
                <w:szCs w:val="21"/>
              </w:rPr>
              <w:t>5</w:t>
            </w:r>
          </w:p>
        </w:tc>
        <w:tc>
          <w:tcPr>
            <w:tcW w:w="2409" w:type="dxa"/>
            <w:vAlign w:val="center"/>
          </w:tcPr>
          <w:p>
            <w:pPr>
              <w:spacing w:line="360" w:lineRule="auto"/>
              <w:jc w:val="center"/>
              <w:rPr>
                <w:rFonts w:ascii="宋体" w:hAnsi="宋体"/>
                <w:szCs w:val="21"/>
              </w:rPr>
            </w:pPr>
            <w:r>
              <w:rPr>
                <w:rFonts w:ascii="宋体" w:hAnsi="宋体" w:hint="eastAsia"/>
                <w:szCs w:val="21"/>
              </w:rPr>
              <w:t>投标文件的大小</w:t>
            </w:r>
          </w:p>
        </w:tc>
        <w:tc>
          <w:tcPr>
            <w:tcW w:w="4980" w:type="dxa"/>
            <w:vAlign w:val="center"/>
          </w:tcPr>
          <w:p>
            <w:pPr>
              <w:spacing w:line="360" w:lineRule="auto"/>
              <w:jc w:val="center"/>
              <w:rPr>
                <w:rFonts w:ascii="宋体" w:hAnsi="宋体"/>
                <w:szCs w:val="21"/>
              </w:rPr>
            </w:pPr>
            <w:r>
              <w:rPr>
                <w:rFonts w:ascii="宋体" w:hAnsi="宋体" w:hint="eastAsia"/>
                <w:szCs w:val="21"/>
              </w:rPr>
              <w:t>投标文件大小不得超过100MB</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2</w:t>
            </w:r>
            <w:r>
              <w:rPr>
                <w:rFonts w:ascii="宋体" w:hAnsi="宋体"/>
                <w:szCs w:val="21"/>
              </w:rPr>
              <w:t>6</w:t>
            </w:r>
          </w:p>
        </w:tc>
        <w:tc>
          <w:tcPr>
            <w:tcW w:w="2409" w:type="dxa"/>
            <w:vAlign w:val="center"/>
          </w:tcPr>
          <w:p>
            <w:pPr>
              <w:spacing w:line="360" w:lineRule="auto"/>
              <w:jc w:val="center"/>
              <w:rPr>
                <w:rFonts w:ascii="宋体" w:hAnsi="宋体"/>
                <w:szCs w:val="21"/>
              </w:rPr>
            </w:pPr>
            <w:bookmarkStart w:id="28" w:name="_Hlk71664860"/>
            <w:r>
              <w:rPr>
                <w:rFonts w:ascii="宋体" w:hAnsi="宋体" w:hint="eastAsia"/>
                <w:szCs w:val="21"/>
              </w:rPr>
              <w:t>样品、现场演示、方案讲解</w:t>
            </w:r>
            <w:bookmarkEnd w:id="28"/>
          </w:p>
        </w:tc>
        <w:tc>
          <w:tcPr>
            <w:tcW w:w="4980" w:type="dxa"/>
            <w:vAlign w:val="center"/>
          </w:tcPr>
          <w:p>
            <w:pPr>
              <w:spacing w:line="360" w:lineRule="auto"/>
              <w:jc w:val="center"/>
              <w:rPr>
                <w:rFonts w:ascii="宋体" w:hAnsi="宋体"/>
                <w:szCs w:val="21"/>
              </w:rPr>
            </w:pPr>
            <w:r>
              <w:rPr>
                <w:rFonts w:ascii="宋体" w:hAnsi="宋体" w:hint="eastAsia"/>
                <w:szCs w:val="21"/>
              </w:rPr>
              <w:t>无</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3</w:t>
            </w:r>
            <w:r>
              <w:rPr>
                <w:rFonts w:ascii="宋体" w:hAnsi="宋体"/>
                <w:szCs w:val="21"/>
              </w:rPr>
              <w:t>7</w:t>
            </w:r>
          </w:p>
        </w:tc>
        <w:tc>
          <w:tcPr>
            <w:tcW w:w="2409" w:type="dxa"/>
            <w:vAlign w:val="center"/>
          </w:tcPr>
          <w:p>
            <w:pPr>
              <w:spacing w:line="360" w:lineRule="auto"/>
              <w:jc w:val="center"/>
              <w:rPr>
                <w:rFonts w:ascii="宋体" w:hAnsi="宋体"/>
                <w:szCs w:val="21"/>
              </w:rPr>
            </w:pPr>
            <w:r>
              <w:rPr>
                <w:rFonts w:ascii="宋体" w:hAnsi="宋体" w:hint="eastAsia"/>
                <w:szCs w:val="21"/>
              </w:rPr>
              <w:t>评审方法</w:t>
            </w:r>
          </w:p>
        </w:tc>
        <w:tc>
          <w:tcPr>
            <w:tcW w:w="4980" w:type="dxa"/>
            <w:vAlign w:val="center"/>
          </w:tcPr>
          <w:p>
            <w:pPr>
              <w:spacing w:line="360" w:lineRule="auto"/>
              <w:jc w:val="center"/>
              <w:rPr>
                <w:rFonts w:ascii="宋体" w:hAnsi="宋体"/>
                <w:szCs w:val="21"/>
              </w:rPr>
            </w:pPr>
            <w:r>
              <w:rPr>
                <w:rFonts w:ascii="宋体" w:hAnsi="宋体" w:hint="eastAsia"/>
                <w:szCs w:val="21"/>
              </w:rPr>
              <w:t>综合评分法</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3</w:t>
            </w:r>
            <w:r>
              <w:rPr>
                <w:rFonts w:ascii="宋体" w:hAnsi="宋体"/>
                <w:szCs w:val="21"/>
              </w:rPr>
              <w:t>8</w:t>
            </w:r>
          </w:p>
        </w:tc>
        <w:tc>
          <w:tcPr>
            <w:tcW w:w="2409" w:type="dxa"/>
            <w:vAlign w:val="center"/>
          </w:tcPr>
          <w:p>
            <w:pPr>
              <w:spacing w:line="360" w:lineRule="auto"/>
              <w:jc w:val="center"/>
              <w:rPr>
                <w:rFonts w:ascii="宋体" w:hAnsi="宋体"/>
                <w:szCs w:val="21"/>
              </w:rPr>
            </w:pPr>
            <w:r>
              <w:rPr>
                <w:rFonts w:ascii="宋体" w:hAnsi="宋体" w:hint="eastAsia"/>
                <w:szCs w:val="21"/>
              </w:rPr>
              <w:t>定标方法</w:t>
            </w:r>
          </w:p>
        </w:tc>
        <w:tc>
          <w:tcPr>
            <w:tcW w:w="4980" w:type="dxa"/>
            <w:vAlign w:val="center"/>
          </w:tcPr>
          <w:p>
            <w:pPr>
              <w:spacing w:line="360" w:lineRule="auto"/>
              <w:jc w:val="center"/>
              <w:rPr>
                <w:rFonts w:ascii="宋体" w:hAnsi="宋体"/>
                <w:szCs w:val="21"/>
              </w:rPr>
            </w:pPr>
            <w:r>
              <w:rPr>
                <w:rFonts w:ascii="宋体" w:hAnsi="宋体" w:hint="eastAsia"/>
                <w:szCs w:val="21"/>
              </w:rPr>
              <w:t>评定分离</w:t>
            </w:r>
          </w:p>
        </w:tc>
      </w:tr>
      <w:tr>
        <w:tblPrEx>
          <w:tblW w:w="8367" w:type="dxa"/>
          <w:jc w:val="center"/>
          <w:tblLayout w:type="fixed"/>
          <w:tblCellMar>
            <w:top w:w="0" w:type="dxa"/>
            <w:left w:w="108" w:type="dxa"/>
            <w:bottom w:w="0" w:type="dxa"/>
            <w:right w:w="108" w:type="dxa"/>
          </w:tblCellMar>
        </w:tblPrEx>
        <w:trPr>
          <w:cantSplit/>
          <w:trHeight w:val="20"/>
          <w:jc w:val="center"/>
        </w:trPr>
        <w:tc>
          <w:tcPr>
            <w:tcW w:w="978" w:type="dxa"/>
            <w:vAlign w:val="center"/>
          </w:tcPr>
          <w:p>
            <w:pPr>
              <w:spacing w:line="360" w:lineRule="auto"/>
              <w:jc w:val="center"/>
              <w:rPr>
                <w:rFonts w:ascii="宋体" w:hAnsi="宋体"/>
                <w:szCs w:val="21"/>
              </w:rPr>
            </w:pPr>
            <w:r>
              <w:rPr>
                <w:rFonts w:ascii="宋体" w:hAnsi="宋体" w:hint="eastAsia"/>
                <w:szCs w:val="21"/>
              </w:rPr>
              <w:t>4</w:t>
            </w:r>
            <w:r>
              <w:rPr>
                <w:rFonts w:ascii="宋体" w:hAnsi="宋体"/>
                <w:szCs w:val="21"/>
              </w:rPr>
              <w:t>6</w:t>
            </w:r>
          </w:p>
        </w:tc>
        <w:tc>
          <w:tcPr>
            <w:tcW w:w="2409" w:type="dxa"/>
            <w:vAlign w:val="center"/>
          </w:tcPr>
          <w:p>
            <w:pPr>
              <w:spacing w:line="360" w:lineRule="auto"/>
              <w:jc w:val="center"/>
              <w:rPr>
                <w:rFonts w:ascii="宋体" w:hAnsi="宋体"/>
                <w:szCs w:val="21"/>
              </w:rPr>
            </w:pPr>
            <w:r>
              <w:rPr>
                <w:rFonts w:ascii="宋体" w:hAnsi="宋体" w:hint="eastAsia"/>
                <w:szCs w:val="21"/>
              </w:rPr>
              <w:t>履约担保</w:t>
            </w:r>
          </w:p>
        </w:tc>
        <w:tc>
          <w:tcPr>
            <w:tcW w:w="4980" w:type="dxa"/>
            <w:vAlign w:val="center"/>
          </w:tcPr>
          <w:p>
            <w:pPr>
              <w:spacing w:line="360" w:lineRule="auto"/>
              <w:jc w:val="center"/>
              <w:rPr>
                <w:rFonts w:ascii="宋体" w:hAnsi="宋体"/>
                <w:szCs w:val="21"/>
              </w:rPr>
            </w:pPr>
            <w:r>
              <w:rPr>
                <w:rFonts w:ascii="宋体" w:hAnsi="宋体" w:hint="eastAsia"/>
                <w:szCs w:val="21"/>
              </w:rPr>
              <w:t>不需要</w:t>
            </w:r>
          </w:p>
        </w:tc>
      </w:tr>
    </w:tbl>
    <w:p>
      <w:pPr>
        <w:spacing w:line="360" w:lineRule="auto"/>
        <w:rPr>
          <w:b/>
        </w:rPr>
      </w:pPr>
      <w:r>
        <w:rPr>
          <w:rFonts w:hint="eastAsia"/>
          <w:szCs w:val="21"/>
        </w:rPr>
        <w:t>备注：本表是通用条款相关条款的补充和明确，如与通用条款内容相冲突的，以本表为准。</w:t>
      </w:r>
    </w:p>
    <w:p>
      <w:pPr>
        <w:rPr>
          <w:rFonts w:hint="eastAsia"/>
          <w:b/>
          <w:bCs/>
          <w:kern w:val="0"/>
          <w:sz w:val="24"/>
        </w:rPr>
      </w:pPr>
    </w:p>
    <w:p>
      <w:pPr>
        <w:pStyle w:val="Heading2"/>
        <w:spacing w:before="120" w:beforeLines="50" w:after="120" w:afterLines="50" w:line="360" w:lineRule="auto"/>
        <w:rPr>
          <w:rFonts w:hint="eastAsia"/>
          <w:b/>
          <w:bCs/>
          <w:sz w:val="21"/>
          <w:szCs w:val="21"/>
        </w:rPr>
      </w:pPr>
      <w:r>
        <w:rPr>
          <w:rFonts w:hint="eastAsia"/>
          <w:b/>
          <w:bCs/>
          <w:sz w:val="21"/>
          <w:szCs w:val="21"/>
        </w:rPr>
        <w:t>二、其他关键信息</w:t>
      </w:r>
    </w:p>
    <w:p>
      <w:pPr>
        <w:spacing w:line="360" w:lineRule="auto"/>
        <w:ind w:firstLine="420" w:firstLineChars="200"/>
        <w:rPr>
          <w:b/>
          <w:bCs/>
          <w:szCs w:val="21"/>
        </w:rPr>
      </w:pPr>
      <w:r>
        <w:rPr>
          <w:rFonts w:hint="eastAsia"/>
          <w:b/>
          <w:bCs/>
          <w:szCs w:val="21"/>
        </w:rPr>
        <w:t>（一）与“对通用条款的补充内容”章节相关的事项</w:t>
      </w:r>
    </w:p>
    <w:p>
      <w:pPr>
        <w:spacing w:line="360" w:lineRule="auto"/>
        <w:ind w:firstLine="420" w:firstLineChars="200"/>
        <w:jc w:val="left"/>
        <w:rPr>
          <w:rFonts w:asciiTheme="minorEastAsia" w:eastAsiaTheme="minorEastAsia" w:hAnsiTheme="minorEastAsia"/>
          <w:b/>
          <w:kern w:val="0"/>
          <w:szCs w:val="21"/>
        </w:rPr>
      </w:pPr>
      <w:bookmarkStart w:id="29" w:name="_Hlk72579465"/>
      <w:r>
        <w:rPr>
          <w:rFonts w:asciiTheme="minorEastAsia" w:eastAsiaTheme="minorEastAsia" w:hAnsiTheme="minorEastAsia" w:hint="eastAsia"/>
          <w:b/>
          <w:kern w:val="0"/>
          <w:szCs w:val="21"/>
          <w:lang w:eastAsia="zh-CN"/>
        </w:rPr>
        <w:t>1.</w:t>
      </w:r>
      <w:r>
        <w:rPr>
          <w:rFonts w:asciiTheme="minorEastAsia" w:eastAsiaTheme="minorEastAsia" w:hAnsiTheme="minorEastAsia" w:hint="eastAsia"/>
          <w:b/>
          <w:kern w:val="0"/>
          <w:szCs w:val="21"/>
        </w:rPr>
        <w:t>评标定标信息</w:t>
      </w:r>
    </w:p>
    <w:p>
      <w:pPr>
        <w:spacing w:line="360" w:lineRule="auto"/>
        <w:jc w:val="center"/>
        <w:rPr>
          <w:b/>
          <w:szCs w:val="21"/>
        </w:rPr>
      </w:pPr>
      <w:r>
        <w:rPr>
          <w:rFonts w:hint="eastAsia"/>
          <w:b/>
          <w:szCs w:val="21"/>
        </w:rPr>
        <w:t>评定分离项目</w:t>
      </w:r>
    </w:p>
    <w:tbl>
      <w:tblPr>
        <w:tblStyle w:val="TableGrid"/>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132"/>
        <w:gridCol w:w="4397"/>
      </w:tblGrid>
      <w:tr>
        <w:tblPrEx>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4132" w:type="dxa"/>
          </w:tcPr>
          <w:p>
            <w:pPr>
              <w:spacing w:line="360" w:lineRule="auto"/>
              <w:jc w:val="center"/>
              <w:rPr>
                <w:szCs w:val="21"/>
              </w:rPr>
            </w:pPr>
            <w:r>
              <w:rPr>
                <w:rFonts w:hint="eastAsia"/>
                <w:szCs w:val="21"/>
              </w:rPr>
              <w:t>评标方法</w:t>
            </w:r>
          </w:p>
        </w:tc>
        <w:tc>
          <w:tcPr>
            <w:tcW w:w="4397" w:type="dxa"/>
          </w:tcPr>
          <w:p>
            <w:pPr>
              <w:spacing w:line="360" w:lineRule="auto"/>
              <w:jc w:val="center"/>
              <w:rPr>
                <w:szCs w:val="21"/>
              </w:rPr>
            </w:pPr>
            <w:r>
              <w:rPr>
                <w:rFonts w:hint="eastAsia"/>
                <w:szCs w:val="21"/>
              </w:rPr>
              <w:t>综合评分法</w:t>
            </w:r>
          </w:p>
        </w:tc>
      </w:tr>
      <w:tr>
        <w:tblPrEx>
          <w:tblW w:w="8529" w:type="dxa"/>
          <w:tblInd w:w="0" w:type="dxa"/>
          <w:tblLayout w:type="fixed"/>
          <w:tblCellMar>
            <w:top w:w="0" w:type="dxa"/>
            <w:left w:w="108" w:type="dxa"/>
            <w:bottom w:w="0" w:type="dxa"/>
            <w:right w:w="108" w:type="dxa"/>
          </w:tblCellMar>
        </w:tblPrEx>
        <w:tc>
          <w:tcPr>
            <w:tcW w:w="4132" w:type="dxa"/>
          </w:tcPr>
          <w:p>
            <w:pPr>
              <w:spacing w:line="360" w:lineRule="auto"/>
              <w:jc w:val="center"/>
              <w:rPr>
                <w:szCs w:val="21"/>
              </w:rPr>
            </w:pPr>
            <w:r>
              <w:rPr>
                <w:rFonts w:hint="eastAsia"/>
                <w:szCs w:val="21"/>
              </w:rPr>
              <w:t>定标方法</w:t>
            </w:r>
          </w:p>
        </w:tc>
        <w:tc>
          <w:tcPr>
            <w:tcW w:w="4397" w:type="dxa"/>
          </w:tcPr>
          <w:p>
            <w:pPr>
              <w:spacing w:line="360" w:lineRule="auto"/>
              <w:jc w:val="center"/>
              <w:rPr>
                <w:szCs w:val="21"/>
              </w:rPr>
            </w:pPr>
            <w:r>
              <w:rPr>
                <w:rFonts w:hint="eastAsia"/>
                <w:szCs w:val="21"/>
              </w:rPr>
              <w:t>自定法</w:t>
            </w:r>
          </w:p>
        </w:tc>
      </w:tr>
      <w:tr>
        <w:tblPrEx>
          <w:tblW w:w="8529" w:type="dxa"/>
          <w:tblInd w:w="0" w:type="dxa"/>
          <w:tblLayout w:type="fixed"/>
          <w:tblCellMar>
            <w:top w:w="0" w:type="dxa"/>
            <w:left w:w="108" w:type="dxa"/>
            <w:bottom w:w="0" w:type="dxa"/>
            <w:right w:w="108" w:type="dxa"/>
          </w:tblCellMar>
        </w:tblPrEx>
        <w:tc>
          <w:tcPr>
            <w:tcW w:w="4132" w:type="dxa"/>
          </w:tcPr>
          <w:p>
            <w:pPr>
              <w:spacing w:line="360" w:lineRule="auto"/>
              <w:jc w:val="center"/>
              <w:rPr>
                <w:szCs w:val="21"/>
              </w:rPr>
            </w:pPr>
            <w:r>
              <w:rPr>
                <w:rFonts w:hint="eastAsia"/>
                <w:szCs w:val="21"/>
              </w:rPr>
              <w:t>推荐候选中标供应商家数</w:t>
            </w:r>
          </w:p>
        </w:tc>
        <w:tc>
          <w:tcPr>
            <w:tcW w:w="4397" w:type="dxa"/>
          </w:tcPr>
          <w:p>
            <w:pPr>
              <w:spacing w:line="360" w:lineRule="auto"/>
              <w:jc w:val="center"/>
              <w:rPr>
                <w:szCs w:val="21"/>
              </w:rPr>
            </w:pPr>
            <w:r>
              <w:rPr>
                <w:rFonts w:hint="eastAsia"/>
                <w:szCs w:val="21"/>
              </w:rPr>
              <w:t>3</w:t>
            </w:r>
          </w:p>
        </w:tc>
      </w:tr>
      <w:tr>
        <w:tblPrEx>
          <w:tblW w:w="8529" w:type="dxa"/>
          <w:tblInd w:w="0" w:type="dxa"/>
          <w:tblLayout w:type="fixed"/>
          <w:tblCellMar>
            <w:top w:w="0" w:type="dxa"/>
            <w:left w:w="108" w:type="dxa"/>
            <w:bottom w:w="0" w:type="dxa"/>
            <w:right w:w="108" w:type="dxa"/>
          </w:tblCellMar>
        </w:tblPrEx>
        <w:tc>
          <w:tcPr>
            <w:tcW w:w="4132" w:type="dxa"/>
          </w:tcPr>
          <w:p>
            <w:pPr>
              <w:spacing w:line="360" w:lineRule="auto"/>
              <w:jc w:val="center"/>
              <w:rPr>
                <w:szCs w:val="21"/>
              </w:rPr>
            </w:pPr>
            <w:r>
              <w:rPr>
                <w:rFonts w:hint="eastAsia"/>
                <w:szCs w:val="21"/>
              </w:rPr>
              <w:t>中标供应商家数</w:t>
            </w:r>
          </w:p>
        </w:tc>
        <w:tc>
          <w:tcPr>
            <w:tcW w:w="4397" w:type="dxa"/>
          </w:tcPr>
          <w:p>
            <w:pPr>
              <w:spacing w:line="360" w:lineRule="auto"/>
              <w:jc w:val="center"/>
              <w:rPr>
                <w:szCs w:val="21"/>
              </w:rPr>
            </w:pPr>
            <w:r>
              <w:rPr>
                <w:rFonts w:hint="eastAsia"/>
                <w:szCs w:val="21"/>
              </w:rPr>
              <w:t>1</w: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ascii="Times New Roman" w:eastAsia="宋体" w:hAnsi="Times New Roman" w:cs="Times New Roman" w:hint="eastAsia"/>
          <w:b w:val="0"/>
          <w:bCs w:val="0"/>
          <w:sz w:val="21"/>
          <w:szCs w:val="21"/>
          <w:highlight w:val="none"/>
        </w:rPr>
      </w:pPr>
      <w:bookmarkEnd w:id="29"/>
      <w:r>
        <w:rPr>
          <w:rFonts w:ascii="Times New Roman" w:eastAsia="宋体" w:hAnsi="Times New Roman" w:cs="Times New Roman" w:hint="eastAsia"/>
          <w:b w:val="0"/>
          <w:bCs w:val="0"/>
          <w:sz w:val="21"/>
          <w:szCs w:val="21"/>
          <w:highlight w:val="none"/>
        </w:rPr>
        <w:t>注</w:t>
      </w:r>
      <w:r>
        <w:rPr>
          <w:rFonts w:ascii="Times New Roman" w:eastAsia="宋体" w:hAnsi="Times New Roman" w:cs="Times New Roman" w:hint="eastAsia"/>
          <w:b w:val="0"/>
          <w:bCs w:val="0"/>
          <w:kern w:val="2"/>
          <w:sz w:val="21"/>
          <w:szCs w:val="21"/>
          <w:highlight w:val="none"/>
          <w:lang w:val="en-US" w:eastAsia="zh-CN" w:bidi="ar-SA"/>
        </w:rPr>
        <w:t>：1</w:t>
      </w:r>
      <w:r>
        <w:rPr>
          <w:rFonts w:cs="Times New Roman" w:hint="eastAsia"/>
          <w:b w:val="0"/>
          <w:bCs w:val="0"/>
          <w:kern w:val="2"/>
          <w:sz w:val="21"/>
          <w:szCs w:val="21"/>
          <w:highlight w:val="none"/>
          <w:lang w:val="en-US" w:eastAsia="zh-CN" w:bidi="ar-SA"/>
        </w:rPr>
        <w:t>.</w:t>
      </w:r>
      <w:r>
        <w:rPr>
          <w:rFonts w:ascii="Times New Roman" w:eastAsia="宋体" w:hAnsi="Times New Roman" w:cs="Times New Roman" w:hint="eastAsia"/>
          <w:b w:val="0"/>
          <w:bCs w:val="0"/>
          <w:kern w:val="2"/>
          <w:sz w:val="21"/>
          <w:szCs w:val="21"/>
          <w:highlight w:val="none"/>
          <w:lang w:val="en-US" w:eastAsia="zh-CN" w:bidi="ar-SA"/>
        </w:rPr>
        <w:t>评标委员会按投标人综合得分由高到低的顺序进行排列，推荐综合得分前3名为本项目的候选中标供应商（不标明排名序号）；因综合得分相同而无法确定候选中标供应商的，按投标报价由低到高顺序排列确定候选中标供应商；得分且投标报价相同的，采取抽签法确定候选中标供应商。</w:t>
      </w:r>
    </w:p>
    <w:p>
      <w:pPr>
        <w:spacing w:line="360" w:lineRule="auto"/>
        <w:ind w:firstLine="420" w:firstLineChars="200"/>
        <w:rPr>
          <w:rFonts w:hint="eastAsia"/>
          <w:b/>
          <w:szCs w:val="21"/>
        </w:rPr>
      </w:pPr>
      <w:r>
        <w:rPr>
          <w:rFonts w:ascii="Times New Roman" w:eastAsia="宋体" w:hAnsi="Times New Roman" w:cs="Times New Roman" w:hint="eastAsia"/>
          <w:b w:val="0"/>
          <w:bCs w:val="0"/>
          <w:sz w:val="21"/>
          <w:szCs w:val="21"/>
          <w:highlight w:val="none"/>
        </w:rPr>
        <w:t>2</w:t>
      </w:r>
      <w:r>
        <w:rPr>
          <w:rFonts w:cs="Times New Roman" w:hint="eastAsia"/>
          <w:b w:val="0"/>
          <w:bCs w:val="0"/>
          <w:sz w:val="21"/>
          <w:szCs w:val="21"/>
          <w:highlight w:val="none"/>
          <w:lang w:val="en-US" w:eastAsia="zh-CN"/>
        </w:rPr>
        <w:t>.</w:t>
      </w:r>
      <w:r>
        <w:rPr>
          <w:rFonts w:ascii="Times New Roman" w:eastAsia="宋体" w:hAnsi="Times New Roman" w:cs="Times New Roman" w:hint="eastAsia"/>
          <w:b w:val="0"/>
          <w:bCs w:val="0"/>
          <w:sz w:val="21"/>
          <w:szCs w:val="21"/>
          <w:highlight w:val="none"/>
        </w:rPr>
        <w:t>因质疑成立导致候选中标供应商数量减少的，不再替补；因质疑成立取消中标供应商中标资格的，由采购人在剩余有效的候选中标供应商中自行确定新的中标供应商;因质疑成立导致有效投标供应商不足三家时，本项目应当重新组织公开招标。</w:t>
      </w:r>
    </w:p>
    <w:p>
      <w:pPr>
        <w:spacing w:line="360" w:lineRule="auto"/>
        <w:ind w:firstLine="420" w:firstLineChars="200"/>
        <w:rPr>
          <w:rFonts w:hint="eastAsia"/>
          <w:b/>
          <w:szCs w:val="21"/>
        </w:rPr>
      </w:pPr>
    </w:p>
    <w:p>
      <w:pPr>
        <w:spacing w:line="360" w:lineRule="auto"/>
        <w:ind w:firstLine="420" w:firstLineChars="200"/>
        <w:rPr>
          <w:rFonts w:hint="eastAsia"/>
          <w:b/>
          <w:szCs w:val="21"/>
        </w:rPr>
      </w:pPr>
      <w:r>
        <w:rPr>
          <w:rFonts w:hint="eastAsia"/>
          <w:b/>
          <w:szCs w:val="21"/>
        </w:rPr>
        <w:t>（二）其他事项</w:t>
      </w:r>
    </w:p>
    <w:p>
      <w:pPr>
        <w:spacing w:line="360" w:lineRule="auto"/>
        <w:ind w:firstLine="420" w:firstLineChars="200"/>
        <w:rPr>
          <w:szCs w:val="21"/>
        </w:rPr>
      </w:pPr>
      <w:r>
        <w:rPr>
          <w:rFonts w:hint="eastAsia"/>
          <w:b/>
          <w:bCs/>
          <w:szCs w:val="21"/>
          <w:lang w:val="en-US" w:eastAsia="zh-CN"/>
        </w:rPr>
        <w:t>1.</w:t>
      </w:r>
      <w:r>
        <w:rPr>
          <w:rFonts w:hint="eastAsia"/>
          <w:b/>
          <w:bCs/>
          <w:szCs w:val="21"/>
        </w:rPr>
        <w:t>关于享受优惠政策的主体及价格扣除比例</w:t>
      </w:r>
    </w:p>
    <w:p>
      <w:pPr>
        <w:spacing w:line="360" w:lineRule="auto"/>
        <w:ind w:firstLine="420" w:firstLineChars="200"/>
        <w:rPr>
          <w:szCs w:val="21"/>
        </w:rPr>
      </w:pPr>
      <w:r>
        <w:rPr>
          <w:rFonts w:hint="eastAsia"/>
          <w:szCs w:val="21"/>
        </w:rPr>
        <w:t>（</w:t>
      </w:r>
      <w:r>
        <w:rPr>
          <w:rFonts w:hint="eastAsia"/>
          <w:szCs w:val="21"/>
          <w:lang w:val="en-US" w:eastAsia="zh-CN"/>
        </w:rPr>
        <w:t>1</w:t>
      </w:r>
      <w:r>
        <w:rPr>
          <w:rFonts w:hint="eastAsia"/>
          <w:szCs w:val="21"/>
        </w:rPr>
        <w:t>）</w:t>
      </w:r>
      <w:r>
        <w:rPr>
          <w:rFonts w:ascii="Times New Roman" w:eastAsia="宋体" w:hint="eastAsia"/>
          <w:szCs w:val="21"/>
          <w:lang w:val="en-US" w:eastAsia="zh-CN"/>
        </w:rPr>
        <w:t>非专门面向中小企业采购的项目，应执行价格扣除比例：</w:t>
      </w:r>
      <w:r>
        <w:rPr>
          <w:rFonts w:hint="eastAsia"/>
          <w:szCs w:val="21"/>
          <w:lang w:val="en-US" w:eastAsia="zh-CN"/>
        </w:rPr>
        <w:t>供应商</w:t>
      </w:r>
      <w:r>
        <w:rPr>
          <w:rFonts w:hint="eastAsia"/>
          <w:szCs w:val="21"/>
        </w:rPr>
        <w:t>提供的服务全部由优惠主体承接，则对其投标总价给予</w:t>
      </w:r>
      <w:r>
        <w:rPr>
          <w:rFonts w:hint="eastAsia"/>
          <w:color w:val="FF0000"/>
          <w:szCs w:val="21"/>
          <w:u w:val="single"/>
          <w:lang w:val="en-US" w:eastAsia="zh-CN"/>
        </w:rPr>
        <w:t>10</w:t>
      </w:r>
      <w:r>
        <w:rPr>
          <w:color w:val="FF0000"/>
          <w:szCs w:val="21"/>
          <w:u w:val="single"/>
        </w:rPr>
        <w:t xml:space="preserve"> %</w:t>
      </w:r>
      <w:r>
        <w:rPr>
          <w:rFonts w:hint="eastAsia"/>
          <w:szCs w:val="21"/>
        </w:rPr>
        <w:t>的扣除，用扣除后的价格参与评审。满足多项优惠政策的企业，不重复享受多项价格扣除政策。</w:t>
      </w:r>
    </w:p>
    <w:p>
      <w:pPr>
        <w:spacing w:line="360" w:lineRule="auto"/>
        <w:ind w:firstLine="420" w:firstLineChars="200"/>
        <w:rPr>
          <w:rFonts w:hint="eastAsia"/>
          <w:szCs w:val="21"/>
        </w:rPr>
      </w:pPr>
      <w:r>
        <w:rPr>
          <w:rFonts w:hint="eastAsia"/>
          <w:szCs w:val="21"/>
        </w:rPr>
        <w:t>备注：（a）</w:t>
      </w:r>
      <w:r>
        <w:rPr>
          <w:rFonts w:ascii="Times New Roman" w:eastAsia="宋体" w:hint="eastAsia"/>
          <w:szCs w:val="21"/>
          <w:lang w:val="en-US" w:eastAsia="zh-CN"/>
        </w:rPr>
        <w:t>享受价格扣除</w:t>
      </w:r>
      <w:r>
        <w:rPr>
          <w:rFonts w:hint="eastAsia"/>
          <w:szCs w:val="21"/>
        </w:rPr>
        <w:t>优惠主体包括小型企业、微型企业、监狱企业、残疾人福利性单位；中小企业是指在中华人民共和国境内依法设立，依据国务院批准的中小企业划分标准确定的中型企业、小型企业、微型企业，但与大企业的负责人为同一人，或者与大企业存在直接控股、管理关系的除外；符合中小企业划分标准的个体工商户，在政府采购活动中视同中小企业；(</w:t>
      </w:r>
      <w:r>
        <w:rPr>
          <w:szCs w:val="21"/>
        </w:rPr>
        <w:t>b)</w:t>
      </w:r>
      <w:r>
        <w:rPr>
          <w:rFonts w:hint="eastAsia"/>
          <w:szCs w:val="21"/>
        </w:rPr>
        <w:t>优惠主体承接是指提供服务的人员为中小企业依照《中华人民共和国劳动合同法》订立劳动合同的从业人员。</w:t>
      </w:r>
    </w:p>
    <w:p>
      <w:pPr>
        <w:numPr>
          <w:ilvl w:val="255"/>
          <w:numId w:val="0"/>
        </w:numPr>
        <w:spacing w:line="360" w:lineRule="auto"/>
        <w:ind w:firstLine="420" w:firstLineChars="200"/>
        <w:rPr>
          <w:szCs w:val="21"/>
        </w:rPr>
      </w:pPr>
      <w:r>
        <w:rPr>
          <w:rFonts w:ascii="宋体" w:hAnsi="宋体" w:cs="宋体" w:hint="eastAsia"/>
          <w:sz w:val="21"/>
          <w:szCs w:val="21"/>
          <w:lang w:eastAsia="zh-CN"/>
        </w:rPr>
        <w:t>（</w:t>
      </w:r>
      <w:r>
        <w:rPr>
          <w:rFonts w:ascii="宋体" w:hAnsi="宋体" w:cs="宋体" w:hint="eastAsia"/>
          <w:sz w:val="21"/>
          <w:szCs w:val="21"/>
          <w:lang w:val="en-US" w:eastAsia="zh-CN"/>
        </w:rPr>
        <w:t>2）</w:t>
      </w:r>
      <w:r>
        <w:rPr>
          <w:rFonts w:ascii="宋体" w:eastAsia="宋体" w:hAnsi="宋体" w:cs="宋体"/>
          <w:sz w:val="21"/>
          <w:szCs w:val="21"/>
        </w:rPr>
        <w:t>中小企业参加政府采购活动，应当按照国务院批准的《中小企业划型标准规定》（工信部联企 业〔2011〕300号）《金融业企业划型标准规定》（银发〔2015〕309号）和《财政部 工业和信息化部关于印发〈政府采购促进中小企业发展管理办法〉的通知》（财库〔2020〕46 号）的规定，出具《中小企业声明函》，</w:t>
      </w:r>
      <w:r>
        <w:rPr>
          <w:rFonts w:ascii="宋体" w:eastAsia="宋体" w:hAnsi="宋体" w:cs="宋体"/>
          <w:b/>
          <w:bCs/>
          <w:color w:val="FF0000"/>
          <w:sz w:val="21"/>
          <w:szCs w:val="21"/>
        </w:rPr>
        <w:t>《中小企业声明函》中相关企业</w:t>
      </w:r>
      <w:r>
        <w:rPr>
          <w:rFonts w:ascii="宋体" w:hAnsi="宋体" w:cs="宋体" w:hint="eastAsia"/>
          <w:b/>
          <w:bCs/>
          <w:color w:val="FF0000"/>
          <w:sz w:val="21"/>
          <w:szCs w:val="21"/>
          <w:lang w:eastAsia="zh-CN"/>
        </w:rPr>
        <w:t>（服务承接商）</w:t>
      </w:r>
      <w:r>
        <w:rPr>
          <w:rFonts w:ascii="宋体" w:eastAsia="宋体" w:hAnsi="宋体" w:cs="宋体"/>
          <w:b/>
          <w:bCs/>
          <w:color w:val="FF0000"/>
          <w:sz w:val="21"/>
          <w:szCs w:val="21"/>
        </w:rPr>
        <w:t>所属行业应当与采购标的所属行业相一致</w:t>
      </w:r>
      <w:r>
        <w:rPr>
          <w:rFonts w:eastAsia="宋体" w:hint="eastAsia"/>
          <w:b/>
          <w:bCs/>
          <w:color w:val="FF0000"/>
          <w:szCs w:val="21"/>
          <w:lang w:eastAsia="zh-CN"/>
        </w:rPr>
        <w:t>，</w:t>
      </w:r>
      <w:r>
        <w:rPr>
          <w:rFonts w:hint="eastAsia"/>
          <w:b/>
          <w:bCs/>
          <w:color w:val="FF0000"/>
          <w:szCs w:val="21"/>
        </w:rPr>
        <w:t>标的所属行业</w:t>
      </w:r>
      <w:r>
        <w:rPr>
          <w:rFonts w:ascii="Times New Roman" w:eastAsia="宋体" w:hint="eastAsia"/>
          <w:b/>
          <w:bCs/>
          <w:color w:val="FF0000"/>
          <w:szCs w:val="21"/>
          <w:lang w:val="en-US" w:eastAsia="zh-CN"/>
        </w:rPr>
        <w:t>以招标文件第一册第三章用户需求书“</w:t>
      </w:r>
      <w:r>
        <w:rPr>
          <w:rFonts w:hint="eastAsia"/>
          <w:b/>
          <w:bCs/>
          <w:color w:val="FF0000"/>
          <w:szCs w:val="21"/>
          <w:lang w:val="en-US" w:eastAsia="zh-CN"/>
        </w:rPr>
        <w:t>服务需求</w:t>
      </w:r>
      <w:r>
        <w:rPr>
          <w:rFonts w:ascii="Times New Roman" w:eastAsia="宋体" w:hint="eastAsia"/>
          <w:b/>
          <w:bCs/>
          <w:color w:val="FF0000"/>
          <w:szCs w:val="21"/>
          <w:lang w:val="en-US" w:eastAsia="zh-CN"/>
        </w:rPr>
        <w:t>明细”的“标的所属行业”一栏为准</w:t>
      </w:r>
      <w:r>
        <w:rPr>
          <w:rFonts w:ascii="宋体" w:eastAsia="宋体" w:hAnsi="宋体" w:cs="宋体"/>
          <w:b/>
          <w:bCs/>
          <w:color w:val="FF0000"/>
          <w:sz w:val="21"/>
          <w:szCs w:val="21"/>
        </w:rPr>
        <w:t>。</w:t>
      </w:r>
    </w:p>
    <w:p>
      <w:pPr>
        <w:numPr>
          <w:ilvl w:val="0"/>
          <w:numId w:val="9"/>
        </w:numPr>
        <w:spacing w:line="360" w:lineRule="auto"/>
        <w:ind w:firstLine="420" w:firstLineChars="200"/>
        <w:rPr>
          <w:szCs w:val="21"/>
        </w:rPr>
      </w:pPr>
      <w:r>
        <w:rPr>
          <w:rFonts w:hint="eastAsia"/>
          <w:sz w:val="21"/>
          <w:szCs w:val="21"/>
        </w:rPr>
        <w:t>小型企业、微</w:t>
      </w:r>
      <w:r>
        <w:rPr>
          <w:rFonts w:hint="eastAsia"/>
          <w:szCs w:val="21"/>
        </w:rPr>
        <w:t>型企业、残疾人福利性单位作为优惠主体的认定资料为《中小企业声明函</w:t>
      </w:r>
      <w:r>
        <w:rPr>
          <w:rFonts w:hint="eastAsia"/>
          <w:szCs w:val="21"/>
          <w:lang w:eastAsia="zh-CN"/>
        </w:rPr>
        <w:t>》《</w:t>
      </w:r>
      <w:r>
        <w:rPr>
          <w:rFonts w:hint="eastAsia"/>
          <w:szCs w:val="21"/>
        </w:rPr>
        <w:t>残疾人福利性单位声明函》；监狱企业作为优惠主体的认定资料为省级以上监狱管理局、戒毒管理局出具的监狱企业证明文件。声明函样式见本招标文件第一册专用条款第三章“投标文件格式、附件”中“四、投标人情况介绍”章节提供的格式）。</w:t>
      </w:r>
    </w:p>
    <w:p>
      <w:pPr>
        <w:numPr>
          <w:ilvl w:val="0"/>
          <w:numId w:val="9"/>
        </w:numPr>
        <w:spacing w:line="360" w:lineRule="auto"/>
        <w:ind w:left="0" w:firstLine="420" w:leftChars="0" w:firstLineChars="200"/>
        <w:rPr>
          <w:szCs w:val="21"/>
        </w:rPr>
      </w:pPr>
      <w:r>
        <w:rPr>
          <w:rFonts w:hint="eastAsia"/>
          <w:szCs w:val="21"/>
        </w:rPr>
        <w:t>享受价格扣除获得政府采购合同的，小微企业不得将合同分包给大中型企业。</w:t>
      </w:r>
    </w:p>
    <w:p>
      <w:pPr>
        <w:spacing w:line="360" w:lineRule="auto"/>
        <w:ind w:firstLine="420" w:firstLineChars="200"/>
        <w:rPr>
          <w:rFonts w:hint="eastAsia"/>
          <w:szCs w:val="21"/>
          <w:highlight w:val="none"/>
        </w:rPr>
      </w:pPr>
      <w:r>
        <w:rPr>
          <w:rFonts w:hint="eastAsia"/>
          <w:szCs w:val="21"/>
          <w:lang w:val="en-US" w:eastAsia="zh-CN"/>
        </w:rPr>
        <w:t>（5）</w:t>
      </w:r>
      <w:r>
        <w:rPr>
          <w:rFonts w:hint="eastAsia"/>
          <w:szCs w:val="21"/>
          <w:highlight w:val="none"/>
          <w:lang w:val="en-US" w:eastAsia="zh-CN"/>
        </w:rPr>
        <w:t>分包</w:t>
      </w:r>
      <w:r>
        <w:rPr>
          <w:rFonts w:hint="eastAsia"/>
          <w:szCs w:val="21"/>
          <w:highlight w:val="none"/>
        </w:rPr>
        <w:t>投标的情况下：1</w:t>
      </w:r>
      <w:r>
        <w:rPr>
          <w:rFonts w:hint="eastAsia"/>
          <w:szCs w:val="21"/>
          <w:highlight w:val="none"/>
          <w:lang w:val="en-US" w:eastAsia="zh-CN"/>
        </w:rPr>
        <w:t>.分包</w:t>
      </w:r>
      <w:r>
        <w:rPr>
          <w:rFonts w:hint="eastAsia"/>
          <w:szCs w:val="21"/>
          <w:highlight w:val="none"/>
        </w:rPr>
        <w:t>各方均为优惠主体的，该联合体视同为优惠主体享受同比例价格扣除；2</w:t>
      </w:r>
      <w:r>
        <w:rPr>
          <w:rFonts w:hint="eastAsia"/>
          <w:szCs w:val="21"/>
          <w:highlight w:val="none"/>
          <w:lang w:val="en-US" w:eastAsia="zh-CN"/>
        </w:rPr>
        <w:t>.分包</w:t>
      </w:r>
      <w:r>
        <w:rPr>
          <w:rFonts w:hint="eastAsia"/>
          <w:szCs w:val="21"/>
          <w:highlight w:val="none"/>
        </w:rPr>
        <w:t>共同投标协议中明确注明约定优惠主体的协议合同金额占</w:t>
      </w:r>
      <w:r>
        <w:rPr>
          <w:rFonts w:hint="eastAsia"/>
          <w:szCs w:val="21"/>
          <w:highlight w:val="none"/>
          <w:lang w:val="en-US" w:eastAsia="zh-CN"/>
        </w:rPr>
        <w:t>分包</w:t>
      </w:r>
      <w:r>
        <w:rPr>
          <w:rFonts w:hint="eastAsia"/>
          <w:szCs w:val="21"/>
          <w:highlight w:val="none"/>
        </w:rPr>
        <w:t>协议总金额30%以上的，对该</w:t>
      </w:r>
      <w:r>
        <w:rPr>
          <w:rFonts w:hint="eastAsia"/>
          <w:szCs w:val="21"/>
          <w:highlight w:val="none"/>
          <w:lang w:val="en-US" w:eastAsia="zh-CN"/>
        </w:rPr>
        <w:t>投标人</w:t>
      </w:r>
      <w:r>
        <w:rPr>
          <w:rFonts w:hint="eastAsia"/>
          <w:szCs w:val="21"/>
          <w:highlight w:val="none"/>
        </w:rPr>
        <w:t>的投标总价给予4 %的扣除，用扣除后的价格参与评审。</w:t>
      </w:r>
    </w:p>
    <w:p>
      <w:pPr>
        <w:pStyle w:val="BodyText"/>
        <w:spacing w:line="360" w:lineRule="auto"/>
        <w:rPr>
          <w:rFonts w:eastAsia="宋体" w:hint="default"/>
          <w:sz w:val="21"/>
          <w:szCs w:val="21"/>
          <w:lang w:val="en-US" w:eastAsia="zh-CN"/>
        </w:rPr>
      </w:pPr>
    </w:p>
    <w:p>
      <w:pPr>
        <w:spacing w:line="360" w:lineRule="auto"/>
        <w:ind w:firstLine="420" w:firstLineChars="200"/>
        <w:rPr>
          <w:rFonts w:hint="eastAsia"/>
          <w:b/>
          <w:bCs/>
          <w:szCs w:val="21"/>
          <w:lang w:val="en-US" w:eastAsia="zh-CN"/>
        </w:rPr>
      </w:pPr>
      <w:r>
        <w:rPr>
          <w:rFonts w:ascii="Times New Roman" w:eastAsia="宋体" w:hint="eastAsia"/>
          <w:b/>
          <w:bCs/>
          <w:szCs w:val="21"/>
          <w:lang w:val="en-US" w:eastAsia="zh-CN"/>
        </w:rPr>
        <w:t>2</w:t>
      </w:r>
      <w:r>
        <w:rPr>
          <w:rFonts w:hint="eastAsia"/>
          <w:b/>
          <w:bCs/>
          <w:szCs w:val="21"/>
          <w:lang w:val="en-US" w:eastAsia="zh-CN"/>
        </w:rPr>
        <w:t>.</w:t>
      </w:r>
      <w:r>
        <w:rPr>
          <w:rFonts w:ascii="Times New Roman" w:eastAsia="宋体" w:hint="eastAsia"/>
          <w:b/>
          <w:bCs/>
          <w:szCs w:val="21"/>
          <w:lang w:val="en-US" w:eastAsia="zh-CN"/>
        </w:rPr>
        <w:t>本项目不向中标（成交）供应商收取代理服务费。</w:t>
      </w:r>
    </w:p>
    <w:p>
      <w:pPr>
        <w:pStyle w:val="BodyText2"/>
      </w:pPr>
    </w:p>
    <w:p>
      <w:pPr>
        <w:pStyle w:val="BodyText2"/>
        <w:sectPr>
          <w:pgSz w:w="11907" w:h="16840"/>
          <w:pgMar w:top="1440" w:right="1797" w:bottom="1440" w:left="1797" w:header="851" w:footer="992" w:gutter="0"/>
          <w:cols w:num="1" w:space="425"/>
          <w:titlePg/>
          <w:docGrid w:linePitch="462" w:charSpace="0"/>
        </w:sectPr>
      </w:pPr>
    </w:p>
    <w:p>
      <w:pPr>
        <w:pStyle w:val="Heading2"/>
        <w:numPr>
          <w:ilvl w:val="0"/>
          <w:numId w:val="8"/>
        </w:numPr>
        <w:rPr>
          <w:rFonts w:hint="eastAsia"/>
          <w:b/>
          <w:bCs/>
          <w:sz w:val="28"/>
          <w:szCs w:val="28"/>
        </w:rPr>
      </w:pPr>
      <w:bookmarkStart w:id="30" w:name="_Toc128884461"/>
      <w:r>
        <w:rPr>
          <w:rFonts w:hint="eastAsia"/>
          <w:b/>
          <w:bCs/>
          <w:sz w:val="28"/>
          <w:szCs w:val="28"/>
        </w:rPr>
        <w:t>用户需求书</w:t>
      </w:r>
    </w:p>
    <w:p>
      <w:pPr>
        <w:rPr>
          <w:rFonts w:hint="eastAsia"/>
        </w:rPr>
      </w:pPr>
    </w:p>
    <w:p>
      <w:pPr>
        <w:pStyle w:val="Heading2"/>
        <w:spacing w:before="120" w:beforeLines="50" w:after="120" w:afterLines="50"/>
        <w:rPr>
          <w:rFonts w:ascii="宋体" w:hAnsi="宋体"/>
          <w:b/>
          <w:color w:val="FF0000"/>
          <w:szCs w:val="21"/>
        </w:rPr>
      </w:pPr>
      <w:r>
        <w:rPr>
          <w:rFonts w:hint="eastAsia"/>
          <w:b/>
          <w:bCs/>
          <w:szCs w:val="24"/>
        </w:rPr>
        <w:t>一、项目基本信息</w:t>
      </w:r>
    </w:p>
    <w:tbl>
      <w:tblPr>
        <w:tblStyle w:val="TableNormal"/>
        <w:tblpPr w:leftFromText="180" w:rightFromText="180" w:vertAnchor="text" w:horzAnchor="margin" w:tblpY="173"/>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13"/>
        <w:gridCol w:w="2603"/>
        <w:gridCol w:w="3158"/>
        <w:gridCol w:w="2355"/>
      </w:tblGrid>
      <w:tr>
        <w:tblPrEx>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54"/>
        </w:trPr>
        <w:tc>
          <w:tcPr>
            <w:tcW w:w="413" w:type="dxa"/>
            <w:vAlign w:val="center"/>
          </w:tcPr>
          <w:p>
            <w:pPr>
              <w:spacing w:line="360" w:lineRule="auto"/>
              <w:jc w:val="center"/>
              <w:rPr>
                <w:b w:val="0"/>
                <w:bCs/>
                <w:color w:val="auto"/>
                <w:szCs w:val="21"/>
              </w:rPr>
            </w:pPr>
            <w:r>
              <w:rPr>
                <w:rFonts w:hint="eastAsia"/>
                <w:b w:val="0"/>
                <w:bCs/>
                <w:color w:val="auto"/>
                <w:szCs w:val="21"/>
              </w:rPr>
              <w:t>序号</w:t>
            </w:r>
          </w:p>
        </w:tc>
        <w:tc>
          <w:tcPr>
            <w:tcW w:w="2603" w:type="dxa"/>
            <w:vAlign w:val="center"/>
          </w:tcPr>
          <w:p>
            <w:pPr>
              <w:spacing w:line="360" w:lineRule="auto"/>
              <w:jc w:val="center"/>
              <w:rPr>
                <w:b w:val="0"/>
                <w:bCs/>
                <w:color w:val="auto"/>
                <w:szCs w:val="21"/>
              </w:rPr>
            </w:pPr>
            <w:r>
              <w:rPr>
                <w:rFonts w:hint="eastAsia"/>
                <w:b w:val="0"/>
                <w:bCs/>
                <w:color w:val="auto"/>
                <w:szCs w:val="21"/>
              </w:rPr>
              <w:t>采购计划编号</w:t>
            </w:r>
          </w:p>
        </w:tc>
        <w:tc>
          <w:tcPr>
            <w:tcW w:w="3158" w:type="dxa"/>
            <w:vAlign w:val="center"/>
          </w:tcPr>
          <w:p>
            <w:pPr>
              <w:spacing w:line="360" w:lineRule="auto"/>
              <w:jc w:val="center"/>
              <w:rPr>
                <w:b w:val="0"/>
                <w:bCs/>
                <w:color w:val="auto"/>
                <w:szCs w:val="21"/>
              </w:rPr>
            </w:pPr>
            <w:r>
              <w:rPr>
                <w:rFonts w:hint="eastAsia"/>
                <w:b w:val="0"/>
                <w:bCs/>
                <w:color w:val="auto"/>
                <w:szCs w:val="21"/>
              </w:rPr>
              <w:t>采购项目名称</w:t>
            </w:r>
          </w:p>
        </w:tc>
        <w:tc>
          <w:tcPr>
            <w:tcW w:w="2355" w:type="dxa"/>
            <w:vAlign w:val="center"/>
          </w:tcPr>
          <w:p>
            <w:pPr>
              <w:spacing w:line="360" w:lineRule="auto"/>
              <w:jc w:val="center"/>
              <w:rPr>
                <w:b w:val="0"/>
                <w:bCs/>
                <w:color w:val="auto"/>
                <w:szCs w:val="21"/>
              </w:rPr>
            </w:pPr>
            <w:r>
              <w:rPr>
                <w:rFonts w:hint="eastAsia"/>
                <w:b w:val="0"/>
                <w:bCs/>
                <w:color w:val="auto"/>
                <w:szCs w:val="21"/>
              </w:rPr>
              <w:t>预算</w:t>
            </w:r>
            <w:r>
              <w:rPr>
                <w:rFonts w:hint="eastAsia"/>
                <w:b w:val="0"/>
                <w:bCs/>
                <w:color w:val="auto"/>
                <w:szCs w:val="21"/>
                <w:lang w:val="en-US" w:eastAsia="zh-CN"/>
              </w:rPr>
              <w:t>金额</w:t>
            </w:r>
            <w:r>
              <w:rPr>
                <w:rFonts w:hint="eastAsia"/>
                <w:b w:val="0"/>
                <w:bCs/>
                <w:color w:val="auto"/>
                <w:szCs w:val="21"/>
              </w:rPr>
              <w:t>（元）</w:t>
            </w:r>
          </w:p>
        </w:tc>
      </w:tr>
      <w:tr>
        <w:tblPrEx>
          <w:tblW w:w="8529" w:type="dxa"/>
          <w:tblInd w:w="0" w:type="dxa"/>
          <w:tblLayout w:type="fixed"/>
          <w:tblCellMar>
            <w:top w:w="0" w:type="dxa"/>
            <w:left w:w="108" w:type="dxa"/>
            <w:bottom w:w="0" w:type="dxa"/>
            <w:right w:w="108" w:type="dxa"/>
          </w:tblCellMar>
        </w:tblPrEx>
        <w:trPr>
          <w:trHeight w:val="290"/>
        </w:trPr>
        <w:tc>
          <w:tcPr>
            <w:tcW w:w="413" w:type="dxa"/>
            <w:vAlign w:val="center"/>
          </w:tcPr>
          <w:p>
            <w:pPr>
              <w:spacing w:line="360" w:lineRule="auto"/>
              <w:jc w:val="center"/>
              <w:rPr>
                <w:b w:val="0"/>
                <w:bCs/>
                <w:color w:val="auto"/>
                <w:szCs w:val="21"/>
              </w:rPr>
            </w:pPr>
            <w:r>
              <w:rPr>
                <w:rFonts w:hint="eastAsia"/>
                <w:b w:val="0"/>
                <w:bCs/>
                <w:color w:val="auto"/>
                <w:szCs w:val="21"/>
              </w:rPr>
              <w:t>1</w:t>
            </w:r>
          </w:p>
        </w:tc>
        <w:tc>
          <w:tcPr>
            <w:tcW w:w="2603" w:type="dxa"/>
            <w:vAlign w:val="center"/>
          </w:tcPr>
          <w:p>
            <w:pPr>
              <w:spacing w:line="360" w:lineRule="auto"/>
              <w:jc w:val="center"/>
              <w:rPr>
                <w:b w:val="0"/>
                <w:bCs/>
                <w:color w:val="auto"/>
                <w:szCs w:val="21"/>
              </w:rPr>
            </w:pPr>
            <w:r>
              <w:rPr>
                <w:rFonts w:hint="eastAsia"/>
                <w:b w:val="0"/>
                <w:bCs/>
                <w:color w:val="auto"/>
                <w:szCs w:val="21"/>
              </w:rPr>
              <w:t>PLAN-2025-440307000-022007-11731</w:t>
            </w:r>
          </w:p>
        </w:tc>
        <w:tc>
          <w:tcPr>
            <w:tcW w:w="3158" w:type="dxa"/>
            <w:vAlign w:val="center"/>
          </w:tcPr>
          <w:p>
            <w:pPr>
              <w:spacing w:line="360" w:lineRule="auto"/>
              <w:jc w:val="center"/>
              <w:rPr>
                <w:b w:val="0"/>
                <w:bCs/>
                <w:color w:val="auto"/>
                <w:szCs w:val="21"/>
              </w:rPr>
            </w:pPr>
            <w:r>
              <w:rPr>
                <w:rFonts w:hint="eastAsia"/>
                <w:b w:val="0"/>
                <w:bCs/>
                <w:color w:val="auto"/>
                <w:szCs w:val="21"/>
              </w:rPr>
              <w:t>深圳市龙岗区人民医院物业管理服务</w:t>
            </w:r>
          </w:p>
        </w:tc>
        <w:tc>
          <w:tcPr>
            <w:tcW w:w="2355" w:type="dxa"/>
            <w:vAlign w:val="center"/>
          </w:tcPr>
          <w:p>
            <w:pPr>
              <w:spacing w:line="360" w:lineRule="auto"/>
              <w:jc w:val="center"/>
              <w:rPr>
                <w:b w:val="0"/>
                <w:bCs/>
                <w:color w:val="auto"/>
                <w:szCs w:val="21"/>
              </w:rPr>
            </w:pPr>
            <w:r>
              <w:rPr>
                <w:rFonts w:hint="eastAsia"/>
                <w:b w:val="0"/>
                <w:bCs/>
                <w:color w:val="auto"/>
                <w:szCs w:val="21"/>
              </w:rPr>
              <w:t>38600417.00</w:t>
            </w:r>
          </w:p>
        </w:tc>
      </w:tr>
    </w:tbl>
    <w:p>
      <w:pPr>
        <w:rPr>
          <w:rFonts w:ascii="宋体" w:hAnsi="宋体"/>
          <w:b/>
          <w:color w:val="FF0000"/>
          <w:szCs w:val="21"/>
        </w:rPr>
      </w:pPr>
    </w:p>
    <w:p>
      <w:pPr>
        <w:pStyle w:val="Heading2"/>
        <w:spacing w:before="120" w:beforeLines="50" w:after="120" w:afterLines="50"/>
        <w:rPr>
          <w:rFonts w:hint="eastAsia"/>
          <w:b/>
          <w:bCs/>
          <w:szCs w:val="24"/>
        </w:rPr>
      </w:pPr>
      <w:r>
        <w:rPr>
          <w:rFonts w:hint="eastAsia"/>
          <w:b/>
          <w:bCs/>
          <w:szCs w:val="24"/>
        </w:rPr>
        <w:t>二、项目概况</w:t>
      </w:r>
    </w:p>
    <w:p>
      <w:pPr>
        <w:spacing w:line="360" w:lineRule="auto"/>
        <w:ind w:firstLine="420" w:firstLineChars="200"/>
        <w:jc w:val="left"/>
        <w:rPr>
          <w:rFonts w:hint="eastAsia"/>
          <w:bCs/>
          <w:color w:val="auto"/>
          <w:szCs w:val="21"/>
          <w:highlight w:val="none"/>
        </w:rPr>
      </w:pPr>
      <w:r>
        <w:rPr>
          <w:rFonts w:hint="eastAsia"/>
          <w:bCs/>
          <w:color w:val="auto"/>
          <w:szCs w:val="21"/>
          <w:highlight w:val="none"/>
        </w:rPr>
        <w:t>深圳市龙岗区人民医院[香港中文大学（深圳）附属第二医院]位于龙岗区中心城爱心路53号，是一所学科齐全、设备先进、技术力量雄厚，集急救、医疗、科研、教学、预防保健为一体综合性三级甲等医院。院本部、下属社康服务中心（22个）及院外原坪山制剂中心的总面积约为184177.07平方米，编制床位1000张(实际开放905张）。</w:t>
      </w:r>
    </w:p>
    <w:p>
      <w:pPr>
        <w:spacing w:line="360" w:lineRule="auto"/>
        <w:ind w:firstLine="420" w:firstLineChars="200"/>
        <w:jc w:val="left"/>
        <w:rPr>
          <w:rFonts w:hint="eastAsia"/>
          <w:bCs/>
          <w:color w:val="auto"/>
          <w:sz w:val="21"/>
          <w:szCs w:val="21"/>
          <w:highlight w:val="none"/>
        </w:rPr>
      </w:pPr>
      <w:r>
        <w:rPr>
          <w:rFonts w:hint="eastAsia"/>
          <w:bCs/>
          <w:color w:val="auto"/>
          <w:szCs w:val="21"/>
          <w:highlight w:val="none"/>
        </w:rPr>
        <w:t>为做好医院各项管理服务工作，确保医院安全</w:t>
      </w:r>
      <w:r>
        <w:rPr>
          <w:rFonts w:hint="eastAsia"/>
          <w:bCs/>
          <w:color w:val="auto"/>
          <w:szCs w:val="21"/>
          <w:highlight w:val="none"/>
          <w:lang w:val="en-US" w:eastAsia="zh-CN"/>
        </w:rPr>
        <w:t>和</w:t>
      </w:r>
      <w:r>
        <w:rPr>
          <w:rFonts w:hint="eastAsia"/>
          <w:bCs/>
          <w:color w:val="auto"/>
          <w:szCs w:val="21"/>
          <w:highlight w:val="none"/>
        </w:rPr>
        <w:t>高效</w:t>
      </w:r>
      <w:r>
        <w:rPr>
          <w:rFonts w:hint="eastAsia"/>
          <w:bCs/>
          <w:color w:val="auto"/>
          <w:szCs w:val="21"/>
          <w:highlight w:val="none"/>
          <w:lang w:val="en-US" w:eastAsia="zh-CN"/>
        </w:rPr>
        <w:t>地</w:t>
      </w:r>
      <w:r>
        <w:rPr>
          <w:rFonts w:hint="eastAsia"/>
          <w:bCs/>
          <w:color w:val="auto"/>
          <w:szCs w:val="21"/>
          <w:highlight w:val="none"/>
        </w:rPr>
        <w:t>运行，要求具有符合我院实际的信息化技术管理资源、善于利用信息及互联网平台对日常管理服务工作进行高效管控、具备高素质和相应管理经验的物业公司承担我院的工程管理服务、环境美化服务、秩序维护服务、医疗辅助服务及其他相关服务工作。</w:t>
      </w:r>
    </w:p>
    <w:p>
      <w:pPr>
        <w:ind w:firstLine="420" w:firstLineChars="200"/>
        <w:rPr>
          <w:sz w:val="24"/>
          <w:highlight w:val="none"/>
        </w:rPr>
      </w:pPr>
    </w:p>
    <w:p>
      <w:pPr>
        <w:pStyle w:val="Heading2"/>
        <w:spacing w:before="120" w:beforeLines="50" w:after="120" w:afterLines="50"/>
        <w:rPr>
          <w:rFonts w:ascii="Times New Roman" w:hAnsi="Times New Roman" w:hint="eastAsia"/>
          <w:b/>
          <w:bCs/>
          <w:color w:val="FF0000"/>
          <w:szCs w:val="24"/>
          <w:highlight w:val="none"/>
        </w:rPr>
      </w:pPr>
    </w:p>
    <w:p>
      <w:pPr>
        <w:pStyle w:val="Heading2"/>
        <w:spacing w:before="120" w:beforeLines="50" w:after="120" w:afterLines="50"/>
        <w:rPr>
          <w:rFonts w:hint="eastAsia"/>
          <w:b/>
          <w:bCs/>
          <w:szCs w:val="24"/>
          <w:highlight w:val="none"/>
        </w:rPr>
      </w:pPr>
      <w:r>
        <w:rPr>
          <w:rFonts w:hint="eastAsia"/>
          <w:b/>
          <w:bCs/>
          <w:szCs w:val="24"/>
          <w:highlight w:val="none"/>
        </w:rPr>
        <w:t>三、</w:t>
      </w:r>
      <w:bookmarkStart w:id="31" w:name="_Hlk72073432"/>
      <w:r>
        <w:rPr>
          <w:rFonts w:hint="eastAsia"/>
          <w:b/>
          <w:bCs/>
          <w:szCs w:val="24"/>
          <w:highlight w:val="none"/>
        </w:rPr>
        <w:t>服务需求明细</w:t>
      </w:r>
      <w:bookmarkEnd w:id="31"/>
    </w:p>
    <w:tbl>
      <w:tblPr>
        <w:tblStyle w:val="TableNormal"/>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26"/>
        <w:gridCol w:w="3576"/>
        <w:gridCol w:w="1775"/>
        <w:gridCol w:w="494"/>
        <w:gridCol w:w="426"/>
        <w:gridCol w:w="987"/>
        <w:gridCol w:w="840"/>
      </w:tblGrid>
      <w:tr>
        <w:tblPrEx>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170"/>
          <w:jc w:val="center"/>
        </w:trPr>
        <w:tc>
          <w:tcPr>
            <w:tcW w:w="252"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序号</w:t>
            </w:r>
          </w:p>
        </w:tc>
        <w:tc>
          <w:tcPr>
            <w:tcW w:w="674"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采购计划编号</w:t>
            </w:r>
          </w:p>
        </w:tc>
        <w:tc>
          <w:tcPr>
            <w:tcW w:w="1512"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服务需求名称（标的名称）</w:t>
            </w:r>
          </w:p>
        </w:tc>
        <w:tc>
          <w:tcPr>
            <w:tcW w:w="527"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数量</w:t>
            </w:r>
          </w:p>
        </w:tc>
        <w:tc>
          <w:tcPr>
            <w:tcW w:w="481"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单位</w:t>
            </w:r>
          </w:p>
        </w:tc>
        <w:tc>
          <w:tcPr>
            <w:tcW w:w="821"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lang w:val="en-US" w:eastAsia="zh-CN"/>
              </w:rPr>
              <w:t>是否专门面向中小企业</w:t>
            </w:r>
          </w:p>
        </w:tc>
        <w:tc>
          <w:tcPr>
            <w:tcW w:w="729"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lang w:val="en-US" w:eastAsia="zh-CN"/>
              </w:rPr>
            </w:pPr>
            <w:r>
              <w:rPr>
                <w:rFonts w:asciiTheme="majorEastAsia" w:eastAsiaTheme="majorEastAsia" w:hAnsiTheme="majorEastAsia" w:cstheme="majorEastAsia" w:hint="eastAsia"/>
                <w:b w:val="0"/>
                <w:bCs/>
                <w:color w:val="auto"/>
                <w:szCs w:val="21"/>
                <w:highlight w:val="none"/>
                <w:lang w:val="en-US" w:eastAsia="zh-CN"/>
              </w:rPr>
              <w:t>标的所属行业</w:t>
            </w:r>
          </w:p>
        </w:tc>
      </w:tr>
      <w:tr>
        <w:tblPrEx>
          <w:tblW w:w="4997" w:type="pct"/>
          <w:jc w:val="center"/>
          <w:tblCellMar>
            <w:top w:w="0" w:type="dxa"/>
            <w:left w:w="108" w:type="dxa"/>
            <w:bottom w:w="0" w:type="dxa"/>
            <w:right w:w="108" w:type="dxa"/>
          </w:tblCellMar>
        </w:tblPrEx>
        <w:trPr>
          <w:trHeight w:val="170"/>
          <w:jc w:val="center"/>
        </w:trPr>
        <w:tc>
          <w:tcPr>
            <w:tcW w:w="252"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1</w:t>
            </w:r>
          </w:p>
        </w:tc>
        <w:tc>
          <w:tcPr>
            <w:tcW w:w="674"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 w:val="21"/>
                <w:szCs w:val="21"/>
                <w:highlight w:val="none"/>
              </w:rPr>
              <w:t>PLAN-2025-440307000-022007-11731</w:t>
            </w:r>
          </w:p>
        </w:tc>
        <w:tc>
          <w:tcPr>
            <w:tcW w:w="1512"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深圳市龙岗区人民医院物业管理服务</w:t>
            </w:r>
          </w:p>
        </w:tc>
        <w:tc>
          <w:tcPr>
            <w:tcW w:w="527"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lang w:eastAsia="zh-CN"/>
              </w:rPr>
            </w:pPr>
            <w:r>
              <w:rPr>
                <w:rFonts w:asciiTheme="majorEastAsia" w:eastAsiaTheme="majorEastAsia" w:hAnsiTheme="majorEastAsia" w:cstheme="majorEastAsia" w:hint="eastAsia"/>
                <w:b w:val="0"/>
                <w:bCs/>
                <w:color w:val="auto"/>
                <w:szCs w:val="21"/>
                <w:highlight w:val="none"/>
                <w:lang w:val="en-US" w:eastAsia="zh-CN"/>
              </w:rPr>
              <w:t>1</w:t>
            </w:r>
          </w:p>
        </w:tc>
        <w:tc>
          <w:tcPr>
            <w:tcW w:w="481"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lang w:val="en-US" w:eastAsia="zh-CN"/>
              </w:rPr>
            </w:pPr>
            <w:r>
              <w:rPr>
                <w:rFonts w:asciiTheme="majorEastAsia" w:eastAsiaTheme="majorEastAsia" w:hAnsiTheme="majorEastAsia" w:cstheme="majorEastAsia" w:hint="eastAsia"/>
                <w:b w:val="0"/>
                <w:bCs/>
                <w:color w:val="auto"/>
                <w:szCs w:val="21"/>
                <w:highlight w:val="none"/>
                <w:lang w:val="en-US" w:eastAsia="zh-CN"/>
              </w:rPr>
              <w:t>项</w:t>
            </w:r>
          </w:p>
        </w:tc>
        <w:tc>
          <w:tcPr>
            <w:tcW w:w="821"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lang w:val="en-US" w:eastAsia="zh-CN"/>
              </w:rPr>
            </w:pPr>
            <w:r>
              <w:rPr>
                <w:rFonts w:asciiTheme="majorEastAsia" w:eastAsiaTheme="majorEastAsia" w:hAnsiTheme="majorEastAsia" w:cstheme="majorEastAsia" w:hint="eastAsia"/>
                <w:b w:val="0"/>
                <w:bCs/>
                <w:color w:val="auto"/>
                <w:szCs w:val="21"/>
                <w:highlight w:val="none"/>
                <w:lang w:val="en-US" w:eastAsia="zh-CN"/>
              </w:rPr>
              <w:t>否</w:t>
            </w:r>
          </w:p>
        </w:tc>
        <w:tc>
          <w:tcPr>
            <w:tcW w:w="729" w:type="pct"/>
            <w:vAlign w:val="center"/>
          </w:tcPr>
          <w:p>
            <w:pPr>
              <w:spacing w:line="360" w:lineRule="auto"/>
              <w:jc w:val="center"/>
              <w:rPr>
                <w:rFonts w:asciiTheme="majorEastAsia" w:eastAsiaTheme="majorEastAsia" w:hAnsiTheme="majorEastAsia" w:cstheme="majorEastAsia" w:hint="eastAsia"/>
                <w:b w:val="0"/>
                <w:bCs/>
                <w:color w:val="auto"/>
                <w:szCs w:val="21"/>
                <w:highlight w:val="none"/>
              </w:rPr>
            </w:pPr>
            <w:r>
              <w:rPr>
                <w:rFonts w:asciiTheme="majorEastAsia" w:eastAsiaTheme="majorEastAsia" w:hAnsiTheme="majorEastAsia" w:cstheme="majorEastAsia" w:hint="eastAsia"/>
                <w:b w:val="0"/>
                <w:bCs/>
                <w:color w:val="auto"/>
                <w:szCs w:val="21"/>
                <w:highlight w:val="none"/>
              </w:rPr>
              <w:t>物业管理</w:t>
            </w:r>
          </w:p>
        </w:tc>
      </w:tr>
    </w:tbl>
    <w:p>
      <w:pPr>
        <w:rPr>
          <w:rFonts w:ascii="宋体" w:hAnsi="宋体"/>
          <w:b/>
          <w:color w:val="FF0000"/>
          <w:szCs w:val="21"/>
          <w:highlight w:val="none"/>
        </w:rPr>
      </w:pPr>
    </w:p>
    <w:p>
      <w:pPr>
        <w:pStyle w:val="Heading2"/>
        <w:spacing w:before="120" w:beforeLines="50" w:after="120" w:afterLines="50"/>
        <w:rPr>
          <w:rFonts w:hint="eastAsia"/>
          <w:b/>
          <w:bCs/>
          <w:szCs w:val="24"/>
          <w:highlight w:val="none"/>
        </w:rPr>
      </w:pPr>
      <w:r>
        <w:rPr>
          <w:rFonts w:hint="eastAsia"/>
          <w:b/>
          <w:bCs/>
          <w:szCs w:val="24"/>
          <w:highlight w:val="none"/>
        </w:rPr>
        <w:t>四、实质性条款</w:t>
      </w:r>
    </w:p>
    <w:tbl>
      <w:tblPr>
        <w:tblStyle w:val="TableNormal"/>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34"/>
        <w:gridCol w:w="7795"/>
      </w:tblGrid>
      <w:tr>
        <w:tblPrEx>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734" w:type="dxa"/>
          </w:tcPr>
          <w:p>
            <w:pPr>
              <w:adjustRightInd w:val="0"/>
              <w:snapToGrid w:val="0"/>
              <w:spacing w:line="360" w:lineRule="auto"/>
              <w:jc w:val="center"/>
              <w:rPr>
                <w:rFonts w:ascii="宋体" w:hAnsi="宋体"/>
                <w:kern w:val="0"/>
                <w:szCs w:val="21"/>
                <w:highlight w:val="none"/>
              </w:rPr>
            </w:pPr>
            <w:r>
              <w:rPr>
                <w:rFonts w:ascii="宋体" w:hAnsi="宋体" w:hint="eastAsia"/>
                <w:kern w:val="0"/>
                <w:szCs w:val="21"/>
                <w:highlight w:val="none"/>
              </w:rPr>
              <w:t>序号</w:t>
            </w:r>
          </w:p>
        </w:tc>
        <w:tc>
          <w:tcPr>
            <w:tcW w:w="7795" w:type="dxa"/>
          </w:tcPr>
          <w:p>
            <w:pPr>
              <w:adjustRightInd w:val="0"/>
              <w:snapToGrid w:val="0"/>
              <w:spacing w:line="360" w:lineRule="auto"/>
              <w:jc w:val="center"/>
              <w:rPr>
                <w:rFonts w:ascii="宋体" w:hAnsi="宋体"/>
                <w:kern w:val="0"/>
                <w:szCs w:val="21"/>
                <w:highlight w:val="none"/>
              </w:rPr>
            </w:pPr>
            <w:r>
              <w:rPr>
                <w:rFonts w:ascii="宋体" w:hAnsi="宋体" w:hint="eastAsia"/>
                <w:kern w:val="0"/>
                <w:szCs w:val="21"/>
                <w:highlight w:val="none"/>
              </w:rPr>
              <w:t>实质性条款具体内容</w:t>
            </w:r>
          </w:p>
        </w:tc>
      </w:tr>
      <w:tr>
        <w:tblPrEx>
          <w:tblW w:w="8529" w:type="dxa"/>
          <w:tblInd w:w="0" w:type="dxa"/>
          <w:tblLayout w:type="fixed"/>
          <w:tblCellMar>
            <w:top w:w="0" w:type="dxa"/>
            <w:left w:w="108" w:type="dxa"/>
            <w:bottom w:w="0" w:type="dxa"/>
            <w:right w:w="108" w:type="dxa"/>
          </w:tblCellMar>
        </w:tblPrEx>
        <w:tc>
          <w:tcPr>
            <w:tcW w:w="734" w:type="dxa"/>
          </w:tcPr>
          <w:p>
            <w:pPr>
              <w:adjustRightInd w:val="0"/>
              <w:snapToGrid w:val="0"/>
              <w:spacing w:line="360" w:lineRule="auto"/>
              <w:rPr>
                <w:rFonts w:ascii="宋体" w:hAnsi="宋体"/>
                <w:kern w:val="0"/>
                <w:szCs w:val="21"/>
                <w:highlight w:val="none"/>
              </w:rPr>
            </w:pPr>
            <w:r>
              <w:rPr>
                <w:rFonts w:ascii="宋体" w:hAnsi="宋体" w:hint="eastAsia"/>
                <w:kern w:val="0"/>
                <w:szCs w:val="21"/>
                <w:highlight w:val="none"/>
              </w:rPr>
              <w:t>1</w:t>
            </w:r>
          </w:p>
        </w:tc>
        <w:tc>
          <w:tcPr>
            <w:tcW w:w="7795" w:type="dxa"/>
          </w:tcPr>
          <w:p>
            <w:pPr>
              <w:spacing w:line="360" w:lineRule="auto"/>
              <w:rPr>
                <w:rFonts w:hAnsi="宋体" w:eastAsiaTheme="minorEastAsia"/>
                <w:kern w:val="0"/>
                <w:szCs w:val="21"/>
                <w:highlight w:val="none"/>
              </w:rPr>
            </w:pPr>
            <w:r>
              <w:rPr>
                <w:rFonts w:ascii="宋体" w:eastAsia="宋体" w:hAnsi="宋体" w:cs="宋体" w:hint="eastAsia"/>
                <w:color w:val="000000"/>
                <w:kern w:val="0"/>
                <w:sz w:val="21"/>
                <w:szCs w:val="21"/>
                <w:highlight w:val="none"/>
                <w:lang w:val="en-US" w:eastAsia="zh-CN"/>
              </w:rPr>
              <w:t xml:space="preserve">本项目招标文件中所有带 ★号条款 </w:t>
            </w:r>
          </w:p>
        </w:tc>
      </w:tr>
    </w:tbl>
    <w:p>
      <w:pPr>
        <w:pStyle w:val="Heading4"/>
        <w:tabs>
          <w:tab w:val="left" w:pos="765"/>
        </w:tabs>
        <w:spacing w:line="360" w:lineRule="auto"/>
        <w:rPr>
          <w:rFonts w:ascii="黑体"/>
          <w:b w:val="0"/>
          <w:kern w:val="0"/>
          <w:sz w:val="21"/>
          <w:szCs w:val="21"/>
          <w:highlight w:val="none"/>
        </w:rPr>
      </w:pPr>
      <w:r>
        <w:rPr>
          <w:rFonts w:ascii="黑体" w:hint="eastAsia"/>
          <w:b w:val="0"/>
          <w:kern w:val="0"/>
          <w:sz w:val="21"/>
          <w:szCs w:val="21"/>
          <w:highlight w:val="none"/>
        </w:rPr>
        <w:t>注：上表所列内容为不可负偏离条款，负偏离将视为未实质性满足招标文件要求作投标无效处理。</w:t>
      </w:r>
      <w:bookmarkEnd w:id="30"/>
    </w:p>
    <w:p>
      <w:pPr>
        <w:rPr>
          <w:rFonts w:hint="eastAsia"/>
          <w:b/>
          <w:bCs/>
          <w:kern w:val="0"/>
          <w:sz w:val="24"/>
          <w:highlight w:val="none"/>
        </w:rPr>
      </w:pPr>
    </w:p>
    <w:p>
      <w:pPr>
        <w:pStyle w:val="Heading2"/>
        <w:spacing w:before="120" w:beforeLines="50" w:after="120" w:afterLines="50"/>
        <w:rPr>
          <w:rFonts w:hint="eastAsia"/>
          <w:b/>
          <w:bCs/>
          <w:szCs w:val="24"/>
          <w:highlight w:val="none"/>
        </w:rPr>
      </w:pPr>
      <w:r>
        <w:rPr>
          <w:rFonts w:hint="eastAsia"/>
          <w:b/>
          <w:bCs/>
          <w:szCs w:val="24"/>
          <w:highlight w:val="none"/>
        </w:rPr>
        <w:t>五、技术要求</w:t>
      </w:r>
    </w:p>
    <w:p>
      <w:pPr>
        <w:spacing w:line="360" w:lineRule="auto"/>
        <w:rPr>
          <w:rFonts w:asciiTheme="majorEastAsia" w:eastAsiaTheme="majorEastAsia" w:hAnsiTheme="majorEastAsia" w:cstheme="majorEastAsia" w:hint="eastAsia"/>
          <w:b/>
          <w:sz w:val="21"/>
          <w:szCs w:val="21"/>
          <w:highlight w:val="none"/>
        </w:rPr>
      </w:pPr>
    </w:p>
    <w:p>
      <w:pPr>
        <w:pStyle w:val="Heading2"/>
        <w:pageBreakBefore w:val="0"/>
        <w:kinsoku/>
        <w:wordWrap/>
        <w:overflowPunct/>
        <w:autoSpaceDE/>
        <w:autoSpaceDN/>
        <w:bidi w:val="0"/>
        <w:spacing w:line="360" w:lineRule="auto"/>
        <w:ind w:firstLine="482"/>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lang w:val="en-US" w:eastAsia="zh-CN"/>
        </w:rPr>
        <w:t>一</w:t>
      </w: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rPr>
        <w:t>基本情况</w:t>
      </w:r>
    </w:p>
    <w:p>
      <w:pPr>
        <w:pageBreakBefore w:val="0"/>
        <w:kinsoku/>
        <w:wordWrap/>
        <w:overflowPunct/>
        <w:autoSpaceDE/>
        <w:autoSpaceDN/>
        <w:bidi w:val="0"/>
        <w:spacing w:line="360" w:lineRule="auto"/>
        <w:ind w:firstLine="420"/>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深圳市龙岗区人民医院[香港中文大学（深圳）附属第二医院]位于龙岗区中心城爱心路53号，是一所学科齐全、设备先进、技术力量雄厚，集急救、医疗、科研、教学、预防保健为一体综合性三级甲等医院。院本部、下属社康服务中心（22个）及院外原坪山制剂中心的总面积约为184177.07平方米，编制床位1000张(实际开放905张）。</w:t>
      </w:r>
    </w:p>
    <w:p>
      <w:pPr>
        <w:pageBreakBefore w:val="0"/>
        <w:kinsoku/>
        <w:wordWrap/>
        <w:overflowPunct/>
        <w:autoSpaceDE/>
        <w:autoSpaceDN/>
        <w:bidi w:val="0"/>
        <w:spacing w:line="360" w:lineRule="auto"/>
        <w:ind w:firstLine="420"/>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为做好医院各项管理服务工作，确保医院安全</w:t>
      </w:r>
      <w:r>
        <w:rPr>
          <w:rFonts w:asciiTheme="majorEastAsia" w:eastAsiaTheme="majorEastAsia" w:hAnsiTheme="majorEastAsia" w:cstheme="majorEastAsia" w:hint="eastAsia"/>
          <w:b w:val="0"/>
          <w:bCs w:val="0"/>
          <w:color w:val="auto"/>
          <w:sz w:val="21"/>
          <w:szCs w:val="21"/>
          <w:highlight w:val="none"/>
          <w:lang w:val="en-US" w:eastAsia="zh-CN"/>
        </w:rPr>
        <w:t>和</w:t>
      </w:r>
      <w:r>
        <w:rPr>
          <w:rFonts w:asciiTheme="majorEastAsia" w:eastAsiaTheme="majorEastAsia" w:hAnsiTheme="majorEastAsia" w:cstheme="majorEastAsia" w:hint="eastAsia"/>
          <w:b w:val="0"/>
          <w:bCs w:val="0"/>
          <w:color w:val="auto"/>
          <w:sz w:val="21"/>
          <w:szCs w:val="21"/>
          <w:highlight w:val="none"/>
        </w:rPr>
        <w:t>高效</w:t>
      </w:r>
      <w:r>
        <w:rPr>
          <w:rFonts w:asciiTheme="majorEastAsia" w:eastAsiaTheme="majorEastAsia" w:hAnsiTheme="majorEastAsia" w:cstheme="majorEastAsia" w:hint="eastAsia"/>
          <w:b w:val="0"/>
          <w:bCs w:val="0"/>
          <w:color w:val="auto"/>
          <w:sz w:val="21"/>
          <w:szCs w:val="21"/>
          <w:highlight w:val="none"/>
          <w:lang w:val="en-US" w:eastAsia="zh-CN"/>
        </w:rPr>
        <w:t>地</w:t>
      </w:r>
      <w:r>
        <w:rPr>
          <w:rFonts w:asciiTheme="majorEastAsia" w:eastAsiaTheme="majorEastAsia" w:hAnsiTheme="majorEastAsia" w:cstheme="majorEastAsia" w:hint="eastAsia"/>
          <w:b w:val="0"/>
          <w:bCs w:val="0"/>
          <w:color w:val="auto"/>
          <w:sz w:val="21"/>
          <w:szCs w:val="21"/>
          <w:highlight w:val="none"/>
        </w:rPr>
        <w:t>运行，要求具有符合我院实际的信息化技术管理资源、善于利用信息及互联网平台对日常管理服务工作进行高效管控、具备高素质和相应管理经验的物业公司承担我院的工程管理服务、环境美化服务、秩序维护服务、医疗辅助服务及其他相关服务工作。</w:t>
      </w:r>
    </w:p>
    <w:p>
      <w:pPr>
        <w:pageBreakBefore w:val="0"/>
        <w:kinsoku/>
        <w:wordWrap/>
        <w:overflowPunct/>
        <w:autoSpaceDE/>
        <w:autoSpaceDN/>
        <w:bidi w:val="0"/>
        <w:spacing w:line="360" w:lineRule="auto"/>
        <w:ind w:firstLine="420"/>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本项目主要建筑物包含门诊楼、住院部、健康大楼、宿舍楼、22个社康中心和制剂中心等（主要建筑物将根据医院运营实际情况确定），具体如下：</w:t>
      </w:r>
    </w:p>
    <w:tbl>
      <w:tblPr>
        <w:tblStyle w:val="TableNormal"/>
        <w:tblW w:w="5000" w:type="pct"/>
        <w:jc w:val="center"/>
        <w:tblCellMar>
          <w:top w:w="0" w:type="dxa"/>
          <w:left w:w="108" w:type="dxa"/>
          <w:bottom w:w="0" w:type="dxa"/>
          <w:right w:w="108" w:type="dxa"/>
        </w:tblCellMar>
      </w:tblPr>
      <w:tblGrid>
        <w:gridCol w:w="848"/>
        <w:gridCol w:w="5175"/>
        <w:gridCol w:w="2506"/>
      </w:tblGrid>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序号</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建筑物名称</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建筑面积（单位：㎡）</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门诊综合大楼</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32485.62</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住院楼</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58152.26</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食堂综合楼</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2099.4</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A、B栋宿舍楼</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3352.57</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前排门楼（院前科）</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409.34</w:t>
            </w:r>
          </w:p>
        </w:tc>
      </w:tr>
      <w:tr>
        <w:tblPrEx>
          <w:tblW w:w="5000" w:type="pct"/>
          <w:jc w:val="center"/>
          <w:tblCellMar>
            <w:top w:w="0" w:type="dxa"/>
            <w:left w:w="108" w:type="dxa"/>
            <w:bottom w:w="0" w:type="dxa"/>
            <w:right w:w="108" w:type="dxa"/>
          </w:tblCellMar>
        </w:tblPrEx>
        <w:trPr>
          <w:trHeight w:val="576"/>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前排门楼（感染科）（现精神心理门诊—2021年）</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505.21</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发电机房（现高压氧舱）</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262.3</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消毒供应室</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1463.63</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9</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原洗衣房（现总务仓库）</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284.68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10</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污水处理站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884.88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11</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洗衣房</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256.68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12</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设备仓库</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253.77</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13</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垃圾暂存点</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535.58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14</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前排门楼（保卫科）</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315.58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15</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发热门诊</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1948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16</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健康大楼</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60842.56</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17</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原坪山制剂中心</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3571.85</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18</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深圳市龙岗区人民医院清林半山社区健康服务站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1000.27</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19</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深圳市龙岗区人民医院中心城社区健康服务站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688.64</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20</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深圳市龙岗区人民医院尚景社区健康服务站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575.99</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21</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深圳市龙岗区人民医院千林山居社区健康服务站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580.63</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22</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深圳市龙岗区人民医院紫薇社区健康服务中心</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1651.59</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23</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深圳市龙岗区人民医院龙翔社区健康服务站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332</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24</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深圳市龙岗区人民医院中央悦城社区健康服务站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576.16</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25</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深圳市龙岗区人民医院翰邻城社区健康服务中心</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1100</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26</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深圳市龙岗区人民医院御府名筑社区健康服务站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654.11</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27</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深圳市龙岗区人民医院学府道社区健康服务站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397.98</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28</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深圳市龙岗区人民医院公园大地社区健康服务站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858.2</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29</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深圳市龙岗区人民医院龙禧社区健康服务站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411.32</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30</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深圳市龙岗区人民医院麓园社区健康服务站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609.22</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31</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深圳市龙岗区人民医院鸿威社区健康服务站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402.84</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32</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深圳市龙岗区人民医院悦澜山社区健康服务站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404.19</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33</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深圳市龙岗区人民医院吉祥里社区健康服务站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607.11</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34</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深圳市龙岗区人民医院天安云谷社区健康服务站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607.72</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35</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深圳市龙岗区人民医院龙平紫园社区健康服务站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437.35</w:t>
            </w:r>
          </w:p>
        </w:tc>
      </w:tr>
      <w:tr>
        <w:tblPrEx>
          <w:tblW w:w="5000" w:type="pct"/>
          <w:jc w:val="center"/>
          <w:tblCellMar>
            <w:top w:w="0" w:type="dxa"/>
            <w:left w:w="108" w:type="dxa"/>
            <w:bottom w:w="0" w:type="dxa"/>
            <w:right w:w="108" w:type="dxa"/>
          </w:tblCellMar>
        </w:tblPrEx>
        <w:trPr>
          <w:trHeight w:val="576"/>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36</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深圳市龙岗区人民医院香港中文大学（深圳）社区健康服务站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370</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37</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深圳市龙岗区人民医院五联社区卫生服务中心</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1887</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38</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深圳市龙岗区深港科技园社区健康服务中心</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1400.84</w:t>
            </w:r>
          </w:p>
        </w:tc>
      </w:tr>
      <w:tr>
        <w:tblPrEx>
          <w:tblW w:w="5000" w:type="pct"/>
          <w:jc w:val="center"/>
          <w:tblCellMar>
            <w:top w:w="0" w:type="dxa"/>
            <w:left w:w="108" w:type="dxa"/>
            <w:bottom w:w="0" w:type="dxa"/>
            <w:right w:w="108" w:type="dxa"/>
          </w:tblCellMar>
        </w:tblPrEx>
        <w:trPr>
          <w:trHeight w:val="312"/>
          <w:jc w:val="center"/>
        </w:trPr>
        <w:tc>
          <w:tcPr>
            <w:tcW w:w="497"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39</w:t>
            </w:r>
          </w:p>
        </w:tc>
        <w:tc>
          <w:tcPr>
            <w:tcW w:w="3033" w:type="pct"/>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深圳市龙岗区岗宏社区健康服务站</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1000</w:t>
            </w:r>
          </w:p>
        </w:tc>
      </w:tr>
      <w:tr>
        <w:tblPrEx>
          <w:tblW w:w="5000" w:type="pct"/>
          <w:jc w:val="center"/>
          <w:tblCellMar>
            <w:top w:w="0" w:type="dxa"/>
            <w:left w:w="108" w:type="dxa"/>
            <w:bottom w:w="0" w:type="dxa"/>
            <w:right w:w="108" w:type="dxa"/>
          </w:tblCellMar>
        </w:tblPrEx>
        <w:trPr>
          <w:trHeight w:val="312"/>
          <w:jc w:val="center"/>
        </w:trPr>
        <w:tc>
          <w:tcPr>
            <w:tcW w:w="3530" w:type="pct"/>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left="181" w:firstLine="442" w:leftChars="86"/>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合计</w:t>
            </w:r>
          </w:p>
        </w:tc>
        <w:tc>
          <w:tcPr>
            <w:tcW w:w="1469" w:type="pc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bottom"/>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184177.07</w:t>
            </w:r>
          </w:p>
        </w:tc>
      </w:tr>
    </w:tbl>
    <w:p>
      <w:pPr>
        <w:pageBreakBefore w:val="0"/>
        <w:kinsoku/>
        <w:wordWrap/>
        <w:overflowPunct/>
        <w:autoSpaceDE/>
        <w:autoSpaceDN/>
        <w:bidi w:val="0"/>
        <w:spacing w:line="360" w:lineRule="auto"/>
        <w:ind w:firstLine="420"/>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本项目涉及到的采购人重要设备清单如下（根据医院实际情况调整）：</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305"/>
        <w:gridCol w:w="4355"/>
        <w:gridCol w:w="1491"/>
        <w:gridCol w:w="1378"/>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05"/>
        </w:trPr>
        <w:tc>
          <w:tcPr>
            <w:tcW w:w="765"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序号</w:t>
            </w: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设备名称</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单位</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数量</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多联式机组空调</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套</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180</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太阳能热泵机组</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套</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9</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循环泵</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18</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混水泵</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加压泵</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储水箱</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加热水箱</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发电机组</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变压器</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13</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低压配电柜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68</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给水泵</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稳压给水泵</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变频器</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加压给水泵</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气压罐</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水箱、水池</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组</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13</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干式变压器</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个</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直流电源柜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高压柜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17</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高压环网柜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直饮水机</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224</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排烟系统</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套</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28</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高压电源进线柜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高压电源计量柜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高压电源PT柜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分高压室出线柜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变压器出线柜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备用柜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高压联络柜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提升柜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进线辅柜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低压进线柜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低压电容补偿柜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低压有源滤波器柜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低压出线柜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33</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16"/>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低压双电源自动转换柜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低压电容补偿柜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低压电容补偿主柜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低压电容补偿辅柜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低压联络柜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低压分段控制柜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发动机电源进线柜</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shd w:val="clear" w:color="000000" w:fill="FFFFFF"/>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shd w:val="clear" w:color="000000" w:fill="FFFFFF"/>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直流屏</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405"/>
        </w:trPr>
        <w:tc>
          <w:tcPr>
            <w:tcW w:w="765" w:type="pct"/>
            <w:shd w:val="clear" w:color="000000" w:fill="FFFFFF"/>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shd w:val="clear" w:color="000000" w:fill="FFFFFF"/>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隔油机</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405"/>
        </w:trPr>
        <w:tc>
          <w:tcPr>
            <w:tcW w:w="765" w:type="pct"/>
            <w:shd w:val="clear" w:color="000000" w:fill="FFFFFF"/>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shd w:val="clear" w:color="000000" w:fill="FFFFFF"/>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分体空调</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576</w:t>
            </w:r>
          </w:p>
        </w:tc>
      </w:tr>
      <w:tr>
        <w:tblPrEx>
          <w:tblW w:w="5000" w:type="pct"/>
          <w:tblInd w:w="0" w:type="dxa"/>
          <w:tblCellMar>
            <w:top w:w="0" w:type="dxa"/>
            <w:left w:w="108" w:type="dxa"/>
            <w:bottom w:w="0" w:type="dxa"/>
            <w:right w:w="108" w:type="dxa"/>
          </w:tblCellMar>
        </w:tblPrEx>
        <w:trPr>
          <w:trHeight w:val="405"/>
        </w:trPr>
        <w:tc>
          <w:tcPr>
            <w:tcW w:w="765" w:type="pct"/>
            <w:shd w:val="clear" w:color="000000" w:fill="FFFFFF"/>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shd w:val="clear" w:color="000000" w:fill="FFFFFF"/>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柜机</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105</w:t>
            </w:r>
          </w:p>
        </w:tc>
      </w:tr>
      <w:tr>
        <w:tblPrEx>
          <w:tblW w:w="5000" w:type="pct"/>
          <w:tblInd w:w="0" w:type="dxa"/>
          <w:tblCellMar>
            <w:top w:w="0" w:type="dxa"/>
            <w:left w:w="108" w:type="dxa"/>
            <w:bottom w:w="0" w:type="dxa"/>
            <w:right w:w="108" w:type="dxa"/>
          </w:tblCellMar>
        </w:tblPrEx>
        <w:trPr>
          <w:trHeight w:val="405"/>
        </w:trPr>
        <w:tc>
          <w:tcPr>
            <w:tcW w:w="765" w:type="pct"/>
            <w:shd w:val="clear" w:color="000000" w:fill="FFFFFF"/>
            <w:vAlign w:val="center"/>
          </w:tcPr>
          <w:p>
            <w:pPr>
              <w:pStyle w:val="ListParagraph"/>
              <w:pageBreakBefore w:val="0"/>
              <w:numPr>
                <w:ilvl w:val="0"/>
                <w:numId w:val="10"/>
              </w:numPr>
              <w:tabs>
                <w:tab w:val="left" w:pos="0"/>
              </w:tabs>
              <w:kinsoku/>
              <w:wordWrap/>
              <w:overflowPunct/>
              <w:autoSpaceDE/>
              <w:autoSpaceDN/>
              <w:bidi w:val="0"/>
              <w:spacing w:line="360" w:lineRule="auto"/>
              <w:ind w:left="0" w:firstLine="0" w:firstLineChars="0"/>
              <w:jc w:val="center"/>
              <w:rPr>
                <w:rFonts w:asciiTheme="majorEastAsia" w:eastAsiaTheme="majorEastAsia" w:hAnsiTheme="majorEastAsia" w:cstheme="majorEastAsia" w:hint="eastAsia"/>
                <w:b w:val="0"/>
                <w:bCs w:val="0"/>
                <w:color w:val="auto"/>
                <w:kern w:val="0"/>
                <w:sz w:val="21"/>
                <w:szCs w:val="21"/>
                <w:highlight w:val="none"/>
              </w:rPr>
            </w:pPr>
          </w:p>
        </w:tc>
        <w:tc>
          <w:tcPr>
            <w:tcW w:w="2553" w:type="pct"/>
            <w:shd w:val="clear" w:color="000000" w:fill="FFFFFF"/>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天花机</w:t>
            </w:r>
          </w:p>
        </w:tc>
        <w:tc>
          <w:tcPr>
            <w:tcW w:w="8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台</w:t>
            </w:r>
          </w:p>
        </w:tc>
        <w:tc>
          <w:tcPr>
            <w:tcW w:w="80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123</w:t>
            </w:r>
          </w:p>
        </w:tc>
      </w:tr>
    </w:tbl>
    <w:p>
      <w:pPr>
        <w:pageBreakBefore w:val="0"/>
        <w:kinsoku/>
        <w:wordWrap/>
        <w:overflowPunct/>
        <w:autoSpaceDE/>
        <w:autoSpaceDN/>
        <w:bidi w:val="0"/>
        <w:spacing w:line="240" w:lineRule="auto"/>
        <w:ind w:firstLine="420"/>
        <w:rPr>
          <w:rFonts w:asciiTheme="minorEastAsia" w:eastAsiaTheme="minorEastAsia" w:hAnsiTheme="minorEastAsia" w:cstheme="minorEastAsia" w:hint="eastAsia"/>
          <w:b w:val="0"/>
          <w:bCs w:val="0"/>
          <w:color w:val="auto"/>
          <w:sz w:val="21"/>
          <w:szCs w:val="21"/>
          <w:highlight w:val="none"/>
        </w:rPr>
      </w:pPr>
    </w:p>
    <w:p>
      <w:pPr>
        <w:pStyle w:val="Heading2"/>
        <w:pageBreakBefore w:val="0"/>
        <w:kinsoku/>
        <w:wordWrap/>
        <w:overflowPunct/>
        <w:autoSpaceDE/>
        <w:autoSpaceDN/>
        <w:bidi w:val="0"/>
        <w:spacing w:line="360" w:lineRule="auto"/>
        <w:ind w:firstLine="482"/>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lang w:val="en-US" w:eastAsia="zh-CN"/>
        </w:rPr>
        <w:t>二</w:t>
      </w: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rPr>
        <w:t>总体服务需求</w:t>
      </w: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eastAsia="zh-CN"/>
        </w:rPr>
      </w:pP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rPr>
        <w:t>人员管理要求</w:t>
      </w:r>
      <w:r>
        <w:rPr>
          <w:rFonts w:asciiTheme="minorEastAsia" w:eastAsiaTheme="minorEastAsia" w:hAnsiTheme="minorEastAsia" w:cstheme="minorEastAsia" w:hint="eastAsia"/>
          <w:b/>
          <w:bCs/>
          <w:color w:val="auto"/>
          <w:sz w:val="21"/>
          <w:szCs w:val="21"/>
          <w:highlight w:val="none"/>
          <w:lang w:eastAsia="zh-CN"/>
        </w:rPr>
        <w:t>：</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需严格遵守《中华人民共和国劳动法》及深圳市的相关法律法规，签订用工合同；中标方须做好风险评估，如聘用超过法定年龄的人员上岗，将承担额外风险，须按规定购买相关保险，如出现用工责任风险，需中标人承担。</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采购人对岗位设置及人员管理工作具有直接指挥权和最终决定权，并有权根据医院实际需求动态调整工作重点与人员配置，中标单位须无条件服从采购人的管理安排。采购人享有对项目人员的录用、调配的最终决定权，对于不称职或对医院造成负面影响的人员，中标单位须在接到通知后7个工作日内完成更换并补充合格人员，逾期将作为缺岗处理。</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派驻采购人的所有工作人员都服从采购人指挥及协调管理，并配合采购人做好上级部门检查及临时增加人员等其他工作，如采购人因业务量、区域范围变大等原因需增配支援岗位，采购人按招标文件要求的岗位，在中标总价范围内可适当进行调整安排，中标单位需予以配合并在规定时间内安排人员到岗。</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除妇产科、新生儿科、安检等需要配备女保安的岗位，其他负责门岗、巡逻、应急处突的岗位女性保安配置不超过安保岗位的10%；</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岗位合理配置及岗位人员工作职责由中标单位根据采购人提出的工作范围、工作内容、工作要求以及现场勘查进行合理安排，根据实际情况制定和更新岗位职责、业务操作手册及人员配置清单。</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各岗位所涉及需持证上岗的应按照国家法律法规要求做到持证上岗，中标单位须在入场服务之日起30个自然日内将相关证件资质复印件送交采购人备案，原件备查，并保持证件在有效期内，如有违反，采购人有权不结算相应岗位的费用，对于所在岗位应持证上岗而未持证上岗的人员，所出现的安全事故、纠纷等与采购人无关，全部责任由中标单位承担。</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及其工作人员必须严格遵守医院信息安全管理规定，不得以任何形式非法获取、泄露、篡改、传播或不当使用医院涉密信息（包括但不限于患者隐私信息、诊疗数据、科研成果、运营数据、监控视频及其他敏感信息）。如因中标单位原因导致信息泄露或违规使用，中标单位承担全部法律责任，并赔偿由此造成的一切损失，包括但不限于行政处罚、民事赔偿及医院声誉损害等。</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8</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各岗位人员上岗前必须提供由公安部门6个月内出具的无犯罪或不良行为记录才能录用，不得干扰采购人的正常工作秩序，不得泄露采购人的商业机密及有关信息。如中标单位员工在医院违法违纪被公安机关立案调查，一经查实，采购人有权扣罚一定比例的月度物业管理费，并有权要求涉事员工调离采购人项目；如中标单位未采取有效措施进行整改，导致合同期内发生2起及以上员工在医院违法违纪被公安机关立案调查事件，采购人有权终止合同。</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9</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应评估服务过程中存在的所有风险，提前足额购买相关保险，服务过程中因中标单位过失发生的事故责任由中标方承担。如发生火灾、治安、交通、刑事等事故，经核实，是因中标单位管理疏忽、玩忽职守、处理不当所造成的，按事故责任进行赔偿，必要时追诉中标单位的刑事责任。</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10</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中标单位须按照相关法律要求对从事特殊岗位人员（包括但不限于医疗辅助外勤人员、运行值班电工、水池管理人员、医疗废物收集人员）安排职业健康体检。</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11</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中标单位在服务期间定期开展文明礼仪、各岗位专业化培训等，加强各岗位人员走动式管理服务。</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12</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中标单位按要求提交月度、季度、半年、年终报告，并交给采购人备案，协助采购人开展绿色医院、节水型医院、高水平医院、国内和国际各类等级评审等工作。</w:t>
      </w: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eastAsia="zh-CN"/>
        </w:rPr>
      </w:pP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rPr>
        <w:t>合理用工要求</w:t>
      </w:r>
      <w:r>
        <w:rPr>
          <w:rFonts w:asciiTheme="minorEastAsia" w:eastAsiaTheme="minorEastAsia" w:hAnsiTheme="minorEastAsia" w:cstheme="minorEastAsia" w:hint="eastAsia"/>
          <w:b/>
          <w:bCs/>
          <w:color w:val="auto"/>
          <w:sz w:val="21"/>
          <w:szCs w:val="21"/>
          <w:highlight w:val="none"/>
          <w:lang w:eastAsia="zh-CN"/>
        </w:rPr>
        <w:t>：</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highlight w:val="none"/>
          <w:lang w:val="en-US" w:eastAsia="zh-CN" w:bidi="ar-SA"/>
        </w:rPr>
        <w:t>（1）</w:t>
      </w:r>
      <w:r>
        <w:rPr>
          <w:rFonts w:asciiTheme="minorEastAsia" w:eastAsiaTheme="minorEastAsia" w:hAnsiTheme="minorEastAsia" w:cstheme="minorEastAsia" w:hint="eastAsia"/>
          <w:b w:val="0"/>
          <w:bCs w:val="0"/>
          <w:color w:val="auto"/>
          <w:sz w:val="21"/>
          <w:szCs w:val="21"/>
          <w:highlight w:val="none"/>
        </w:rPr>
        <w:t>中标单位应合法用工，依法与员工签订劳动合同或劳务合同并足额支付员工薪酬。</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highlight w:val="none"/>
          <w:lang w:val="en-US" w:eastAsia="zh-CN" w:bidi="ar-SA"/>
        </w:rPr>
        <w:t>（2）</w:t>
      </w:r>
      <w:r>
        <w:rPr>
          <w:rFonts w:asciiTheme="minorEastAsia" w:eastAsiaTheme="minorEastAsia" w:hAnsiTheme="minorEastAsia" w:cstheme="minorEastAsia" w:hint="eastAsia"/>
          <w:b w:val="0"/>
          <w:bCs w:val="0"/>
          <w:color w:val="auto"/>
          <w:sz w:val="21"/>
          <w:szCs w:val="21"/>
          <w:highlight w:val="none"/>
        </w:rPr>
        <w:t>采购人仅对中标单位对照服务要求的岗位数进行结算，中标单位按劳动法安排人员工作时间，特殊情况需要加班的要按劳动法支付员工加班费。</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应按照国家相关法规要求，为员工发放节假日加班费、特殊岗位补贴、高温补助、福利、保险及临时性工作产生的额外费用（包括但不限于误餐费）等支出，所产生的相关费用已包含在中标单位的投标报价中，采购人不再另行支付这部分费用。</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若中标单位确实因为员工离职或因科室业务需求增加人员等原因，短时间内无法招聘到合适人员到岗，可向采购人报备，获得批准后安排人员加班替岗，不能降低服务标准。</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中标单位不得聘请暑假工、实习生作为项目工作人员。</w:t>
      </w: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eastAsia="zh-CN"/>
        </w:rPr>
      </w:pPr>
      <w:r>
        <w:rPr>
          <w:rFonts w:asciiTheme="minorEastAsia" w:eastAsiaTheme="minorEastAsia" w:hAnsiTheme="minorEastAsia" w:cstheme="minorEastAsia" w:hint="eastAsia"/>
          <w:b/>
          <w:bCs/>
          <w:color w:val="auto"/>
          <w:sz w:val="21"/>
          <w:szCs w:val="21"/>
          <w:highlight w:val="none"/>
          <w:lang w:val="en-US" w:eastAsia="zh-CN"/>
        </w:rPr>
        <w:t>3.</w:t>
      </w:r>
      <w:r>
        <w:rPr>
          <w:rFonts w:asciiTheme="minorEastAsia" w:eastAsiaTheme="minorEastAsia" w:hAnsiTheme="minorEastAsia" w:cstheme="minorEastAsia" w:hint="eastAsia"/>
          <w:b/>
          <w:bCs/>
          <w:color w:val="auto"/>
          <w:sz w:val="21"/>
          <w:szCs w:val="21"/>
          <w:highlight w:val="none"/>
        </w:rPr>
        <w:t>人员考勤要求</w:t>
      </w:r>
      <w:r>
        <w:rPr>
          <w:rFonts w:asciiTheme="minorEastAsia" w:eastAsiaTheme="minorEastAsia" w:hAnsiTheme="minorEastAsia" w:cstheme="minorEastAsia" w:hint="eastAsia"/>
          <w:b/>
          <w:bCs/>
          <w:color w:val="auto"/>
          <w:sz w:val="21"/>
          <w:szCs w:val="21"/>
          <w:highlight w:val="none"/>
          <w:lang w:eastAsia="zh-CN"/>
        </w:rPr>
        <w:t>：</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highlight w:val="none"/>
          <w:lang w:val="en-US" w:eastAsia="zh-CN" w:bidi="ar-SA"/>
        </w:rPr>
        <w:t>（1）</w:t>
      </w:r>
      <w:r>
        <w:rPr>
          <w:rFonts w:asciiTheme="minorEastAsia" w:eastAsiaTheme="minorEastAsia" w:hAnsiTheme="minorEastAsia" w:cstheme="minorEastAsia" w:hint="eastAsia"/>
          <w:b w:val="0"/>
          <w:bCs w:val="0"/>
          <w:color w:val="auto"/>
          <w:sz w:val="21"/>
          <w:szCs w:val="21"/>
          <w:highlight w:val="none"/>
        </w:rPr>
        <w:t>中标单位需对员工进行考勤管理，根据采购人要求进行排班并保证员工排班准确性。</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法定节假日加班安排，由中标单位按管理需求安排岗位。</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非采购人要求的中标单位因其管理或技术支持需要临时派驻的人员一概不计入岗位数和进行结算。</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本项目报价已包含因工作质量不达标等中标单位原因产生的中标单位增派人员或提供加班服务的费用，采购人不再另行支付。</w:t>
      </w:r>
    </w:p>
    <w:p>
      <w:pPr>
        <w:pStyle w:val="Heading2"/>
        <w:pageBreakBefore w:val="0"/>
        <w:kinsoku/>
        <w:wordWrap/>
        <w:overflowPunct/>
        <w:autoSpaceDE/>
        <w:autoSpaceDN/>
        <w:bidi w:val="0"/>
        <w:spacing w:line="360" w:lineRule="auto"/>
        <w:ind w:firstLine="482"/>
        <w:rPr>
          <w:rFonts w:asciiTheme="minorEastAsia" w:eastAsiaTheme="minorEastAsia" w:hAnsiTheme="minorEastAsia" w:cstheme="minorEastAsia" w:hint="eastAsia"/>
          <w:b w:val="0"/>
          <w:bCs w:val="0"/>
          <w:color w:val="auto"/>
          <w:sz w:val="21"/>
          <w:szCs w:val="21"/>
          <w:highlight w:val="none"/>
          <w:lang w:eastAsia="zh-CN"/>
        </w:rPr>
      </w:pPr>
    </w:p>
    <w:p>
      <w:pPr>
        <w:pStyle w:val="Heading2"/>
        <w:pageBreakBefore w:val="0"/>
        <w:kinsoku/>
        <w:wordWrap/>
        <w:overflowPunct/>
        <w:autoSpaceDE/>
        <w:autoSpaceDN/>
        <w:bidi w:val="0"/>
        <w:spacing w:line="360" w:lineRule="auto"/>
        <w:ind w:firstLine="482"/>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lang w:val="en-US" w:eastAsia="zh-CN"/>
        </w:rPr>
        <w:t>三</w:t>
      </w: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rPr>
        <w:t>人员及设备配置详细要求</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0" w:type="dxa"/>
          <w:left w:w="108" w:type="dxa"/>
          <w:bottom w:w="0" w:type="dxa"/>
          <w:right w:w="108" w:type="dxa"/>
        </w:tblCellMar>
      </w:tblPr>
      <w:tblGrid>
        <w:gridCol w:w="760"/>
        <w:gridCol w:w="1501"/>
        <w:gridCol w:w="1841"/>
        <w:gridCol w:w="4427"/>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lang w:eastAsia="zh-CN"/>
              </w:rPr>
              <w:t>岗位配置汇总表</w:t>
            </w:r>
            <w:r>
              <w:rPr>
                <w:rFonts w:asciiTheme="minorEastAsia" w:eastAsiaTheme="minorEastAsia" w:hAnsiTheme="minorEastAsia" w:cstheme="minorEastAsia" w:hint="eastAsia"/>
                <w:b w:val="0"/>
                <w:bCs w:val="0"/>
                <w:color w:val="auto"/>
                <w:sz w:val="21"/>
                <w:szCs w:val="21"/>
                <w:highlight w:val="none"/>
              </w:rPr>
              <w:t>序号</w:t>
            </w:r>
          </w:p>
        </w:tc>
        <w:tc>
          <w:tcPr>
            <w:tcW w:w="880" w:type="pct"/>
            <w:shd w:val="clear" w:color="auto" w:fill="FFFFFF" w:themeFill="background1"/>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部门</w:t>
            </w:r>
          </w:p>
        </w:tc>
        <w:tc>
          <w:tcPr>
            <w:tcW w:w="1079" w:type="pct"/>
            <w:shd w:val="clear" w:color="auto" w:fill="FFFFFF" w:themeFill="background1"/>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岗位数</w:t>
            </w:r>
          </w:p>
        </w:tc>
        <w:tc>
          <w:tcPr>
            <w:tcW w:w="2595" w:type="pct"/>
            <w:shd w:val="clear" w:color="auto" w:fill="FFFFFF" w:themeFill="background1"/>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备注</w:t>
            </w: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物业管理处</w:t>
            </w: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13</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统筹项目运营管理、会议室、院外物业等管理</w:t>
            </w: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机电工程部</w:t>
            </w: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32</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日常运行、日常维修</w:t>
            </w: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秩序维护部</w:t>
            </w: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97.25</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安保、消防、监控、安检、院内停车场、摆渡车驾驶等</w:t>
            </w: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医辅部</w:t>
            </w: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96</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医疗运送、后勤物资运送等</w:t>
            </w: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保洁部</w:t>
            </w: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193.5</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院部日常清洁、专项清洁、公厕、绿化</w:t>
            </w:r>
            <w:r>
              <w:rPr>
                <w:rStyle w:val="CommentReference"/>
                <w:rFonts w:asciiTheme="minorEastAsia" w:eastAsiaTheme="minorEastAsia" w:hAnsiTheme="minorEastAsia" w:cstheme="minorEastAsia" w:hint="eastAsia"/>
                <w:b w:val="0"/>
                <w:bCs w:val="0"/>
                <w:color w:val="auto"/>
                <w:sz w:val="21"/>
                <w:szCs w:val="21"/>
                <w:highlight w:val="none"/>
              </w:rPr>
              <w:t>等</w:t>
            </w: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预留岗位</w:t>
            </w: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60</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shd w:val="clear" w:color="auto" w:fill="FFFFFF" w:themeFill="background1"/>
          <w:tblCellMar>
            <w:top w:w="0" w:type="dxa"/>
            <w:left w:w="108" w:type="dxa"/>
            <w:bottom w:w="0" w:type="dxa"/>
            <w:right w:w="108" w:type="dxa"/>
          </w:tblCellMar>
        </w:tblPrEx>
        <w:trPr>
          <w:trHeight w:val="23"/>
        </w:trPr>
        <w:tc>
          <w:tcPr>
            <w:tcW w:w="446"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合计</w:t>
            </w:r>
          </w:p>
        </w:tc>
        <w:tc>
          <w:tcPr>
            <w:tcW w:w="880"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079"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491.75</w:t>
            </w:r>
          </w:p>
        </w:tc>
        <w:tc>
          <w:tcPr>
            <w:tcW w:w="2595" w:type="pct"/>
            <w:shd w:val="clear" w:color="auto" w:fill="FFFFFF" w:themeFill="background1"/>
            <w:vAlign w:val="center"/>
          </w:tcPr>
          <w:p>
            <w:pPr>
              <w:pageBreakBefore w:val="0"/>
              <w:tabs>
                <w:tab w:val="left" w:pos="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bl>
    <w:p>
      <w:pPr>
        <w:pageBreakBefore w:val="0"/>
        <w:tabs>
          <w:tab w:val="left" w:pos="3317"/>
        </w:tabs>
        <w:kinsoku/>
        <w:wordWrap/>
        <w:overflowPunct/>
        <w:autoSpaceDE/>
        <w:autoSpaceDN/>
        <w:bidi w:val="0"/>
        <w:spacing w:line="360" w:lineRule="auto"/>
        <w:ind w:firstLine="42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ab/>
      </w: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rPr>
        <w:t>岗位配置明细表</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248"/>
        <w:gridCol w:w="1661"/>
        <w:gridCol w:w="2151"/>
        <w:gridCol w:w="2469"/>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部门</w:t>
            </w:r>
          </w:p>
        </w:tc>
        <w:tc>
          <w:tcPr>
            <w:tcW w:w="974"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岗位名称</w:t>
            </w:r>
          </w:p>
        </w:tc>
        <w:tc>
          <w:tcPr>
            <w:tcW w:w="1261"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岗位周服务天数</w:t>
            </w:r>
          </w:p>
        </w:tc>
        <w:tc>
          <w:tcPr>
            <w:tcW w:w="1447" w:type="pct"/>
            <w:noWrap/>
            <w:vAlign w:val="center"/>
          </w:tcPr>
          <w:p>
            <w:pPr>
              <w:pageBreakBefore w:val="0"/>
              <w:kinsoku/>
              <w:wordWrap/>
              <w:overflowPunct/>
              <w:autoSpaceDE/>
              <w:autoSpaceDN/>
              <w:bidi w:val="0"/>
              <w:spacing w:line="360" w:lineRule="auto"/>
              <w:ind w:firstLine="0" w:firstLineChars="0"/>
              <w:jc w:val="center"/>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岗位数</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经理</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副经理</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综合部主管</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仓库管理员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会议服务员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客服人员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行政文员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行政文员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物业管理处 汇总</w:t>
            </w:r>
          </w:p>
        </w:tc>
        <w:tc>
          <w:tcPr>
            <w:tcW w:w="974"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261"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447"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13</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机电工程部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工程主管</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机电工程部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机电维修班长</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机电工程部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机电维修工</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14</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机电工程部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空调维修工</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机电工程部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运行值班电工</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9</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机电工程部 汇总</w:t>
            </w:r>
          </w:p>
        </w:tc>
        <w:tc>
          <w:tcPr>
            <w:tcW w:w="974"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261"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447"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lang w:eastAsia="zh-CN"/>
              </w:rPr>
            </w:pPr>
            <w:r>
              <w:rPr>
                <w:rFonts w:asciiTheme="majorEastAsia" w:eastAsiaTheme="majorEastAsia" w:hAnsiTheme="majorEastAsia" w:cstheme="majorEastAsia" w:hint="eastAsia"/>
                <w:b w:val="0"/>
                <w:bCs w:val="0"/>
                <w:color w:val="auto"/>
                <w:kern w:val="0"/>
                <w:sz w:val="21"/>
                <w:szCs w:val="21"/>
                <w:highlight w:val="none"/>
                <w:lang w:val="en-US" w:eastAsia="zh-CN"/>
              </w:rPr>
              <w:t>安保主管</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安保班长</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安管人员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安管人员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38.75</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消防中控员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lang w:eastAsia="zh-CN"/>
              </w:rPr>
            </w:pPr>
            <w:r>
              <w:rPr>
                <w:rFonts w:asciiTheme="majorEastAsia" w:eastAsiaTheme="majorEastAsia" w:hAnsiTheme="majorEastAsia" w:cstheme="majorEastAsia" w:hint="eastAsia"/>
                <w:b w:val="0"/>
                <w:bCs w:val="0"/>
                <w:color w:val="auto"/>
                <w:kern w:val="0"/>
                <w:sz w:val="21"/>
                <w:szCs w:val="21"/>
                <w:highlight w:val="none"/>
                <w:lang w:val="en-US" w:eastAsia="zh-CN"/>
              </w:rPr>
              <w:t>安检</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安检</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安检</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28.5</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巡逻</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9</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摆渡车司机</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秩序维护部 汇总</w:t>
            </w:r>
          </w:p>
        </w:tc>
        <w:tc>
          <w:tcPr>
            <w:tcW w:w="974"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261"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447"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97.25</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医辅主管</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医辅班长</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医辅培训专员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87</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医辅部 汇总</w:t>
            </w:r>
          </w:p>
        </w:tc>
        <w:tc>
          <w:tcPr>
            <w:tcW w:w="974"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261"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447"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96</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保洁主管</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保洁班长</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保洁培训专员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5</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8</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175.5</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绿化工</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7</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消杀工</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2</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保洁部 汇总</w:t>
            </w:r>
          </w:p>
        </w:tc>
        <w:tc>
          <w:tcPr>
            <w:tcW w:w="974"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261"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p>
        </w:tc>
        <w:tc>
          <w:tcPr>
            <w:tcW w:w="1447" w:type="pct"/>
            <w:noWrap/>
            <w:vAlign w:val="center"/>
          </w:tcPr>
          <w:p>
            <w:pPr>
              <w:pageBreakBefore w:val="0"/>
              <w:kinsoku/>
              <w:wordWrap/>
              <w:overflowPunct/>
              <w:autoSpaceDE/>
              <w:autoSpaceDN/>
              <w:bidi w:val="0"/>
              <w:spacing w:line="360" w:lineRule="auto"/>
              <w:ind w:firstLine="0" w:firstLineChars="0"/>
              <w:jc w:val="center"/>
              <w:outlineLvl w:val="0"/>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193.5</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预留人员</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预留人员</w:t>
            </w: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w:t>
            </w: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60</w:t>
            </w:r>
          </w:p>
        </w:tc>
      </w:tr>
      <w:tr>
        <w:tblPrEx>
          <w:tblW w:w="5000" w:type="pct"/>
          <w:tblInd w:w="0" w:type="dxa"/>
          <w:tblCellMar>
            <w:top w:w="0" w:type="dxa"/>
            <w:left w:w="108" w:type="dxa"/>
            <w:bottom w:w="0" w:type="dxa"/>
            <w:right w:w="108" w:type="dxa"/>
          </w:tblCellMar>
        </w:tblPrEx>
        <w:trPr>
          <w:trHeight w:val="23"/>
        </w:trPr>
        <w:tc>
          <w:tcPr>
            <w:tcW w:w="1318"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总计</w:t>
            </w:r>
          </w:p>
        </w:tc>
        <w:tc>
          <w:tcPr>
            <w:tcW w:w="974"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p>
        </w:tc>
        <w:tc>
          <w:tcPr>
            <w:tcW w:w="1261"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p>
        </w:tc>
        <w:tc>
          <w:tcPr>
            <w:tcW w:w="1447" w:type="pct"/>
            <w:noWrap/>
            <w:vAlign w:val="center"/>
          </w:tcPr>
          <w:p>
            <w:pPr>
              <w:pageBreakBefore w:val="0"/>
              <w:kinsoku/>
              <w:wordWrap/>
              <w:overflowPunct/>
              <w:autoSpaceDE/>
              <w:autoSpaceDN/>
              <w:bidi w:val="0"/>
              <w:spacing w:line="360" w:lineRule="auto"/>
              <w:ind w:firstLine="0" w:firstLineChars="0"/>
              <w:jc w:val="center"/>
              <w:outlineLvl w:val="1"/>
              <w:rPr>
                <w:rFonts w:asciiTheme="majorEastAsia" w:eastAsiaTheme="majorEastAsia" w:hAnsiTheme="majorEastAsia" w:cstheme="majorEastAsia" w:hint="eastAsia"/>
                <w:b w:val="0"/>
                <w:bCs w:val="0"/>
                <w:color w:val="auto"/>
                <w:kern w:val="0"/>
                <w:sz w:val="21"/>
                <w:szCs w:val="21"/>
                <w:highlight w:val="none"/>
              </w:rPr>
            </w:pPr>
            <w:r>
              <w:rPr>
                <w:rFonts w:asciiTheme="majorEastAsia" w:eastAsiaTheme="majorEastAsia" w:hAnsiTheme="majorEastAsia" w:cstheme="majorEastAsia" w:hint="eastAsia"/>
                <w:b w:val="0"/>
                <w:bCs w:val="0"/>
                <w:color w:val="auto"/>
                <w:kern w:val="0"/>
                <w:sz w:val="21"/>
                <w:szCs w:val="21"/>
                <w:highlight w:val="none"/>
              </w:rPr>
              <w:t>491.75</w:t>
            </w:r>
          </w:p>
        </w:tc>
      </w:tr>
    </w:tbl>
    <w:p>
      <w:pPr>
        <w:pageBreakBefore w:val="0"/>
        <w:kinsoku/>
        <w:wordWrap/>
        <w:overflowPunct/>
        <w:autoSpaceDE/>
        <w:autoSpaceDN/>
        <w:bidi w:val="0"/>
        <w:spacing w:line="360" w:lineRule="auto"/>
        <w:ind w:firstLine="0"/>
        <w:rPr>
          <w:rFonts w:asciiTheme="minorEastAsia" w:eastAsiaTheme="minorEastAsia" w:hAnsiTheme="minorEastAsia" w:cstheme="minorEastAsia" w:hint="eastAsia"/>
          <w:b w:val="0"/>
          <w:bCs w:val="0"/>
          <w:color w:val="auto"/>
          <w:sz w:val="21"/>
          <w:szCs w:val="21"/>
          <w:highlight w:val="none"/>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备注：</w:t>
      </w:r>
    </w:p>
    <w:p>
      <w:pPr>
        <w:pStyle w:val="ListParagraph"/>
        <w:pageBreakBefore w:val="0"/>
        <w:numPr>
          <w:ilvl w:val="0"/>
          <w:numId w:val="11"/>
        </w:numPr>
        <w:tabs>
          <w:tab w:val="left" w:pos="0"/>
        </w:tabs>
        <w:kinsoku/>
        <w:wordWrap/>
        <w:overflowPunct/>
        <w:autoSpaceDE/>
        <w:autoSpaceDN/>
        <w:bidi w:val="0"/>
        <w:spacing w:line="360" w:lineRule="auto"/>
        <w:ind w:left="0"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本项目中1个岗位的服务时长为8小时，各岗位的实际工作时间以采购人实际需求确定；</w:t>
      </w:r>
    </w:p>
    <w:p>
      <w:pPr>
        <w:pStyle w:val="ListParagraph"/>
        <w:pageBreakBefore w:val="0"/>
        <w:numPr>
          <w:ilvl w:val="0"/>
          <w:numId w:val="11"/>
        </w:numPr>
        <w:tabs>
          <w:tab w:val="left" w:pos="0"/>
        </w:tabs>
        <w:kinsoku/>
        <w:wordWrap/>
        <w:overflowPunct/>
        <w:autoSpaceDE/>
        <w:autoSpaceDN/>
        <w:bidi w:val="0"/>
        <w:spacing w:line="360" w:lineRule="auto"/>
        <w:ind w:left="0"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本项目总预算已包含61.15个顶休岗位费用，实际顶休岗位由中标单位根据实际情况合理配置；</w:t>
      </w:r>
    </w:p>
    <w:p>
      <w:pPr>
        <w:pStyle w:val="ListParagraph"/>
        <w:pageBreakBefore w:val="0"/>
        <w:numPr>
          <w:ilvl w:val="0"/>
          <w:numId w:val="11"/>
        </w:numPr>
        <w:tabs>
          <w:tab w:val="left" w:pos="0"/>
        </w:tabs>
        <w:kinsoku/>
        <w:wordWrap/>
        <w:overflowPunct/>
        <w:autoSpaceDE/>
        <w:autoSpaceDN/>
        <w:bidi w:val="0"/>
        <w:spacing w:line="360" w:lineRule="auto"/>
        <w:ind w:left="0"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本项目所有岗位单价按照中标供应商中标总价除以总岗位数（即491.75+顶休61.15共计552.9个岗位数）进行结算。</w:t>
      </w: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3.</w:t>
      </w:r>
      <w:r>
        <w:rPr>
          <w:rFonts w:asciiTheme="minorEastAsia" w:eastAsiaTheme="minorEastAsia" w:hAnsiTheme="minorEastAsia" w:cstheme="minorEastAsia" w:hint="eastAsia"/>
          <w:b/>
          <w:bCs/>
          <w:color w:val="auto"/>
          <w:sz w:val="21"/>
          <w:szCs w:val="21"/>
          <w:highlight w:val="none"/>
        </w:rPr>
        <w:t>项目人员综合素质需求一览表</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04"/>
        <w:gridCol w:w="840"/>
        <w:gridCol w:w="1091"/>
        <w:gridCol w:w="5534"/>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3"/>
        </w:trPr>
        <w:tc>
          <w:tcPr>
            <w:tcW w:w="540"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序号</w:t>
            </w:r>
          </w:p>
        </w:tc>
        <w:tc>
          <w:tcPr>
            <w:tcW w:w="502"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部门</w:t>
            </w: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岗位</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岗位具体要求条件</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物业管理处</w:t>
            </w: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项目经理（项目负责人）</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本科或以上学历，具有5年或以上医院物业服务项目经理（或项目负责人）工作经验，具有管理类相关（包括但不限于：工商管理、人力资源管理等）职称及物业管理相关职业资格证书或职业技能等级证书。工作责任心强，熟悉ISO质量管理等体系和物业管理法律、法规，有较丰富的创优考评经验，具备良好的组织、协调、沟通能力。</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项目副经理</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55周岁及以下，五官端正，大专或以上学历，具有一定的沟通、协调能力，能熟练使用计算机，办事有条理，有一定写作能力，工作严谨认真。</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综合部主管</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55周岁及以下，五官端正，大专或以上学历，具有一定的沟通、协调能力，能熟练使用计算机，办事有条理，有一定写作能力，工作严谨认真。</w:t>
            </w:r>
          </w:p>
          <w:p>
            <w:pPr>
              <w:pageBreakBefore w:val="0"/>
              <w:widowControl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具有人社部门（或其他具备职称评定资格的单位或机构）颁发的管理类相关（包括但不限于：工商管理、人力资源管理等）职称或具有物业管理相关职业资格证或职业技能等级证书。</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行政文员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55周岁及以下，五官端正，大专或以上学历，熟悉电脑办公操作，具有一定的沟通、协调能力，工作认真。</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客服人员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45周岁及以下（其中职工之家客服人员年龄在40周岁及以下），五官端正，大专或以上学历，熟悉电脑办公操作，具有一定的沟通、协调能力，工作认真。</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会议服务员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35周岁及以下，五官端正，大专或以上学历，熟悉电脑办公操作，具有一定的沟通、协调能力，形象气质佳，工作严谨认真，主动服务意识强，能吃苦耐劳，适应加班，服从采购人会议室管理人员的工作安排。</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仓库管理员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57周岁及以下，具有一定的沟通、协调能力，熟悉仓库出入库管理，工作严谨认真。</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机电工程部</w:t>
            </w: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工程主管</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大专或以上学历，具有5年或以上医院物业管理工作经验（负责机电维保管理相关工作），能够协助采购人做好项目工程运维工作，能够按照采购人的要求做好节能管理，熟悉ISO9000质量管理等体系，责任心强，</w:t>
            </w:r>
            <w:r>
              <w:rPr>
                <w:rFonts w:asciiTheme="minorEastAsia" w:eastAsiaTheme="minorEastAsia" w:hAnsiTheme="minorEastAsia" w:cstheme="minorEastAsia" w:hint="eastAsia"/>
                <w:b w:val="0"/>
                <w:bCs w:val="0"/>
                <w:color w:val="auto"/>
                <w:sz w:val="21"/>
                <w:szCs w:val="21"/>
                <w:highlight w:val="none"/>
                <w:lang w:eastAsia="zh-CN"/>
              </w:rPr>
              <w:t>具有</w:t>
            </w:r>
            <w:r>
              <w:rPr>
                <w:rFonts w:asciiTheme="minorEastAsia" w:eastAsiaTheme="minorEastAsia" w:hAnsiTheme="minorEastAsia" w:cstheme="minorEastAsia" w:hint="eastAsia"/>
                <w:b w:val="0"/>
                <w:bCs w:val="0"/>
                <w:color w:val="auto"/>
                <w:sz w:val="21"/>
                <w:szCs w:val="21"/>
                <w:highlight w:val="none"/>
              </w:rPr>
              <w:t>较强的组织、协调和管理能力，专业理论知识扎实，动手能力强。</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pacing w:val="10"/>
                <w:kern w:val="0"/>
                <w:sz w:val="21"/>
                <w:szCs w:val="21"/>
                <w:highlight w:val="none"/>
              </w:rPr>
              <w:t>持有人社部门（或其他具备职称评定资格的单位或机构）颁发的职称证书。</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机电维修工</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55周岁及以下，有3年以上工作经验并对给排水、供配电、电话系统等有全面认识；熟知水电安装工艺及各系统材料型号与规格；对质量管理系统有系统认识；熟悉5S 运作流程；具备日常培训能力；具备文档编辑与数据处理能力；具有识图绘图能力；</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★持有电工维修类上岗证。</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机电维修班长</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55周岁及以下，五官端正，有3年以上工作经验并具有工程班组管理经验，具有较强的组织、协调和管理能力，专业理论知识扎实，动手能力强。</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★持有人社部门（或其他具备职称评定资格的单位或机构）颁发的高级电工资格证书或以上资格证书。</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运行值班电工</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55周岁及以下，具有3年及以上工作经验并有机电设备运行管理经验和能力，动手能力强，业务素质高，能吃苦耐劳。</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★持有高、低压电工证和有效期内的健康证。</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空调维修工</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55周岁及以下，具有3年及以上工作经验并对空调维修保养有深入全</w:t>
            </w:r>
            <w:r>
              <w:rPr>
                <w:rFonts w:asciiTheme="minorEastAsia" w:eastAsiaTheme="minorEastAsia" w:hAnsiTheme="minorEastAsia" w:cstheme="minorEastAsia" w:hint="eastAsia"/>
                <w:b w:val="0"/>
                <w:bCs w:val="0"/>
                <w:color w:val="auto"/>
                <w:sz w:val="21"/>
                <w:szCs w:val="21"/>
                <w:highlight w:val="none"/>
                <w:lang w:eastAsia="zh-CN"/>
              </w:rPr>
              <w:t>面的</w:t>
            </w:r>
            <w:r>
              <w:rPr>
                <w:rFonts w:asciiTheme="minorEastAsia" w:eastAsiaTheme="minorEastAsia" w:hAnsiTheme="minorEastAsia" w:cstheme="minorEastAsia" w:hint="eastAsia"/>
                <w:b w:val="0"/>
                <w:bCs w:val="0"/>
                <w:color w:val="auto"/>
                <w:sz w:val="21"/>
                <w:szCs w:val="21"/>
                <w:highlight w:val="none"/>
              </w:rPr>
              <w:t>认识和动手能力，工作踏实，吃苦耐劳。</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★持有空调维修证书及高处作业证。</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秩序维护部</w:t>
            </w: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安保主管</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55周岁及以下，女性50周岁及以下，大专及以上文化，五官端正，素质过硬，有物业安保管理相关工作经验或退役军人，熟悉电脑办公系统基本操作，具有严明的组织纪律观念和良好的语言表达能力、组织协调能力。</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人社部门（或其他具备职称评定资格的单位或机构）颁发的中级（或以上）保安员职业资格证、四级/中级（或以上）建（构）筑物消防员证书或消防设施操作员证书、注册安全工程师、注册消防工程师。（持有其中一个证书即可）</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安保班长</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男性55周岁及以下，女性50周岁及以下，高中及以上文化，有班组管理工作经验，具有严明的组织纪律观念和一定的组织协调能力，掌握消防常识和应急处理能力，有较好身体素质，思想品质过硬，能吃苦耐劳。</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巡逻岗</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男性55周岁及以下，女性50周岁及以下，初中或同等以上文化程度，退伍军人优先，熟练掌握医院应急处理流程，有较好身体素质，思想品质过硬，能吃苦耐劳。</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消防中控员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男性55周岁及以下，女性50周岁及以下，高中及以上文化，熟悉院内消防布局，掌握医院消防管理流程，具备办公电脑基本操作技能。</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★持有四级/中级（或以上）建（构）筑物消防员证书或消防设施操作员证书。</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安管人员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男性55周岁及以下，女性50周岁及以下，初中或同等以上文化程度，具有较强的风险识别能力和安全保障意识，有较好身体素质，思想品质过硬，能吃苦耐劳。</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安检岗</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男性55周岁及以下，女性50周岁及以下，初中或同等以上文化程度，具有较强的风险识别能力和安全保障意识，有较好身体素质，思想品质过硬，能吃苦耐劳。</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医辅部</w:t>
            </w: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医辅主管</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57周岁及以下，大专或以上学历，具有医院物业管理经验，熟悉医院流程布局，具有医疗辅助管理经验或医学相关学业背景，身体健康，肯吃苦耐劳。</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具有人社部门（或其他具备职称评定资格的单位或机构）颁发的护理学相关职称。</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医辅班长</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55周岁及以下，五官端正，具有班组管理经验以及一定的沟通协调能力。</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医辅培训专员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50周岁及以下，熟悉医院流程布局，精通医疗辅助工作，能将工作技能传授给他人</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医辅人员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55周岁及以下，熟悉医院流程布局，身体健康，肯吃苦耐劳。其中手术室具有医学相关背景者优先。</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保洁部</w:t>
            </w: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保洁部</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主管</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57周岁及以下，女性52周岁及以下，五官端正，大专或以上学历，有医院清洁管理、院感防护相关专业背景或物业保洁管理相关工作经验3年或以上，动手能力强，业务熟练，有效进行人员管理，身体健康，肯吃苦耐劳。</w:t>
            </w:r>
          </w:p>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持有环卫清洁相关行业协会颁发的项目经理证书</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保洁部班长</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男性57周岁及以下，女性52周岁及以下，五官端正 具有班组管理经验，业务熟练，身体健康，肯吃苦耐劳。</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专项保洁员</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男性57周岁及以下，女性52周岁及以下，具有专项保洁工作能力及相关经验，身体健康，肯吃苦耐劳。</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保洁培训</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男性57周岁及以下，女性52周岁及以下，精通保洁工作，能将工作技能传授给他人</w:t>
            </w:r>
          </w:p>
        </w:tc>
      </w:tr>
      <w:tr>
        <w:tblPrEx>
          <w:tblW w:w="5000" w:type="pct"/>
          <w:tblInd w:w="0" w:type="dxa"/>
          <w:tblCellMar>
            <w:top w:w="0" w:type="dxa"/>
            <w:left w:w="108" w:type="dxa"/>
            <w:bottom w:w="0" w:type="dxa"/>
            <w:right w:w="108" w:type="dxa"/>
          </w:tblCellMar>
        </w:tblPrEx>
        <w:trPr>
          <w:trHeight w:val="23"/>
        </w:trPr>
        <w:tc>
          <w:tcPr>
            <w:tcW w:w="540" w:type="pct"/>
            <w:tcMar>
              <w:left w:w="28" w:type="dxa"/>
              <w:right w:w="28" w:type="dxa"/>
            </w:tcMar>
            <w:vAlign w:val="center"/>
          </w:tcPr>
          <w:p>
            <w:pPr>
              <w:pStyle w:val="ListParagraph"/>
              <w:pageBreakBefore w:val="0"/>
              <w:numPr>
                <w:ilvl w:val="0"/>
                <w:numId w:val="12"/>
              </w:numPr>
              <w:tabs>
                <w:tab w:val="left" w:pos="0"/>
              </w:tabs>
              <w:kinsoku/>
              <w:wordWrap/>
              <w:overflowPunct/>
              <w:autoSpaceDE/>
              <w:autoSpaceDN/>
              <w:bidi w:val="0"/>
              <w:adjustRightInd/>
              <w:snapToGrid/>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502" w:type="pct"/>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652" w:type="pct"/>
            <w:tcMar>
              <w:left w:w="28" w:type="dxa"/>
              <w:right w:w="28" w:type="dxa"/>
            </w:tcMar>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绿化工</w:t>
            </w:r>
          </w:p>
        </w:tc>
        <w:tc>
          <w:tcPr>
            <w:tcW w:w="3307" w:type="pct"/>
            <w:tcMar>
              <w:left w:w="28" w:type="dxa"/>
              <w:right w:w="28" w:type="dxa"/>
            </w:tcMar>
            <w:vAlign w:val="center"/>
          </w:tcPr>
          <w:p>
            <w:pPr>
              <w:pageBreakBefore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男性57周岁及以下，女性52周岁及以下，五官端正，具有绿化养护相关专业知识或工作经验，身体健康，肯吃苦耐劳。</w:t>
            </w:r>
          </w:p>
        </w:tc>
      </w:tr>
    </w:tbl>
    <w:p>
      <w:pPr>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备注：为保障科室业务熟练工优先使用的需求，以上年龄界限以该物业人员开始在本院从事物业服务时的年龄计算，科室有特殊要求的，以科室用人要求为准。</w:t>
      </w: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4.</w:t>
      </w:r>
      <w:r>
        <w:rPr>
          <w:rFonts w:asciiTheme="minorEastAsia" w:eastAsiaTheme="minorEastAsia" w:hAnsiTheme="minorEastAsia" w:cstheme="minorEastAsia" w:hint="eastAsia"/>
          <w:b/>
          <w:bCs/>
          <w:color w:val="auto"/>
          <w:sz w:val="21"/>
          <w:szCs w:val="21"/>
          <w:highlight w:val="none"/>
        </w:rPr>
        <w:t>中标单位基本设备配置明细表</w:t>
      </w:r>
      <w:r>
        <w:rPr>
          <w:rFonts w:asciiTheme="minorEastAsia" w:eastAsiaTheme="minorEastAsia" w:hAnsiTheme="minorEastAsia" w:cstheme="minorEastAsia" w:hint="eastAsia"/>
          <w:b/>
          <w:bCs/>
          <w:color w:val="auto"/>
          <w:sz w:val="21"/>
          <w:szCs w:val="21"/>
          <w:highlight w:val="none"/>
          <w:lang w:val="en-US" w:eastAsia="zh-CN"/>
        </w:rPr>
        <w:t>:</w:t>
      </w:r>
    </w:p>
    <w:tbl>
      <w:tblPr>
        <w:tblStyle w:val="TableNormal0"/>
        <w:tblW w:w="841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
      <w:tblGrid>
        <w:gridCol w:w="891"/>
        <w:gridCol w:w="3491"/>
        <w:gridCol w:w="1227"/>
        <w:gridCol w:w="1304"/>
        <w:gridCol w:w="1505"/>
      </w:tblGrid>
      <w:tr>
        <w:tblPrEx>
          <w:tblW w:w="841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Ex>
        <w:trPr>
          <w:trHeight w:val="23"/>
        </w:trPr>
        <w:tc>
          <w:tcPr>
            <w:tcW w:w="8418" w:type="dxa"/>
            <w:gridSpan w:val="5"/>
            <w:vAlign w:val="center"/>
          </w:tcPr>
          <w:p>
            <w:pPr>
              <w:pageBreakBefore w:val="0"/>
              <w:kinsoku/>
              <w:wordWrap/>
              <w:overflowPunct/>
              <w:autoSpaceDE/>
              <w:autoSpaceDN/>
              <w:bidi w:val="0"/>
              <w:spacing w:before="107"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环境美化服务基本设备配置</w:t>
            </w: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Style w:val="TableText"/>
              <w:pageBreakBefore w:val="0"/>
              <w:kinsoku/>
              <w:wordWrap/>
              <w:overflowPunct/>
              <w:autoSpaceDE/>
              <w:autoSpaceDN/>
              <w:bidi w:val="0"/>
              <w:spacing w:before="107"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zh-CN"/>
              </w:rPr>
            </w:pPr>
            <w:r>
              <w:rPr>
                <w:rFonts w:asciiTheme="majorEastAsia" w:eastAsiaTheme="majorEastAsia" w:hAnsiTheme="majorEastAsia" w:cstheme="majorEastAsia" w:hint="eastAsia"/>
                <w:b w:val="0"/>
                <w:bCs w:val="0"/>
                <w:color w:val="auto"/>
                <w:sz w:val="21"/>
                <w:szCs w:val="21"/>
                <w:highlight w:val="none"/>
                <w:lang w:eastAsia="zh-CN"/>
              </w:rPr>
              <w:t>序号</w:t>
            </w:r>
          </w:p>
        </w:tc>
        <w:tc>
          <w:tcPr>
            <w:tcW w:w="3491" w:type="dxa"/>
            <w:vAlign w:val="center"/>
          </w:tcPr>
          <w:p>
            <w:pPr>
              <w:pStyle w:val="TableText"/>
              <w:pageBreakBefore w:val="0"/>
              <w:kinsoku/>
              <w:wordWrap/>
              <w:overflowPunct/>
              <w:autoSpaceDE/>
              <w:autoSpaceDN/>
              <w:bidi w:val="0"/>
              <w:spacing w:before="106"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zh-CN"/>
              </w:rPr>
            </w:pPr>
            <w:r>
              <w:rPr>
                <w:rFonts w:asciiTheme="majorEastAsia" w:eastAsiaTheme="majorEastAsia" w:hAnsiTheme="majorEastAsia" w:cstheme="majorEastAsia" w:hint="eastAsia"/>
                <w:b w:val="0"/>
                <w:bCs w:val="0"/>
                <w:color w:val="auto"/>
                <w:sz w:val="21"/>
                <w:szCs w:val="21"/>
                <w:highlight w:val="none"/>
                <w:lang w:eastAsia="zh-CN"/>
              </w:rPr>
              <w:t>名称</w:t>
            </w:r>
          </w:p>
        </w:tc>
        <w:tc>
          <w:tcPr>
            <w:tcW w:w="1227" w:type="dxa"/>
            <w:vAlign w:val="center"/>
          </w:tcPr>
          <w:p>
            <w:pPr>
              <w:pStyle w:val="TableText"/>
              <w:pageBreakBefore w:val="0"/>
              <w:kinsoku/>
              <w:wordWrap/>
              <w:overflowPunct/>
              <w:autoSpaceDE/>
              <w:autoSpaceDN/>
              <w:bidi w:val="0"/>
              <w:spacing w:before="107"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zh-CN"/>
              </w:rPr>
            </w:pPr>
            <w:r>
              <w:rPr>
                <w:rFonts w:asciiTheme="majorEastAsia" w:eastAsiaTheme="majorEastAsia" w:hAnsiTheme="majorEastAsia" w:cstheme="majorEastAsia" w:hint="eastAsia"/>
                <w:b w:val="0"/>
                <w:bCs w:val="0"/>
                <w:color w:val="auto"/>
                <w:sz w:val="21"/>
                <w:szCs w:val="21"/>
                <w:highlight w:val="none"/>
                <w:lang w:eastAsia="zh-CN"/>
              </w:rPr>
              <w:t>最低配置数量</w:t>
            </w:r>
          </w:p>
        </w:tc>
        <w:tc>
          <w:tcPr>
            <w:tcW w:w="1304" w:type="dxa"/>
            <w:vAlign w:val="center"/>
          </w:tcPr>
          <w:p>
            <w:pPr>
              <w:pStyle w:val="TableText"/>
              <w:pageBreakBefore w:val="0"/>
              <w:kinsoku/>
              <w:wordWrap/>
              <w:overflowPunct/>
              <w:autoSpaceDE/>
              <w:autoSpaceDN/>
              <w:bidi w:val="0"/>
              <w:spacing w:before="107"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zh-CN"/>
              </w:rPr>
            </w:pPr>
            <w:r>
              <w:rPr>
                <w:rFonts w:asciiTheme="majorEastAsia" w:eastAsiaTheme="majorEastAsia" w:hAnsiTheme="majorEastAsia" w:cstheme="majorEastAsia" w:hint="eastAsia"/>
                <w:b w:val="0"/>
                <w:bCs w:val="0"/>
                <w:color w:val="auto"/>
                <w:sz w:val="21"/>
                <w:szCs w:val="21"/>
                <w:highlight w:val="none"/>
                <w:lang w:eastAsia="zh-CN"/>
              </w:rPr>
              <w:t>单位</w:t>
            </w:r>
          </w:p>
        </w:tc>
        <w:tc>
          <w:tcPr>
            <w:tcW w:w="1505" w:type="dxa"/>
            <w:vAlign w:val="center"/>
          </w:tcPr>
          <w:p>
            <w:pPr>
              <w:pStyle w:val="TableText"/>
              <w:pageBreakBefore w:val="0"/>
              <w:kinsoku/>
              <w:wordWrap/>
              <w:overflowPunct/>
              <w:autoSpaceDE/>
              <w:autoSpaceDN/>
              <w:bidi w:val="0"/>
              <w:spacing w:before="107"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zh-CN"/>
              </w:rPr>
            </w:pPr>
            <w:r>
              <w:rPr>
                <w:rFonts w:asciiTheme="majorEastAsia" w:eastAsiaTheme="majorEastAsia" w:hAnsiTheme="majorEastAsia" w:cstheme="majorEastAsia" w:hint="eastAsia"/>
                <w:b w:val="0"/>
                <w:bCs w:val="0"/>
                <w:color w:val="auto"/>
                <w:sz w:val="21"/>
                <w:szCs w:val="21"/>
                <w:highlight w:val="none"/>
                <w:lang w:eastAsia="zh-CN"/>
              </w:rPr>
              <w:t>备注</w:t>
            </w: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洗地机</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2</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restart"/>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适用于PVC地面清洁打蜡、各种硬质地面，顽固污渍清洁作业。</w:t>
            </w: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2</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吸尘吸水机</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2</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3</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大功率三速吹风机</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10</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4</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电动高压清洗保洁车</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5</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电动高压清洗车</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6</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驾驶式洗地车</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7</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手推式半自动洗地机</w:t>
            </w:r>
          </w:p>
        </w:tc>
        <w:tc>
          <w:tcPr>
            <w:tcW w:w="1227" w:type="dxa"/>
            <w:vAlign w:val="center"/>
          </w:tcPr>
          <w:p>
            <w:pPr>
              <w:pageBreakBefore w:val="0"/>
              <w:widowControl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8</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背负式喷雾器</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2</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restart"/>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适用于</w:t>
            </w:r>
            <w:r>
              <w:rPr>
                <w:rFonts w:asciiTheme="majorEastAsia" w:eastAsiaTheme="majorEastAsia" w:hAnsiTheme="majorEastAsia" w:cstheme="majorEastAsia" w:hint="eastAsia"/>
                <w:b w:val="0"/>
                <w:bCs w:val="0"/>
                <w:color w:val="auto"/>
                <w:sz w:val="21"/>
                <w:szCs w:val="21"/>
                <w:highlight w:val="none"/>
                <w:lang w:eastAsia="zh-CN"/>
              </w:rPr>
              <w:t>室内外</w:t>
            </w:r>
            <w:r>
              <w:rPr>
                <w:rFonts w:asciiTheme="majorEastAsia" w:eastAsiaTheme="majorEastAsia" w:hAnsiTheme="majorEastAsia" w:cstheme="majorEastAsia" w:hint="eastAsia"/>
                <w:b w:val="0"/>
                <w:bCs w:val="0"/>
                <w:color w:val="auto"/>
                <w:sz w:val="21"/>
                <w:szCs w:val="21"/>
                <w:highlight w:val="none"/>
              </w:rPr>
              <w:t>蚊类、蝇类、蟑螂等病媒生物防治作业。</w:t>
            </w: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9</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烟雾机</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2</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10</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电动超低容量喷雾器</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2</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11</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背负式电动喷雾器</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12</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手提式电动喷雾器</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13</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手推式电动割草机</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restart"/>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适用于乔木、灌木、地被、草坪、藤本、竹类、花卉绿植修剪作业使用。</w:t>
            </w: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14</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手持锂电绿篱机（修剪造型）</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15</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背负式电动修边机</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16</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背负式电动吹风机</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17</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手持电动油锯</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Merge/>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18</w:t>
            </w:r>
          </w:p>
        </w:tc>
        <w:tc>
          <w:tcPr>
            <w:tcW w:w="34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全自动无人户外扫地车及配件</w:t>
            </w:r>
          </w:p>
        </w:tc>
        <w:tc>
          <w:tcPr>
            <w:tcW w:w="1227"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2</w:t>
            </w:r>
          </w:p>
        </w:tc>
        <w:tc>
          <w:tcPr>
            <w:tcW w:w="1304"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台</w:t>
            </w:r>
          </w:p>
        </w:tc>
        <w:tc>
          <w:tcPr>
            <w:tcW w:w="1505" w:type="dxa"/>
            <w:vAlign w:val="center"/>
          </w:tcPr>
          <w:p>
            <w:pPr>
              <w:pageBreakBefore w:val="0"/>
              <w:kinsoku/>
              <w:wordWrap/>
              <w:overflowPunct/>
              <w:autoSpaceDE/>
              <w:autoSpaceDN/>
              <w:bidi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p>
        </w:tc>
      </w:tr>
      <w:tr>
        <w:tblPrEx>
          <w:tblW w:w="8418" w:type="dxa"/>
          <w:tblInd w:w="0" w:type="dxa"/>
          <w:tblLayout w:type="fixed"/>
          <w:tblCellMar>
            <w:top w:w="0" w:type="dxa"/>
            <w:left w:w="0" w:type="dxa"/>
            <w:bottom w:w="0" w:type="dxa"/>
            <w:right w:w="0" w:type="dxa"/>
          </w:tblCellMar>
        </w:tblPrEx>
        <w:trPr>
          <w:trHeight w:val="23"/>
        </w:trPr>
        <w:tc>
          <w:tcPr>
            <w:tcW w:w="891" w:type="dxa"/>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lang w:eastAsia="en-US"/>
              </w:rPr>
            </w:pPr>
            <w:r>
              <w:rPr>
                <w:rFonts w:asciiTheme="majorEastAsia" w:eastAsiaTheme="majorEastAsia" w:hAnsiTheme="majorEastAsia" w:cstheme="majorEastAsia" w:hint="eastAsia"/>
                <w:b w:val="0"/>
                <w:bCs w:val="0"/>
                <w:color w:val="auto"/>
                <w:sz w:val="21"/>
                <w:szCs w:val="21"/>
                <w:highlight w:val="none"/>
              </w:rPr>
              <w:t>其他</w:t>
            </w:r>
          </w:p>
        </w:tc>
        <w:tc>
          <w:tcPr>
            <w:tcW w:w="7527" w:type="dxa"/>
            <w:gridSpan w:val="4"/>
            <w:vAlign w:val="center"/>
          </w:tcPr>
          <w:p>
            <w:pPr>
              <w:pageBreakBefore w:val="0"/>
              <w:kinsoku/>
              <w:wordWrap/>
              <w:overflowPunct/>
              <w:autoSpaceDE/>
              <w:autoSpaceDN/>
              <w:bidi w:val="0"/>
              <w:adjustRightInd w:val="0"/>
              <w:snapToGrid w:val="0"/>
              <w:spacing w:line="360" w:lineRule="auto"/>
              <w:ind w:left="181" w:firstLine="0" w:leftChars="86" w:firstLineChars="0"/>
              <w:jc w:val="center"/>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z w:val="21"/>
                <w:szCs w:val="21"/>
                <w:highlight w:val="none"/>
              </w:rPr>
              <w:t>视医院实际业务需求配置。</w:t>
            </w:r>
          </w:p>
        </w:tc>
      </w:tr>
      <w:tr>
        <w:tblPrEx>
          <w:tblW w:w="8418" w:type="dxa"/>
          <w:tblInd w:w="0" w:type="dxa"/>
          <w:tblLayout w:type="fixed"/>
          <w:tblCellMar>
            <w:top w:w="0" w:type="dxa"/>
            <w:left w:w="0" w:type="dxa"/>
            <w:bottom w:w="0" w:type="dxa"/>
            <w:right w:w="0" w:type="dxa"/>
          </w:tblCellMar>
        </w:tblPrEx>
        <w:trPr>
          <w:trHeight w:val="23"/>
        </w:trPr>
        <w:tc>
          <w:tcPr>
            <w:tcW w:w="8418" w:type="dxa"/>
            <w:gridSpan w:val="5"/>
            <w:vAlign w:val="center"/>
          </w:tcPr>
          <w:p>
            <w:pPr>
              <w:pageBreakBefore w:val="0"/>
              <w:kinsoku/>
              <w:wordWrap/>
              <w:overflowPunct/>
              <w:autoSpaceDE/>
              <w:autoSpaceDN/>
              <w:bidi w:val="0"/>
              <w:spacing w:line="360" w:lineRule="auto"/>
              <w:ind w:left="0" w:firstLine="0" w:leftChars="0" w:firstLineChars="0"/>
              <w:jc w:val="left"/>
              <w:rPr>
                <w:rFonts w:asciiTheme="majorEastAsia" w:eastAsiaTheme="majorEastAsia" w:hAnsiTheme="majorEastAsia" w:cstheme="majorEastAsia" w:hint="eastAsia"/>
                <w:b w:val="0"/>
                <w:bCs w:val="0"/>
                <w:color w:val="auto"/>
                <w:sz w:val="21"/>
                <w:szCs w:val="21"/>
                <w:highlight w:val="none"/>
              </w:rPr>
            </w:pPr>
            <w:r>
              <w:rPr>
                <w:rFonts w:asciiTheme="majorEastAsia" w:eastAsiaTheme="majorEastAsia" w:hAnsiTheme="majorEastAsia" w:cstheme="majorEastAsia" w:hint="eastAsia"/>
                <w:b w:val="0"/>
                <w:bCs w:val="0"/>
                <w:color w:val="auto"/>
                <w:spacing w:val="9"/>
                <w:sz w:val="21"/>
                <w:szCs w:val="21"/>
                <w:highlight w:val="none"/>
              </w:rPr>
              <w:t>不限于：特光蜡水、起蜡水、抛光蜡、晶面膏、黑垫、红垫、</w:t>
            </w:r>
            <w:r>
              <w:rPr>
                <w:rFonts w:asciiTheme="majorEastAsia" w:eastAsiaTheme="majorEastAsia" w:hAnsiTheme="majorEastAsia" w:cstheme="majorEastAsia" w:hint="eastAsia"/>
                <w:b w:val="0"/>
                <w:bCs w:val="0"/>
                <w:color w:val="auto"/>
                <w:spacing w:val="-41"/>
                <w:sz w:val="21"/>
                <w:szCs w:val="21"/>
                <w:highlight w:val="none"/>
              </w:rPr>
              <w:t xml:space="preserve"> </w:t>
            </w:r>
            <w:r>
              <w:rPr>
                <w:rFonts w:asciiTheme="majorEastAsia" w:eastAsiaTheme="majorEastAsia" w:hAnsiTheme="majorEastAsia" w:cstheme="majorEastAsia" w:hint="eastAsia"/>
                <w:b w:val="0"/>
                <w:bCs w:val="0"/>
                <w:color w:val="auto"/>
                <w:spacing w:val="9"/>
                <w:sz w:val="21"/>
                <w:szCs w:val="21"/>
                <w:highlight w:val="none"/>
              </w:rPr>
              <w:t>白垫、浴室清洁剂、中性全能清洁剂、强</w:t>
            </w:r>
            <w:r>
              <w:rPr>
                <w:rFonts w:asciiTheme="majorEastAsia" w:eastAsiaTheme="majorEastAsia" w:hAnsiTheme="majorEastAsia" w:cstheme="majorEastAsia" w:hint="eastAsia"/>
                <w:b w:val="0"/>
                <w:bCs w:val="0"/>
                <w:color w:val="auto"/>
                <w:spacing w:val="11"/>
                <w:sz w:val="21"/>
                <w:szCs w:val="21"/>
                <w:highlight w:val="none"/>
              </w:rPr>
              <w:t>力除垢（洗石水）、不干胶清洁剂、128</w:t>
            </w:r>
            <w:r>
              <w:rPr>
                <w:rFonts w:asciiTheme="majorEastAsia" w:eastAsiaTheme="majorEastAsia" w:hAnsiTheme="majorEastAsia" w:cstheme="majorEastAsia" w:hint="eastAsia"/>
                <w:b w:val="0"/>
                <w:bCs w:val="0"/>
                <w:color w:val="auto"/>
                <w:spacing w:val="-28"/>
                <w:sz w:val="21"/>
                <w:szCs w:val="21"/>
                <w:highlight w:val="none"/>
              </w:rPr>
              <w:t xml:space="preserve"> </w:t>
            </w:r>
            <w:r>
              <w:rPr>
                <w:rFonts w:asciiTheme="majorEastAsia" w:eastAsiaTheme="majorEastAsia" w:hAnsiTheme="majorEastAsia" w:cstheme="majorEastAsia" w:hint="eastAsia"/>
                <w:b w:val="0"/>
                <w:bCs w:val="0"/>
                <w:color w:val="auto"/>
                <w:spacing w:val="11"/>
                <w:sz w:val="21"/>
                <w:szCs w:val="21"/>
                <w:highlight w:val="none"/>
              </w:rPr>
              <w:t>除胶剂、榨水器、玻璃刮、铲刀</w:t>
            </w:r>
            <w:r>
              <w:rPr>
                <w:rFonts w:asciiTheme="majorEastAsia" w:eastAsiaTheme="majorEastAsia" w:hAnsiTheme="majorEastAsia" w:cstheme="majorEastAsia" w:hint="eastAsia"/>
                <w:b w:val="0"/>
                <w:bCs w:val="0"/>
                <w:color w:val="auto"/>
                <w:spacing w:val="10"/>
                <w:sz w:val="21"/>
                <w:szCs w:val="21"/>
                <w:highlight w:val="none"/>
              </w:rPr>
              <w:t>、水刮、黄毛巾、红毛巾、蓝毛巾、拖布、扫把、垃圾铲、南洋牛筋手套、海绵拖、喷壶、去污粉、消毒片、漂白</w:t>
            </w:r>
            <w:r>
              <w:rPr>
                <w:rFonts w:asciiTheme="majorEastAsia" w:eastAsiaTheme="majorEastAsia" w:hAnsiTheme="majorEastAsia" w:cstheme="majorEastAsia" w:hint="eastAsia"/>
                <w:b w:val="0"/>
                <w:bCs w:val="0"/>
                <w:color w:val="auto"/>
                <w:spacing w:val="8"/>
                <w:sz w:val="21"/>
                <w:szCs w:val="21"/>
                <w:highlight w:val="none"/>
              </w:rPr>
              <w:t>水等均由中标单位购买，所购置项目以实际需求为准。</w:t>
            </w:r>
          </w:p>
        </w:tc>
      </w:tr>
    </w:tbl>
    <w:p>
      <w:pPr>
        <w:pStyle w:val="ListParagraph"/>
        <w:pageBreakBefore w:val="0"/>
        <w:numPr>
          <w:ilvl w:val="255"/>
          <w:numId w:val="0"/>
        </w:numPr>
        <w:tabs>
          <w:tab w:val="left" w:pos="0"/>
        </w:tabs>
        <w:kinsoku/>
        <w:wordWrap/>
        <w:overflowPunct/>
        <w:autoSpaceDE/>
        <w:autoSpaceDN/>
        <w:bidi w:val="0"/>
        <w:spacing w:line="360" w:lineRule="auto"/>
        <w:ind w:left="181" w:firstLine="420" w:leftChars="86" w:firstLineChars="200"/>
        <w:rPr>
          <w:rFonts w:asciiTheme="minorEastAsia" w:eastAsiaTheme="minorEastAsia" w:hAnsiTheme="minorEastAsia" w:cstheme="minorEastAsia" w:hint="eastAsia"/>
          <w:b w:val="0"/>
          <w:bCs w:val="0"/>
          <w:color w:val="auto"/>
          <w:sz w:val="21"/>
          <w:szCs w:val="21"/>
          <w:highlight w:val="none"/>
        </w:rPr>
      </w:pP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30" w:type="dxa"/>
          <w:bottom w:w="0" w:type="dxa"/>
          <w:right w:w="30" w:type="dxa"/>
        </w:tblCellMar>
      </w:tblPr>
      <w:tblGrid>
        <w:gridCol w:w="985"/>
        <w:gridCol w:w="1937"/>
        <w:gridCol w:w="1932"/>
        <w:gridCol w:w="1001"/>
        <w:gridCol w:w="1534"/>
        <w:gridCol w:w="983"/>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30" w:type="dxa"/>
            <w:bottom w:w="0" w:type="dxa"/>
            <w:right w:w="30" w:type="dxa"/>
          </w:tblCellMar>
        </w:tblPrEx>
        <w:trPr>
          <w:trHeight w:val="23"/>
        </w:trPr>
        <w:tc>
          <w:tcPr>
            <w:tcW w:w="5000" w:type="pct"/>
            <w:gridSpan w:val="6"/>
            <w:vAlign w:val="center"/>
          </w:tcPr>
          <w:p>
            <w:pPr>
              <w:pageBreakBefore w:val="0"/>
              <w:kinsoku/>
              <w:wordWrap/>
              <w:overflowPunct/>
              <w:autoSpaceDE/>
              <w:autoSpaceDN/>
              <w:bidi w:val="0"/>
              <w:spacing w:line="360" w:lineRule="auto"/>
              <w:ind w:left="181" w:firstLine="0" w:leftChars="86"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机电工程部常用工具配置</w:t>
            </w: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序号</w:t>
            </w: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工具名称</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型号规格</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单位</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最低配置数量</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备注</w:t>
            </w: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铝合金人字梯</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2米</w:t>
            </w:r>
            <w:r>
              <w:rPr>
                <w:rFonts w:asciiTheme="minorEastAsia" w:eastAsiaTheme="minorEastAsia" w:hAnsiTheme="minorEastAsia" w:cstheme="minorEastAsia" w:hint="eastAsia"/>
                <w:b w:val="0"/>
                <w:bCs w:val="0"/>
                <w:color w:val="auto"/>
                <w:sz w:val="21"/>
                <w:szCs w:val="21"/>
                <w:highlight w:val="none"/>
                <w:lang w:val="en-US" w:eastAsia="zh-CN"/>
              </w:rPr>
              <w:t>~</w:t>
            </w:r>
            <w:r>
              <w:rPr>
                <w:rFonts w:asciiTheme="minorEastAsia" w:eastAsiaTheme="minorEastAsia" w:hAnsiTheme="minorEastAsia" w:cstheme="minorEastAsia" w:hint="eastAsia"/>
                <w:b w:val="0"/>
                <w:bCs w:val="0"/>
                <w:color w:val="auto"/>
                <w:sz w:val="21"/>
                <w:szCs w:val="21"/>
                <w:highlight w:val="none"/>
              </w:rPr>
              <w:t>5米</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架</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14</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照度计</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台</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风速测量计</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台</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噪音测量计</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台</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升降梯</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5米</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架</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平板车</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500kg</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辆</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冲击钻</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充电、插电式</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把</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角磨机</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充电、插电式</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把</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手电钻</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充电、插电式</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把</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电焊机</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220V</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氩弧焊机</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220V</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管道疏通机</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220V</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切割机</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220V</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压线钳</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16-240平方</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开口扳手</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w:t>
            </w:r>
            <w:r>
              <w:rPr>
                <w:rFonts w:asciiTheme="minorEastAsia" w:eastAsiaTheme="minorEastAsia" w:hAnsiTheme="minorEastAsia" w:cstheme="minorEastAsia" w:hint="eastAsia"/>
                <w:b w:val="0"/>
                <w:bCs w:val="0"/>
                <w:color w:val="auto"/>
                <w:sz w:val="21"/>
                <w:szCs w:val="21"/>
                <w:highlight w:val="none"/>
                <w:lang w:val="en-US" w:eastAsia="zh-CN"/>
              </w:rPr>
              <w:t>-</w:t>
            </w:r>
            <w:r>
              <w:rPr>
                <w:rFonts w:asciiTheme="minorEastAsia" w:eastAsiaTheme="minorEastAsia" w:hAnsiTheme="minorEastAsia" w:cstheme="minorEastAsia" w:hint="eastAsia"/>
                <w:b w:val="0"/>
                <w:bCs w:val="0"/>
                <w:color w:val="auto"/>
                <w:sz w:val="21"/>
                <w:szCs w:val="21"/>
                <w:highlight w:val="none"/>
              </w:rPr>
              <w:t>24mm</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梅花扳手</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w:t>
            </w:r>
            <w:r>
              <w:rPr>
                <w:rFonts w:asciiTheme="minorEastAsia" w:eastAsiaTheme="minorEastAsia" w:hAnsiTheme="minorEastAsia" w:cstheme="minorEastAsia" w:hint="eastAsia"/>
                <w:b w:val="0"/>
                <w:bCs w:val="0"/>
                <w:color w:val="auto"/>
                <w:sz w:val="21"/>
                <w:szCs w:val="21"/>
                <w:highlight w:val="none"/>
                <w:lang w:val="en-US" w:eastAsia="zh-CN"/>
              </w:rPr>
              <w:t>-</w:t>
            </w:r>
            <w:r>
              <w:rPr>
                <w:rFonts w:asciiTheme="minorEastAsia" w:eastAsiaTheme="minorEastAsia" w:hAnsiTheme="minorEastAsia" w:cstheme="minorEastAsia" w:hint="eastAsia"/>
                <w:b w:val="0"/>
                <w:bCs w:val="0"/>
                <w:color w:val="auto"/>
                <w:sz w:val="21"/>
                <w:szCs w:val="21"/>
                <w:highlight w:val="none"/>
              </w:rPr>
              <w:t>32mm</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套筒扳手</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32件套</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内六角</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公制</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水管钳</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600mm</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把</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水管钳</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450mm</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把</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真空泵</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2L/s排气量</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台</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吸尘吸水机</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w:t>
            </w:r>
            <w:r>
              <w:rPr>
                <w:rFonts w:asciiTheme="minorEastAsia" w:eastAsiaTheme="minorEastAsia" w:hAnsiTheme="minorEastAsia" w:cstheme="minorEastAsia" w:hint="eastAsia"/>
                <w:b w:val="0"/>
                <w:bCs w:val="0"/>
                <w:color w:val="auto"/>
                <w:sz w:val="21"/>
                <w:szCs w:val="21"/>
                <w:highlight w:val="none"/>
                <w:lang w:val="en-US" w:eastAsia="zh-CN"/>
              </w:rPr>
              <w:t>k</w:t>
            </w:r>
            <w:r>
              <w:rPr>
                <w:rFonts w:asciiTheme="minorEastAsia" w:eastAsiaTheme="minorEastAsia" w:hAnsiTheme="minorEastAsia" w:cstheme="minorEastAsia" w:hint="eastAsia"/>
                <w:b w:val="0"/>
                <w:bCs w:val="0"/>
                <w:color w:val="auto"/>
                <w:sz w:val="21"/>
                <w:szCs w:val="21"/>
                <w:highlight w:val="none"/>
              </w:rPr>
              <w:t>W</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台</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卷线盘</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220V-4平方-50米</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个</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氧气焊枪</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2L便携式焊炬套组</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割管刀</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扩管器</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红外线测温枪</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个</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雪种压力表</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双头表</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万用表</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数显</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bookmarkStart w:id="32" w:name="OLE_LINK1"/>
            <w:r>
              <w:rPr>
                <w:rFonts w:asciiTheme="minorEastAsia" w:eastAsiaTheme="minorEastAsia" w:hAnsiTheme="minorEastAsia" w:cstheme="minorEastAsia" w:hint="eastAsia"/>
                <w:b w:val="0"/>
                <w:bCs w:val="0"/>
                <w:color w:val="auto"/>
                <w:sz w:val="21"/>
                <w:szCs w:val="21"/>
                <w:highlight w:val="none"/>
              </w:rPr>
              <w:t>钳</w:t>
            </w:r>
            <w:r>
              <w:rPr>
                <w:rFonts w:asciiTheme="minorEastAsia" w:eastAsiaTheme="minorEastAsia" w:hAnsiTheme="minorEastAsia" w:cstheme="minorEastAsia" w:hint="eastAsia"/>
                <w:b w:val="0"/>
                <w:bCs w:val="0"/>
                <w:color w:val="auto"/>
                <w:sz w:val="21"/>
                <w:szCs w:val="21"/>
                <w:highlight w:val="none"/>
                <w:lang w:val="en-US" w:eastAsia="zh-CN"/>
              </w:rPr>
              <w:t>形</w:t>
            </w:r>
            <w:r>
              <w:rPr>
                <w:rFonts w:asciiTheme="minorEastAsia" w:eastAsiaTheme="minorEastAsia" w:hAnsiTheme="minorEastAsia" w:cstheme="minorEastAsia" w:hint="eastAsia"/>
                <w:b w:val="0"/>
                <w:bCs w:val="0"/>
                <w:color w:val="auto"/>
                <w:sz w:val="21"/>
                <w:szCs w:val="21"/>
                <w:highlight w:val="none"/>
              </w:rPr>
              <w:t>电流表</w:t>
            </w:r>
            <w:bookmarkEnd w:id="32"/>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数显</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Style w:val="ListParagraph"/>
              <w:pageBreakBefore w:val="0"/>
              <w:numPr>
                <w:ilvl w:val="0"/>
                <w:numId w:val="13"/>
              </w:numPr>
              <w:tabs>
                <w:tab w:val="left" w:pos="0"/>
              </w:tabs>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常用工具</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螺丝刀、尖嘴钳</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斜口钳、剥线钳、钢丝钳、美工刀、卷尺、电笔等</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套</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20</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32</w:t>
            </w: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登高作业车</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高度12米以上</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台</w:t>
            </w: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适用于室内高空维修</w:t>
            </w:r>
          </w:p>
        </w:tc>
      </w:tr>
      <w:tr>
        <w:tblPrEx>
          <w:tblW w:w="5000" w:type="pct"/>
          <w:tblInd w:w="0" w:type="dxa"/>
          <w:tblLayout w:type="fixed"/>
          <w:tblCellMar>
            <w:top w:w="0" w:type="dxa"/>
            <w:left w:w="30" w:type="dxa"/>
            <w:bottom w:w="0" w:type="dxa"/>
            <w:right w:w="30" w:type="dxa"/>
          </w:tblCellMar>
        </w:tblPrEx>
        <w:trPr>
          <w:trHeight w:val="23"/>
        </w:trPr>
        <w:tc>
          <w:tcPr>
            <w:tcW w:w="588"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33</w:t>
            </w:r>
          </w:p>
        </w:tc>
        <w:tc>
          <w:tcPr>
            <w:tcW w:w="115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大功率潜水泵</w:t>
            </w:r>
          </w:p>
        </w:tc>
        <w:tc>
          <w:tcPr>
            <w:tcW w:w="1154"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3k</w:t>
            </w:r>
            <w:r>
              <w:rPr>
                <w:rFonts w:asciiTheme="minorEastAsia" w:eastAsiaTheme="minorEastAsia" w:hAnsiTheme="minorEastAsia" w:cstheme="minorEastAsia" w:hint="eastAsia"/>
                <w:b w:val="0"/>
                <w:bCs w:val="0"/>
                <w:color w:val="auto"/>
                <w:sz w:val="21"/>
                <w:szCs w:val="21"/>
                <w:highlight w:val="none"/>
                <w:lang w:val="en-US" w:eastAsia="zh-CN"/>
              </w:rPr>
              <w:t>W</w:t>
            </w:r>
            <w:r>
              <w:rPr>
                <w:rFonts w:asciiTheme="minorEastAsia" w:eastAsiaTheme="minorEastAsia" w:hAnsiTheme="minorEastAsia" w:cstheme="minorEastAsia" w:hint="eastAsia"/>
                <w:b w:val="0"/>
                <w:bCs w:val="0"/>
                <w:color w:val="auto"/>
                <w:sz w:val="21"/>
                <w:szCs w:val="21"/>
                <w:highlight w:val="none"/>
              </w:rPr>
              <w:t>以上</w:t>
            </w:r>
          </w:p>
        </w:tc>
        <w:tc>
          <w:tcPr>
            <w:tcW w:w="598"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c>
          <w:tcPr>
            <w:tcW w:w="916"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587" w:type="pct"/>
            <w:vAlign w:val="center"/>
          </w:tcPr>
          <w:p>
            <w:pPr>
              <w:pStyle w:val="ListParagraph"/>
              <w:pageBreakBefore w:val="0"/>
              <w:numPr>
                <w:ilvl w:val="255"/>
                <w:numId w:val="0"/>
              </w:numPr>
              <w:tabs>
                <w:tab w:val="left" w:pos="0"/>
              </w:tabs>
              <w:kinsoku/>
              <w:wordWrap/>
              <w:overflowPunct/>
              <w:autoSpaceDE/>
              <w:autoSpaceDN/>
              <w:bidi w:val="0"/>
              <w:spacing w:line="360" w:lineRule="auto"/>
              <w:jc w:val="center"/>
              <w:rPr>
                <w:rFonts w:asciiTheme="minorEastAsia" w:eastAsiaTheme="minorEastAsia" w:hAnsiTheme="minorEastAsia" w:cstheme="minorEastAsia" w:hint="eastAsia"/>
                <w:b w:val="0"/>
                <w:bCs w:val="0"/>
                <w:color w:val="auto"/>
                <w:sz w:val="21"/>
                <w:szCs w:val="21"/>
                <w:highlight w:val="none"/>
              </w:rPr>
            </w:pPr>
          </w:p>
        </w:tc>
      </w:tr>
    </w:tbl>
    <w:p>
      <w:pPr>
        <w:pStyle w:val="ListParagraph"/>
        <w:pageBreakBefore w:val="0"/>
        <w:numPr>
          <w:ilvl w:val="255"/>
          <w:numId w:val="0"/>
        </w:numPr>
        <w:tabs>
          <w:tab w:val="left" w:pos="0"/>
        </w:tabs>
        <w:kinsoku/>
        <w:wordWrap/>
        <w:overflowPunct/>
        <w:autoSpaceDE/>
        <w:autoSpaceDN/>
        <w:bidi w:val="0"/>
        <w:spacing w:line="360" w:lineRule="auto"/>
        <w:ind w:left="181" w:firstLine="420" w:leftChars="86" w:firstLineChars="200"/>
        <w:rPr>
          <w:rFonts w:asciiTheme="minorEastAsia" w:eastAsiaTheme="minorEastAsia" w:hAnsiTheme="minorEastAsia" w:cstheme="minorEastAsia" w:hint="eastAsia"/>
          <w:b w:val="0"/>
          <w:bCs w:val="0"/>
          <w:color w:val="auto"/>
          <w:sz w:val="21"/>
          <w:szCs w:val="21"/>
          <w:highlight w:val="none"/>
        </w:rPr>
      </w:pPr>
    </w:p>
    <w:p>
      <w:pPr>
        <w:pStyle w:val="Heading2"/>
        <w:pageBreakBefore w:val="0"/>
        <w:kinsoku/>
        <w:wordWrap/>
        <w:overflowPunct/>
        <w:autoSpaceDE/>
        <w:autoSpaceDN/>
        <w:bidi w:val="0"/>
        <w:spacing w:line="360" w:lineRule="auto"/>
        <w:ind w:firstLine="482"/>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lang w:val="en-US" w:eastAsia="zh-CN"/>
        </w:rPr>
        <w:t>四</w:t>
      </w:r>
      <w:r>
        <w:rPr>
          <w:rFonts w:asciiTheme="majorEastAsia" w:eastAsiaTheme="majorEastAsia" w:hAnsiTheme="majorEastAsia" w:cstheme="majorEastAsia" w:hint="eastAsia"/>
          <w:b/>
          <w:bCs/>
          <w:color w:val="auto"/>
          <w:sz w:val="21"/>
          <w:szCs w:val="21"/>
          <w:highlight w:val="none"/>
          <w:lang w:eastAsia="zh-CN"/>
        </w:rPr>
        <w:t>）</w:t>
      </w:r>
      <w:r>
        <w:rPr>
          <w:rFonts w:asciiTheme="majorEastAsia" w:eastAsiaTheme="majorEastAsia" w:hAnsiTheme="majorEastAsia" w:cstheme="majorEastAsia" w:hint="eastAsia"/>
          <w:b/>
          <w:bCs/>
          <w:color w:val="auto"/>
          <w:sz w:val="21"/>
          <w:szCs w:val="21"/>
          <w:highlight w:val="none"/>
        </w:rPr>
        <w:t>工程管理服务内容与要求</w:t>
      </w:r>
    </w:p>
    <w:p>
      <w:pPr>
        <w:pStyle w:val="Heading3"/>
        <w:pageBreakBefore w:val="0"/>
        <w:numPr>
          <w:ilvl w:val="255"/>
          <w:numId w:val="0"/>
        </w:numPr>
        <w:kinsoku/>
        <w:wordWrap/>
        <w:overflowPunct/>
        <w:autoSpaceDE/>
        <w:autoSpaceDN/>
        <w:bidi w:val="0"/>
        <w:spacing w:before="0" w:after="0" w:line="360" w:lineRule="auto"/>
        <w:ind w:left="0"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rPr>
        <w:t>房屋维护管理服务</w:t>
      </w:r>
    </w:p>
    <w:p>
      <w:pPr>
        <w:pStyle w:val="Heading4"/>
        <w:pageBreakBefore w:val="0"/>
        <w:numPr>
          <w:ilvl w:val="0"/>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（1）房屋维护管理服务内容</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highlight w:val="none"/>
          <w:lang w:val="en-US" w:eastAsia="zh-CN" w:bidi="ar-SA"/>
        </w:rPr>
        <w:t>1)</w:t>
      </w:r>
      <w:r>
        <w:rPr>
          <w:rFonts w:asciiTheme="minorEastAsia" w:eastAsiaTheme="minorEastAsia" w:hAnsiTheme="minorEastAsia" w:cstheme="minorEastAsia" w:hint="eastAsia"/>
          <w:b w:val="0"/>
          <w:bCs w:val="0"/>
          <w:color w:val="auto"/>
          <w:sz w:val="21"/>
          <w:szCs w:val="21"/>
          <w:highlight w:val="none"/>
        </w:rPr>
        <w:t>全院范围房屋建筑（包括天台、顶棚楼梯、扶手、公共门窗等）零星修缮与管理（不含房屋改造和大面积修缮）；</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 xml:space="preserve">院内道路、广场、停车场、围墙、下水道的维修和维护； </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门窗的保养和维修以及办公室家具、各种座椅等设施的维修保养；</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 xml:space="preserve">公共设施维修维护； </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疏通各区域管道。</w:t>
      </w:r>
    </w:p>
    <w:p>
      <w:pPr>
        <w:pStyle w:val="ListParagraph"/>
        <w:pageBreakBefore w:val="0"/>
        <w:numPr>
          <w:ilvl w:val="0"/>
          <w:numId w:val="0"/>
        </w:numPr>
        <w:tabs>
          <w:tab w:val="left" w:pos="0"/>
        </w:tabs>
        <w:kinsoku/>
        <w:wordWrap/>
        <w:overflowPunct/>
        <w:autoSpaceDE/>
        <w:autoSpaceDN/>
        <w:bidi w:val="0"/>
        <w:spacing w:line="360" w:lineRule="auto"/>
        <w:ind w:left="420" w:firstLine="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注：中标单位负责质保期外的维保；对于维修范围不清晰的，由采购人负责界定，中标单位服从安排，不推诿维修责任。</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（2）房屋维护管理服务要求</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 xml:space="preserve">保持墙面的完好、无污迹、无霉斑； </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 xml:space="preserve">室外物业设施（如道路等）无破损、残缺； </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 xml:space="preserve">发现房屋本体建筑等的破损，及时上报医院； </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公共门窗、门（木门、铁门、防火门）、窗（铝合金窗、推 拉平开、百叶窗）牢固、平整、美观、无锈蚀、开关灵活、接缝 严密，不松动，门窗及配件齐全；</w:t>
      </w:r>
    </w:p>
    <w:p>
      <w:pPr>
        <w:pStyle w:val="ListParagraph"/>
        <w:pageBreakBefore w:val="0"/>
        <w:tabs>
          <w:tab w:val="left" w:pos="0"/>
        </w:tabs>
        <w:kinsoku/>
        <w:wordWrap/>
        <w:overflowPunct/>
        <w:autoSpaceDE/>
        <w:autoSpaceDN/>
        <w:bidi w:val="0"/>
        <w:spacing w:line="360" w:lineRule="auto"/>
        <w:ind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★配备至少一辆高度不少于12米的登高作业车，对应上岗人员持高处作业证，安全、高效地应对院内的高空维修作业需求。</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rPr>
        <w:t>机电工程管理服务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（1）机电工程管理服务内容</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院本部及下属社康空调系统维护保养。维护保养内容包括但不限于：</w:t>
      </w:r>
    </w:p>
    <w:p>
      <w:pPr>
        <w:pStyle w:val="ListParagraph"/>
        <w:pageBreakBefore w:val="0"/>
        <w:numPr>
          <w:ilvl w:val="1"/>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多联机的年度维护，每年至少一次对冷凝水管、室内盘管内机及外主机的疏通清洗；</w:t>
      </w:r>
    </w:p>
    <w:p>
      <w:pPr>
        <w:pStyle w:val="ListParagraph"/>
        <w:pageBreakBefore w:val="0"/>
        <w:numPr>
          <w:ilvl w:val="1"/>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在空调运行周期内，每月对过滤网进行清洗，以保障系统的正常运行；</w:t>
      </w:r>
    </w:p>
    <w:p>
      <w:pPr>
        <w:pStyle w:val="ListParagraph"/>
        <w:pageBreakBefore w:val="0"/>
        <w:numPr>
          <w:ilvl w:val="1"/>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承担原有分体空调的维修、维护、拆卸、安装及迁移工作（不包含新购空调的安装）。</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院本部高低压供配电、柴油发电机组系统及社康柴油、汽油发电机组、供配电运行与维护。</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院本部及下属社康照明系统的维修保养，灯光的照度达到《医疗建筑电气设计规范》（JGJ312-2013）规范要求并将运行情况记录在案。</w:t>
      </w:r>
    </w:p>
    <w:p>
      <w:pPr>
        <w:pStyle w:val="ListParagraph"/>
        <w:pageBreakBefore w:val="0"/>
        <w:numPr>
          <w:ilvl w:val="0"/>
          <w:numId w:val="14"/>
        </w:numPr>
        <w:tabs>
          <w:tab w:val="left" w:pos="0"/>
          <w:tab w:val="left" w:pos="1080"/>
        </w:tabs>
        <w:kinsoku/>
        <w:wordWrap/>
        <w:overflowPunct/>
        <w:autoSpaceDE/>
        <w:autoSpaceDN/>
        <w:bidi w:val="0"/>
        <w:spacing w:line="360" w:lineRule="auto"/>
        <w:ind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院本部及下属社康低压线路的加装、改造、维修保养。</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院本部及下属社康生活用水管道等加装、改造、维修保养。</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院本部及下属社康给排水系统、水泵系统日常运行与维护工作，包括水管漏水点排查、水管补漏维修等。除必须破拆墙体才能修复的水管破裂情况外，其余维修作业均交由物业公司处理。</w:t>
      </w:r>
    </w:p>
    <w:p>
      <w:pPr>
        <w:pStyle w:val="ListParagraph"/>
        <w:pageBreakBefore w:val="0"/>
        <w:numPr>
          <w:ilvl w:val="0"/>
          <w:numId w:val="14"/>
        </w:numPr>
        <w:tabs>
          <w:tab w:val="left" w:pos="0"/>
          <w:tab w:val="left" w:pos="1080"/>
        </w:tabs>
        <w:kinsoku/>
        <w:wordWrap/>
        <w:overflowPunct/>
        <w:autoSpaceDE/>
        <w:autoSpaceDN/>
        <w:bidi w:val="0"/>
        <w:spacing w:line="360" w:lineRule="auto"/>
        <w:ind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协助采购人制定安全合理节水计划。</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对院内的二次供水的水箱、水池进行清洗消毒工作，每半年一次。</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防水补漏工作，包含但不限于排查并解决因穿线管的破裂造成的漏水、窗渗水等问题。对需大面积铲除做防水的工程及时上报医院。</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院本部太阳能供热系统日常保养维修工作。</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院本部及下属社康排烟系统的维护维修保养及清洗工作。</w:t>
      </w:r>
    </w:p>
    <w:p>
      <w:pPr>
        <w:pStyle w:val="ListParagraph"/>
        <w:pageBreakBefore w:val="0"/>
        <w:numPr>
          <w:ilvl w:val="0"/>
          <w:numId w:val="14"/>
        </w:numPr>
        <w:tabs>
          <w:tab w:val="left" w:pos="0"/>
        </w:tabs>
        <w:kinsoku/>
        <w:wordWrap/>
        <w:overflowPunct/>
        <w:autoSpaceDE/>
        <w:autoSpaceDN/>
        <w:bidi w:val="0"/>
        <w:spacing w:line="360" w:lineRule="auto"/>
        <w:ind w:left="0" w:firstLine="42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公共设施和室内设施设备的日常维修、保养管理，维保对象包括但不限于电视机、冰箱、直饮水机、微波炉、开水器、空调、新风机房、家私类床具、床头柜、药柜、各类推车（平车、护理车、送物车）、轮椅、其他非医疗器械类、不锈钢制品等。</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配合采购人做好节能管理相关工作，协助医院进行节能、节水、绿色医院、文明单位等创建工作。</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配合电梯、房屋维修、消防系统、污水处理、高压设备预防性试验等项目委外维保公司工作，监督、巡查委外维保公司的工作，发现有超出安全范围的工作，及时做好提醒。</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未列入设备明细表的其他物业设备、设施管理维护及各种相关应急事件处理。</w:t>
      </w:r>
    </w:p>
    <w:p>
      <w:pPr>
        <w:pStyle w:val="ListParagraph"/>
        <w:pageBreakBefore w:val="0"/>
        <w:numPr>
          <w:ilvl w:val="0"/>
          <w:numId w:val="14"/>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院本部及下属社康的电梯管理工作，持电梯管理员证开展工作，对第三方电梯维修工的每半月检测情况进行确认并在维保单上签字。</w:t>
      </w:r>
    </w:p>
    <w:p>
      <w:pPr>
        <w:pStyle w:val="ListParagraph"/>
        <w:pageBreakBefore w:val="0"/>
        <w:numPr>
          <w:ilvl w:val="0"/>
          <w:numId w:val="0"/>
        </w:numPr>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注：中标单位负责质保期外的维保；对于维修范围不清晰的，由采购人负责界定，中标单位服从安排，不推诿维修责任。</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（2）机电工程管理服务要求</w:t>
      </w:r>
    </w:p>
    <w:tbl>
      <w:tblPr>
        <w:tblStyle w:val="TableNormal"/>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58"/>
        <w:gridCol w:w="7380"/>
      </w:tblGrid>
      <w:tr>
        <w:tblPrEx>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类别</w:t>
            </w:r>
          </w:p>
        </w:tc>
        <w:tc>
          <w:tcPr>
            <w:tcW w:w="7380"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要求</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太阳能热水供应系统维护</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1.热水供应系统24小时运作，认真做好运行设备各种仪表的数值记录和值班期间其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详细记录；</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2.运行值班人员应熟练掌握热泵太阳能热水系统的操作、故障判断及处理能力，出现故障及时处理，保障采购人热水供应；</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3.严格执行安全操作规程和有关部门规定操作，做到安全生产，严防事故发生；</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4.定期做好热水供应设备的清洁卫生，保持整洁、干净。</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电热开水器（含直饮水机）设备保养维护</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1.经常检查科室开水器和直饮水机使用情况，发现异常及时处理；</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2.每月定时对各在用电热开水器的漏电开关进行检测（每月至少一次），并做好记录；</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3.熟悉电热开水设备和直饮水机的运作状况、操作要求及安全注意事项，严格执行安全操作规程，做到安全生产，严防事故发生；</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4.做好电热开水器和直饮水机的安全防护。</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供水系统维护</w:t>
            </w:r>
          </w:p>
        </w:tc>
        <w:tc>
          <w:tcPr>
            <w:tcW w:w="7380" w:type="dxa"/>
            <w:tcBorders>
              <w:top w:val="single" w:sz="4" w:space="0" w:color="auto"/>
              <w:left w:val="single" w:sz="4" w:space="0" w:color="auto"/>
              <w:bottom w:val="single" w:sz="4" w:space="0" w:color="auto"/>
              <w:right w:val="single" w:sz="4" w:space="0" w:color="auto"/>
            </w:tcBorders>
          </w:tcPr>
          <w:p>
            <w:pPr>
              <w:pStyle w:val="BodyText"/>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1.供水系统运行正常，给水管道通畅、地下室、车库、设备房无积水、浸泡发生；</w:t>
            </w:r>
          </w:p>
          <w:p>
            <w:pPr>
              <w:pStyle w:val="BodyText2"/>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2.设备、阀门能正常开启、关闭，无跑冒滴漏现象；</w:t>
            </w:r>
          </w:p>
          <w:p>
            <w:pPr>
              <w:pStyle w:val="BodyText2"/>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3.★配置的水池管理人员持有健康证。</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高低压供配电系统的管理服务</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1★高低压供配电值班24小时值班，值班人员必须持有《特种作业操作证》（低压、高压电工作业），每天对值班房、配电房、机房进行清扫，保持室内和电器设备的整洁，确保机电设备完好运行正常；</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2.严格执行《安全工作规程》、配电房现场运行规程和有关供电管理的技术要求；</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3.严格执行配电房运行管理制度；</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4.工作人员熟悉掌握配电房的设备原理、结构、性能和运行情况，熟悉本院线路分布和使用情况；</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5.每2小时巡视一次各配电房高低压开关柜、变压器，发电机、消防泵机组、污水处理机房，修理后的设备需增加巡查次数；</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6.每周巡视一次各层间配电房；</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7.按规定的频次进行检查、巡视，并认真做好运行记录；</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8.对于巡视中发现的问题及时采取整改措施并及时向采购人汇报；</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9.保证采购人各科室的用电正常；</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10.熟悉采购人停电应急处理方案，发生停电事件立即按方案程序进行处理。</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11.熟悉采购人节约用电方案，采取有效的节约用电措施；</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12.协助供电部门做好高压设备定期预防性试验相关工作（费用由采购人支付）；</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13配合院内中午12点至14点、17点30分至第二天早晨7点30分的机电工的维修任务。</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低压供配电设备年度保养计划</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1.每月保养维修，包括但不限于以下事项：</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（1）紧固动力配电柜所有开关接线端、电气箱外壳接地螺栓、电度计量表接线端子，并除尘。</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（2）检查所有空气开关、断路器、漏电开关、电表等配电设备是否正常。</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（3）检查动力配电柜互投装置手动、自动转换是否灵敏。</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2.具备低压系统的故障和停电应急处理工作方案、应急措施，定期检查测试保障全年无设备安全管理责任事故发生。</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3绝缘工具检测：每半年至少一次绝缘工具的检测检验工作，需有第三方检测报告。</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4.做好供配电设备的日常保养，所有计划外停电要求10分钟内恢复。</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5.每季度至少一次巡查维护低压输出电缆。</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柴油、汽油发电机系统的维护</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1.工作人员熟悉柴油、汽油发电机设备的运作状况、操作规程及安全注意事项。</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2.定时巡查、维护、保养系统设备，发现异常及时报修。</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3.柴油、汽油发电机组每半月空载试机一次，每次15-30分钟，若条件许可，每半年带负荷运行一次，每月定期清洁发电房，按照厂家标准定期清洁、保养、维修发电机，并记录在案，保障应急供电。</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排烟系统的维护</w:t>
            </w:r>
          </w:p>
        </w:tc>
        <w:tc>
          <w:tcPr>
            <w:tcW w:w="7380" w:type="dxa"/>
            <w:tcBorders>
              <w:top w:val="single" w:sz="4" w:space="0" w:color="auto"/>
              <w:left w:val="single" w:sz="4" w:space="0" w:color="auto"/>
              <w:bottom w:val="single" w:sz="4" w:space="0" w:color="auto"/>
              <w:right w:val="single" w:sz="4" w:space="0" w:color="auto"/>
            </w:tcBorders>
          </w:tcPr>
          <w:p>
            <w:pPr>
              <w:pageBreakBefore w:val="0"/>
              <w:numPr>
                <w:ilvl w:val="0"/>
                <w:numId w:val="15"/>
              </w:numPr>
              <w:tabs>
                <w:tab w:val="left" w:pos="1080"/>
              </w:tabs>
              <w:kinsoku/>
              <w:wordWrap/>
              <w:overflowPunct/>
              <w:autoSpaceDE/>
              <w:autoSpaceDN/>
              <w:bidi w:val="0"/>
              <w:spacing w:line="360" w:lineRule="auto"/>
              <w:ind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工作人员熟悉排烟系统的运转情况；</w:t>
            </w:r>
          </w:p>
          <w:p>
            <w:pPr>
              <w:pageBreakBefore w:val="0"/>
              <w:numPr>
                <w:ilvl w:val="0"/>
                <w:numId w:val="15"/>
              </w:numPr>
              <w:tabs>
                <w:tab w:val="left" w:pos="1080"/>
              </w:tabs>
              <w:kinsoku/>
              <w:wordWrap/>
              <w:overflowPunct/>
              <w:autoSpaceDE/>
              <w:autoSpaceDN/>
              <w:bidi w:val="0"/>
              <w:spacing w:line="360" w:lineRule="auto"/>
              <w:ind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每季度进行清洗，清洗范围包括但不限于管道、过滤系统等；</w:t>
            </w:r>
          </w:p>
          <w:p>
            <w:pPr>
              <w:pageBreakBefore w:val="0"/>
              <w:numPr>
                <w:ilvl w:val="0"/>
                <w:numId w:val="15"/>
              </w:numPr>
              <w:tabs>
                <w:tab w:val="left" w:pos="1080"/>
              </w:tabs>
              <w:kinsoku/>
              <w:wordWrap/>
              <w:overflowPunct/>
              <w:autoSpaceDE/>
              <w:autoSpaceDN/>
              <w:bidi w:val="0"/>
              <w:spacing w:line="360" w:lineRule="auto"/>
              <w:ind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严格按照厂家标准进行定期保养和维修。</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空调系统维护</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1.空调维修管理人员对院内及社康的多联机的主机、盘管、空调排水管道每年至少一次深度清洗及疏通工作，做好清洗</w:t>
            </w:r>
            <w:r>
              <w:rPr>
                <w:rFonts w:asciiTheme="minorEastAsia" w:eastAsiaTheme="minorEastAsia" w:hAnsiTheme="minorEastAsia" w:cstheme="minorEastAsia" w:hint="eastAsia"/>
                <w:b w:val="0"/>
                <w:bCs w:val="0"/>
                <w:color w:val="auto"/>
                <w:sz w:val="21"/>
                <w:szCs w:val="21"/>
                <w:highlight w:val="none"/>
                <w:lang w:eastAsia="zh-CN"/>
              </w:rPr>
              <w:t>台账</w:t>
            </w:r>
            <w:r>
              <w:rPr>
                <w:rFonts w:asciiTheme="minorEastAsia" w:eastAsiaTheme="minorEastAsia" w:hAnsiTheme="minorEastAsia" w:cstheme="minorEastAsia" w:hint="eastAsia"/>
                <w:b w:val="0"/>
                <w:bCs w:val="0"/>
                <w:color w:val="auto"/>
                <w:sz w:val="21"/>
                <w:szCs w:val="21"/>
                <w:highlight w:val="none"/>
              </w:rPr>
              <w:t>记录，并随时处理当班多联机空调发生的故障。</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2.对分体空调室内机在运行季节每月清洗一次隔尘滤网，每年清洗主机至少一次，</w:t>
            </w:r>
            <w:r>
              <w:rPr>
                <w:rStyle w:val="CommentReference"/>
                <w:rFonts w:asciiTheme="minorEastAsia" w:eastAsiaTheme="minorEastAsia" w:hAnsiTheme="minorEastAsia" w:cstheme="minorEastAsia" w:hint="eastAsia"/>
                <w:b w:val="0"/>
                <w:bCs w:val="0"/>
                <w:color w:val="auto"/>
                <w:sz w:val="21"/>
                <w:szCs w:val="21"/>
                <w:highlight w:val="none"/>
              </w:rPr>
              <w:t>根据采购人要求疏通，做好清洗台账记录。</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机电日常维修</w:t>
            </w:r>
          </w:p>
        </w:tc>
        <w:tc>
          <w:tcPr>
            <w:tcW w:w="7380" w:type="dxa"/>
            <w:tcBorders>
              <w:top w:val="single" w:sz="4" w:space="0" w:color="auto"/>
              <w:left w:val="single" w:sz="4" w:space="0" w:color="auto"/>
              <w:bottom w:val="single" w:sz="4" w:space="0" w:color="auto"/>
              <w:right w:val="single" w:sz="4" w:space="0" w:color="auto"/>
            </w:tcBorders>
          </w:tcPr>
          <w:p>
            <w:pPr>
              <w:pStyle w:val="ListParagraph"/>
              <w:pageBreakBefore w:val="0"/>
              <w:numPr>
                <w:ilvl w:val="3"/>
                <w:numId w:val="14"/>
              </w:numPr>
              <w:tabs>
                <w:tab w:val="left" w:pos="0"/>
                <w:tab w:val="center" w:pos="4153"/>
              </w:tabs>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★持证上岗。需配置以下持证人员：</w:t>
            </w:r>
          </w:p>
          <w:p>
            <w:pPr>
              <w:pStyle w:val="ListParagraph"/>
              <w:pageBreakBefore w:val="0"/>
              <w:numPr>
                <w:ilvl w:val="255"/>
                <w:numId w:val="0"/>
              </w:numPr>
              <w:tabs>
                <w:tab w:val="left" w:pos="0"/>
                <w:tab w:val="center" w:pos="4153"/>
              </w:tabs>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A.</w:t>
            </w:r>
            <w:r>
              <w:rPr>
                <w:rFonts w:asciiTheme="minorEastAsia" w:eastAsiaTheme="minorEastAsia" w:hAnsiTheme="minorEastAsia" w:cstheme="minorEastAsia" w:hint="eastAsia"/>
                <w:b w:val="0"/>
                <w:bCs w:val="0"/>
                <w:color w:val="auto"/>
                <w:sz w:val="21"/>
                <w:szCs w:val="21"/>
                <w:highlight w:val="none"/>
              </w:rPr>
              <w:t>1名及以上具有高级电工证或技师证的岗位人员；</w:t>
            </w:r>
          </w:p>
          <w:p>
            <w:pPr>
              <w:pStyle w:val="ListParagraph"/>
              <w:pageBreakBefore w:val="0"/>
              <w:numPr>
                <w:ilvl w:val="255"/>
                <w:numId w:val="0"/>
              </w:numPr>
              <w:tabs>
                <w:tab w:val="left" w:pos="0"/>
                <w:tab w:val="center" w:pos="4153"/>
              </w:tabs>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B.</w:t>
            </w:r>
            <w:r>
              <w:rPr>
                <w:rFonts w:asciiTheme="minorEastAsia" w:eastAsiaTheme="minorEastAsia" w:hAnsiTheme="minorEastAsia" w:cstheme="minorEastAsia" w:hint="eastAsia"/>
                <w:b w:val="0"/>
                <w:bCs w:val="0"/>
                <w:color w:val="auto"/>
                <w:sz w:val="21"/>
                <w:szCs w:val="21"/>
                <w:highlight w:val="none"/>
              </w:rPr>
              <w:t>1名及以上具备焊工证的岗位人员；</w:t>
            </w:r>
          </w:p>
          <w:p>
            <w:pPr>
              <w:pStyle w:val="ListParagraph"/>
              <w:pageBreakBefore w:val="0"/>
              <w:numPr>
                <w:ilvl w:val="0"/>
                <w:numId w:val="0"/>
              </w:numPr>
              <w:tabs>
                <w:tab w:val="left" w:pos="0"/>
                <w:tab w:val="center" w:pos="4153"/>
              </w:tabs>
              <w:kinsoku/>
              <w:wordWrap/>
              <w:overflowPunct/>
              <w:autoSpaceDE/>
              <w:autoSpaceDN/>
              <w:bidi w:val="0"/>
              <w:spacing w:line="360" w:lineRule="auto"/>
              <w:ind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C.</w:t>
            </w:r>
            <w:r>
              <w:rPr>
                <w:rFonts w:asciiTheme="minorEastAsia" w:eastAsiaTheme="minorEastAsia" w:hAnsiTheme="minorEastAsia" w:cstheme="minorEastAsia" w:hint="eastAsia"/>
                <w:b w:val="0"/>
                <w:bCs w:val="0"/>
                <w:color w:val="auto"/>
                <w:sz w:val="21"/>
                <w:szCs w:val="21"/>
                <w:highlight w:val="none"/>
              </w:rPr>
              <w:t>1名及以上具有电梯管理员证的岗位人员。</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.每季度疏通室内雨水管道、污水管道一次，管道无堵塞、破坏，季度内如有堵塞，中标单位无条件进行疏通，采购方不再支付疏通费用。保持室内污水不外流，环境清洁。</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负责全院和各社康中心设施设备（不含医疗设备、不含采购人委外设备）单个单价300元（含300元）以下日常维修耗材费用（中标单位需提供目录清单，保障配件的质量，清单至少包含本表格所附300元以下维修耗材清单所列品目）。超过300元的日常维修耗材由采购人负责采购，由中标单位负责更换到位。</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房屋管理</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监督委外单位安装施工、装修、装饰等应符合国家建筑安全、电气安全等的有关法规和规范要求，无擅自用电、用水现象。</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tabs>
                <w:tab w:val="left" w:pos="108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节能管理</w:t>
            </w:r>
          </w:p>
        </w:tc>
        <w:tc>
          <w:tcPr>
            <w:tcW w:w="7380" w:type="dxa"/>
            <w:tcBorders>
              <w:top w:val="single" w:sz="4" w:space="0" w:color="auto"/>
              <w:left w:val="single" w:sz="4" w:space="0" w:color="auto"/>
              <w:bottom w:val="single" w:sz="4" w:space="0" w:color="auto"/>
              <w:right w:val="single" w:sz="4" w:space="0" w:color="auto"/>
            </w:tcBorders>
          </w:tcPr>
          <w:p>
            <w:pPr>
              <w:pStyle w:val="BodyText"/>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1.每月定时到施工场所及各科室抄录水电表，且在每月月底交水电报表至采购人。</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2.加强管理节能和行为节能，在保证该项目正常使用、不降低物业服务标准的前提下制定行为节能具体措施。</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协助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工作</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1.负责其他与后勤服务有关的应急性工作。</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2.协助委外单位对委外公共设施、设备的日常维护保养的服务质量监督，委外项目包括：电梯、消防、安防监控系统、污水处理等。</w:t>
            </w:r>
          </w:p>
        </w:tc>
      </w:tr>
      <w:tr>
        <w:tblPrEx>
          <w:tblW w:w="8538" w:type="dxa"/>
          <w:jc w:val="center"/>
          <w:tblLayout w:type="fixed"/>
          <w:tblCellMar>
            <w:top w:w="0" w:type="dxa"/>
            <w:left w:w="108" w:type="dxa"/>
            <w:bottom w:w="0" w:type="dxa"/>
            <w:right w:w="108" w:type="dxa"/>
          </w:tblCellMar>
        </w:tblPrEx>
        <w:trPr>
          <w:jc w:val="center"/>
        </w:trPr>
        <w:tc>
          <w:tcPr>
            <w:tcW w:w="1158" w:type="dxa"/>
            <w:tcBorders>
              <w:top w:val="single" w:sz="4" w:space="0" w:color="auto"/>
              <w:left w:val="single" w:sz="4" w:space="0" w:color="auto"/>
              <w:bottom w:val="single" w:sz="4" w:space="0" w:color="auto"/>
              <w:right w:val="single" w:sz="4" w:space="0" w:color="auto"/>
            </w:tcBorders>
            <w:vAlign w:val="center"/>
          </w:tcPr>
          <w:p>
            <w:pPr>
              <w:pageBreakBefore w:val="0"/>
              <w:tabs>
                <w:tab w:val="left" w:pos="108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其他</w:t>
            </w:r>
          </w:p>
          <w:p>
            <w:pPr>
              <w:pageBreakBefore w:val="0"/>
              <w:tabs>
                <w:tab w:val="left" w:pos="108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要求</w:t>
            </w:r>
          </w:p>
        </w:tc>
        <w:tc>
          <w:tcPr>
            <w:tcW w:w="7380" w:type="dxa"/>
            <w:tcBorders>
              <w:top w:val="single" w:sz="4" w:space="0" w:color="auto"/>
              <w:left w:val="single" w:sz="4" w:space="0" w:color="auto"/>
              <w:bottom w:val="single" w:sz="4" w:space="0" w:color="auto"/>
              <w:right w:val="single" w:sz="4" w:space="0" w:color="auto"/>
            </w:tcBorders>
          </w:tcPr>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1.公共设施设备完好无损，运作正常。公共区域无灯不亮,各区域灯光照度符合医疗规范标准；无因管理疏忽造成的机电设备损坏；机电设备完好，机电设备正常运行。</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2.有明确的管理制度、安全操作规程、岗位职责和各类人员职责。</w:t>
            </w:r>
          </w:p>
          <w:p>
            <w:pPr>
              <w:pageBreakBefore w:val="0"/>
              <w:tabs>
                <w:tab w:val="left" w:pos="1080"/>
              </w:tabs>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3.服务期满中标单位、采购人共同对各项目相关的机电设备、设施进行全面评估，验收。</w:t>
            </w:r>
          </w:p>
        </w:tc>
      </w:tr>
    </w:tbl>
    <w:p>
      <w:pPr>
        <w:pageBreakBefore w:val="0"/>
        <w:kinsoku/>
        <w:wordWrap/>
        <w:overflowPunct/>
        <w:autoSpaceDE/>
        <w:autoSpaceDN/>
        <w:bidi w:val="0"/>
        <w:spacing w:line="360" w:lineRule="auto"/>
        <w:ind w:firstLine="0"/>
        <w:rPr>
          <w:rFonts w:asciiTheme="minorEastAsia" w:eastAsiaTheme="minorEastAsia" w:hAnsiTheme="minorEastAsia" w:cstheme="minorEastAsia" w:hint="eastAsia"/>
          <w:b w:val="0"/>
          <w:bCs w:val="0"/>
          <w:color w:val="auto"/>
          <w:sz w:val="21"/>
          <w:szCs w:val="21"/>
          <w:highlight w:val="none"/>
        </w:rPr>
      </w:pPr>
    </w:p>
    <w:p>
      <w:pPr>
        <w:pStyle w:val="ListParagraph"/>
        <w:pageBreakBefore w:val="0"/>
        <w:numPr>
          <w:ilvl w:val="255"/>
          <w:numId w:val="0"/>
        </w:numPr>
        <w:tabs>
          <w:tab w:val="left" w:pos="0"/>
        </w:tabs>
        <w:kinsoku/>
        <w:wordWrap/>
        <w:overflowPunct/>
        <w:autoSpaceDE/>
        <w:autoSpaceDN/>
        <w:bidi w:val="0"/>
        <w:spacing w:line="360" w:lineRule="auto"/>
        <w:ind w:left="181" w:firstLine="420" w:leftChars="86" w:firstLineChars="200"/>
        <w:jc w:val="center"/>
        <w:rPr>
          <w:rFonts w:asciiTheme="majorEastAsia" w:eastAsiaTheme="majorEastAsia" w:hAnsiTheme="majorEastAsia" w:cstheme="majorEastAsia" w:hint="eastAsia"/>
          <w:b/>
          <w:bCs/>
          <w:color w:val="auto"/>
          <w:kern w:val="0"/>
          <w:sz w:val="21"/>
          <w:szCs w:val="21"/>
          <w:highlight w:val="none"/>
        </w:rPr>
      </w:pPr>
      <w:r>
        <w:rPr>
          <w:rFonts w:asciiTheme="majorEastAsia" w:eastAsiaTheme="majorEastAsia" w:hAnsiTheme="majorEastAsia" w:cstheme="majorEastAsia" w:hint="eastAsia"/>
          <w:b/>
          <w:bCs/>
          <w:color w:val="auto"/>
          <w:kern w:val="0"/>
          <w:sz w:val="21"/>
          <w:szCs w:val="21"/>
          <w:highlight w:val="none"/>
          <w:lang w:eastAsia="zh-CN"/>
        </w:rPr>
        <w:t>（</w:t>
      </w:r>
      <w:r>
        <w:rPr>
          <w:rFonts w:asciiTheme="majorEastAsia" w:eastAsiaTheme="majorEastAsia" w:hAnsiTheme="majorEastAsia" w:cstheme="majorEastAsia" w:hint="eastAsia"/>
          <w:b/>
          <w:bCs/>
          <w:color w:val="auto"/>
          <w:kern w:val="0"/>
          <w:sz w:val="21"/>
          <w:szCs w:val="21"/>
          <w:highlight w:val="none"/>
          <w:lang w:val="en-US" w:eastAsia="zh-CN"/>
        </w:rPr>
        <w:t>五</w:t>
      </w:r>
      <w:r>
        <w:rPr>
          <w:rFonts w:asciiTheme="majorEastAsia" w:eastAsiaTheme="majorEastAsia" w:hAnsiTheme="majorEastAsia" w:cstheme="majorEastAsia" w:hint="eastAsia"/>
          <w:b/>
          <w:bCs/>
          <w:color w:val="auto"/>
          <w:kern w:val="0"/>
          <w:sz w:val="21"/>
          <w:szCs w:val="21"/>
          <w:highlight w:val="none"/>
          <w:lang w:eastAsia="zh-CN"/>
        </w:rPr>
        <w:t>）</w:t>
      </w:r>
      <w:r>
        <w:rPr>
          <w:rFonts w:asciiTheme="majorEastAsia" w:eastAsiaTheme="majorEastAsia" w:hAnsiTheme="majorEastAsia" w:cstheme="majorEastAsia" w:hint="eastAsia"/>
          <w:b/>
          <w:bCs/>
          <w:color w:val="auto"/>
          <w:kern w:val="0"/>
          <w:sz w:val="21"/>
          <w:szCs w:val="21"/>
          <w:highlight w:val="none"/>
        </w:rPr>
        <w:t>环境美化服务内容与要求</w:t>
      </w:r>
    </w:p>
    <w:p>
      <w:pPr>
        <w:pStyle w:val="Heading3"/>
        <w:pageBreakBefore w:val="0"/>
        <w:numPr>
          <w:ilvl w:val="0"/>
          <w:numId w:val="0"/>
        </w:numPr>
        <w:kinsoku/>
        <w:wordWrap/>
        <w:overflowPunct/>
        <w:autoSpaceDE/>
        <w:autoSpaceDN/>
        <w:bidi w:val="0"/>
        <w:spacing w:before="0" w:after="0" w:line="360" w:lineRule="auto"/>
        <w:ind w:left="0"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rPr>
        <w:t>环境清洁管理服务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（1）环境清洁管理服务内容</w:t>
      </w:r>
    </w:p>
    <w:p>
      <w:pPr>
        <w:pStyle w:val="ListParagraph"/>
        <w:pageBreakBefore w:val="0"/>
        <w:numPr>
          <w:ilvl w:val="255"/>
          <w:numId w:val="0"/>
        </w:numPr>
        <w:tabs>
          <w:tab w:val="left" w:pos="0"/>
        </w:tabs>
        <w:kinsoku/>
        <w:wordWrap/>
        <w:overflowPunct/>
        <w:autoSpaceDE/>
        <w:autoSpaceDN/>
        <w:bidi w:val="0"/>
        <w:spacing w:line="360" w:lineRule="auto"/>
        <w:ind w:left="420" w:firstLine="0" w:leftChars="20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负责院内全方位立体的清洁卫生及环境美化工作。</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负责院内所有污水井、所有雨水井、化粪池等下水道清淤、疏通及无害化处理，要求使用压榨工艺处理，污水禁止运至院外，费用由中标单位承担。</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负责医疗场所、病房、洗手间的专业清洁与消毒；手术室清洁卫生与表面消毒。</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负责提供医院所有室内、连廊及其他必要清洗区域所使用的地巾布巾及其洗涤消毒、分类、回收、配送等服务。</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负责每天（含所有节假日）到医院各科室污染物品暂存点收集使用后的地巾布巾，并负责洗涤消毒、烘干、打包及送达至指定干净地巾布巾存放点的整个过程服务及管理。具体收送时间医院可根据项目现场情况进行调整。</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负责医院院外集体宿舍、职工宿舍、学生宿舍（按需不定期清洁）、专家房(每周一次）卫生清洁。在路程不超过医院周围5公里的情况下，工作人员来往交通费用由中标单位承担。</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保洁人员需接受医院临时指派的工作任务。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（2）环境清洁管理服务要求</w:t>
      </w:r>
    </w:p>
    <w:p>
      <w:pPr>
        <w:pStyle w:val="ListParagraph"/>
        <w:keepNext/>
        <w:keepLines/>
        <w:pageBreakBefore w:val="0"/>
        <w:widowControl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各区域环境清洁基本要求见下表。</w:t>
      </w:r>
    </w:p>
    <w:tbl>
      <w:tblPr>
        <w:tblStyle w:val="TableNormal"/>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71"/>
        <w:gridCol w:w="2706"/>
        <w:gridCol w:w="5049"/>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0"/>
          <w:jc w:val="center"/>
        </w:trPr>
        <w:tc>
          <w:tcPr>
            <w:tcW w:w="8280" w:type="dxa"/>
            <w:gridSpan w:val="3"/>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各区域环境清洁基本要求</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区域</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清洁项目</w:t>
            </w:r>
          </w:p>
        </w:tc>
        <w:tc>
          <w:tcPr>
            <w:tcW w:w="4903"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清洁标准</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restart"/>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大</w:t>
            </w:r>
            <w:r>
              <w:rPr>
                <w:rFonts w:asciiTheme="minorEastAsia" w:eastAsiaTheme="minorEastAsia" w:hAnsiTheme="minorEastAsia" w:cstheme="minorEastAsia" w:hint="eastAsia"/>
                <w:b w:val="0"/>
                <w:bCs w:val="0"/>
                <w:snapToGrid w:val="0"/>
                <w:color w:val="auto"/>
                <w:sz w:val="21"/>
                <w:szCs w:val="21"/>
                <w:highlight w:val="none"/>
              </w:rPr>
              <w:t>厅</w:t>
            </w:r>
          </w:p>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门口</w:t>
            </w:r>
          </w:p>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走廊</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大理石瓷砖及PVC地面</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随时保持干净、无污渍、尘渍、痰渍、烟头、杂物等，保持光洁明亮</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大理石或瓷砖墙身</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保持无尘、无蛛丝</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玻璃门及玻璃幕墙</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无手印、无污渍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天花板、大灯及灯箱光管</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无蛛丝、无灰尘</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灯饰、标识牌、风扇、风口</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无蛛丝、无灰尘</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花盆、花槽</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无杂物、无明显灰尘</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垃圾箱</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无尘渍、无痰渍，不堆积溢出，无异味</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restart"/>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电梯</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电梯门、不锈钢按钮、运行显示板</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随时保持无手印、无污渍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电梯厢内照明、天花</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w:t>
            </w:r>
            <w:r>
              <w:rPr>
                <w:rFonts w:asciiTheme="minorEastAsia" w:eastAsiaTheme="minorEastAsia" w:hAnsiTheme="minorEastAsia" w:cstheme="minorEastAsia" w:hint="eastAsia"/>
                <w:b w:val="0"/>
                <w:bCs w:val="0"/>
                <w:snapToGrid w:val="0"/>
                <w:color w:val="auto"/>
                <w:sz w:val="21"/>
                <w:szCs w:val="21"/>
                <w:highlight w:val="none"/>
              </w:rPr>
              <w:t>蛛丝</w:t>
            </w:r>
            <w:r>
              <w:rPr>
                <w:rFonts w:asciiTheme="minorEastAsia" w:eastAsiaTheme="minorEastAsia" w:hAnsiTheme="minorEastAsia" w:cstheme="minorEastAsia" w:hint="eastAsia"/>
                <w:b w:val="0"/>
                <w:bCs w:val="0"/>
                <w:snapToGrid w:val="0"/>
                <w:color w:val="auto"/>
                <w:sz w:val="21"/>
                <w:szCs w:val="21"/>
                <w:highlight w:val="none"/>
                <w:lang w:val="zh-CN"/>
              </w:rPr>
              <w:t>、无污渍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电梯厢内不锈钢内壁、按钮</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无手印、污渍、随时保持不锈钢亮丽的金属光泽、无蛛丝、无灰尘</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电梯厢内地面</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随时保持光洁、明亮、无杂物、无异味</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restart"/>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楼内公共走道</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瓷砖</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保持干净无污渍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楼梯扶手</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无污渍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灯饰、天花、标识、风扇、风口</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无污渍、无尘、无蜘蛛网</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消防栓、报警器开关等</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无手印、无污渍、无乱张贴广告</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烟灰筒、垃圾箱</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无尘渍、无痰渍，无堆积溢出，无异味</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restart"/>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室内</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办公室</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地面无尘、无杂物，皮质、木质无用具洁净明亮、无异味</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地面</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随时保持干净、无污渍、尘渍、痰渍、烟头等，保持光洁明亮</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家具、窗台</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随时保持光洁明亮、无污渍、尘渍等</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门窗玻璃</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无手印、无污渍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灯饰、天花、风扇、风口、隔帘</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无污渍、无尘、无蜘蛛网</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restart"/>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洗手间（按</w:t>
            </w:r>
            <w:r>
              <w:rPr>
                <w:rFonts w:asciiTheme="minorEastAsia" w:eastAsiaTheme="minorEastAsia" w:hAnsiTheme="minorEastAsia" w:cstheme="minorEastAsia" w:hint="eastAsia"/>
                <w:b w:val="0"/>
                <w:bCs w:val="0"/>
                <w:snapToGrid w:val="0"/>
                <w:color w:val="auto"/>
                <w:sz w:val="21"/>
                <w:szCs w:val="21"/>
                <w:highlight w:val="none"/>
              </w:rPr>
              <w:t>上级最新文件</w:t>
            </w:r>
            <w:r>
              <w:rPr>
                <w:rFonts w:asciiTheme="minorEastAsia" w:eastAsiaTheme="minorEastAsia" w:hAnsiTheme="minorEastAsia" w:cstheme="minorEastAsia" w:hint="eastAsia"/>
                <w:b w:val="0"/>
                <w:bCs w:val="0"/>
                <w:snapToGrid w:val="0"/>
                <w:color w:val="auto"/>
                <w:sz w:val="21"/>
                <w:szCs w:val="21"/>
                <w:highlight w:val="none"/>
                <w:lang w:val="zh-CN"/>
              </w:rPr>
              <w:t>落实）</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玻璃镜面，大理石台面</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无污渍、无积水、无乱张贴广告</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小便器、坐厕、洗手盆</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随时保持无污渍、无尿渍</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地面</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随时保持洁净干燥，无秽物、无积水、无乱张贴广告。</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洗手间隔板</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无污渍、无乱张贴广告</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灯管、天花</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无污渍、无灰尘、无</w:t>
            </w:r>
            <w:r>
              <w:rPr>
                <w:rFonts w:asciiTheme="minorEastAsia" w:eastAsiaTheme="minorEastAsia" w:hAnsiTheme="minorEastAsia" w:cstheme="minorEastAsia" w:hint="eastAsia"/>
                <w:b w:val="0"/>
                <w:bCs w:val="0"/>
                <w:snapToGrid w:val="0"/>
                <w:color w:val="auto"/>
                <w:sz w:val="21"/>
                <w:szCs w:val="21"/>
                <w:highlight w:val="none"/>
              </w:rPr>
              <w:t>蛛丝</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窗户玻璃和窗纱</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无尘、无蜘蛛网</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restart"/>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外围</w:t>
            </w:r>
          </w:p>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天台</w:t>
            </w: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外围走道</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无杂物、无烟头、无白色物</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外围花园，围栏</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无落叶、杂物等</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各种水井、沙井、排水沟</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保持通畅，无垃圾杂物、无积水、无异味，井盖无明显污渍、无堵塞</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垃圾箱</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无尘渍、无痰渍，无堆积溢出，无异味</w:t>
            </w:r>
          </w:p>
        </w:tc>
      </w:tr>
      <w:tr>
        <w:tblPrEx>
          <w:tblW w:w="4998" w:type="pct"/>
          <w:jc w:val="center"/>
          <w:tblLayout w:type="fixed"/>
          <w:tblCellMar>
            <w:top w:w="0" w:type="dxa"/>
            <w:left w:w="108" w:type="dxa"/>
            <w:bottom w:w="0" w:type="dxa"/>
            <w:right w:w="108" w:type="dxa"/>
          </w:tblCellMar>
        </w:tblPrEx>
        <w:trPr>
          <w:trHeight w:val="20"/>
          <w:jc w:val="center"/>
        </w:trPr>
        <w:tc>
          <w:tcPr>
            <w:tcW w:w="749" w:type="dxa"/>
            <w:vMerge/>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p>
        </w:tc>
        <w:tc>
          <w:tcPr>
            <w:tcW w:w="2628" w:type="dxa"/>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天台</w:t>
            </w:r>
          </w:p>
        </w:tc>
        <w:tc>
          <w:tcPr>
            <w:tcW w:w="4903" w:type="dxa"/>
            <w:vAlign w:val="center"/>
          </w:tcPr>
          <w:p>
            <w:pPr>
              <w:pageBreakBefore w:val="0"/>
              <w:kinsoku/>
              <w:wordWrap/>
              <w:overflowPunct/>
              <w:topLinePunct/>
              <w:autoSpaceDE/>
              <w:autoSpaceDN/>
              <w:bidi w:val="0"/>
              <w:spacing w:line="360" w:lineRule="auto"/>
              <w:ind w:firstLine="0" w:firstLineChars="0"/>
              <w:jc w:val="left"/>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snapToGrid w:val="0"/>
                <w:color w:val="auto"/>
                <w:sz w:val="21"/>
                <w:szCs w:val="21"/>
                <w:highlight w:val="none"/>
                <w:lang w:val="zh-CN"/>
              </w:rPr>
              <w:t>保持清洁，下水道通畅、无积水</w:t>
            </w:r>
          </w:p>
        </w:tc>
      </w:tr>
    </w:tbl>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lang w:val="en-US" w:eastAsia="zh-CN"/>
        </w:rPr>
      </w:pP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各区域环境清洁消毒要求见下表。</w:t>
      </w:r>
    </w:p>
    <w:tbl>
      <w:tblPr>
        <w:tblStyle w:val="TableNormal"/>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9"/>
        <w:gridCol w:w="1704"/>
        <w:gridCol w:w="1702"/>
        <w:gridCol w:w="1585"/>
        <w:gridCol w:w="1846"/>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0"/>
          <w:jc w:val="center"/>
        </w:trPr>
        <w:tc>
          <w:tcPr>
            <w:tcW w:w="8527" w:type="dxa"/>
            <w:gridSpan w:val="5"/>
            <w:vAlign w:val="center"/>
          </w:tcPr>
          <w:p>
            <w:pPr>
              <w:pageBreakBefore w:val="0"/>
              <w:kinsoku/>
              <w:wordWrap/>
              <w:overflowPunct/>
              <w:topLinePunct/>
              <w:autoSpaceDE/>
              <w:autoSpaceDN/>
              <w:bidi w:val="0"/>
              <w:spacing w:line="360" w:lineRule="auto"/>
              <w:ind w:firstLine="0" w:firstLineChars="0"/>
              <w:jc w:val="center"/>
              <w:rPr>
                <w:rFonts w:asciiTheme="minorEastAsia" w:eastAsiaTheme="minorEastAsia" w:hAnsiTheme="minorEastAsia" w:cstheme="minorEastAsia" w:hint="eastAsia"/>
                <w:b w:val="0"/>
                <w:bCs w:val="0"/>
                <w:snapToGrid w:val="0"/>
                <w:color w:val="auto"/>
                <w:sz w:val="21"/>
                <w:szCs w:val="21"/>
                <w:highlight w:val="none"/>
                <w:lang w:val="zh-CN"/>
              </w:rPr>
            </w:pPr>
            <w:r>
              <w:rPr>
                <w:rFonts w:asciiTheme="minorEastAsia" w:eastAsiaTheme="minorEastAsia" w:hAnsiTheme="minorEastAsia" w:cstheme="minorEastAsia" w:hint="eastAsia"/>
                <w:b w:val="0"/>
                <w:bCs w:val="0"/>
                <w:color w:val="auto"/>
                <w:sz w:val="21"/>
                <w:szCs w:val="21"/>
                <w:highlight w:val="none"/>
              </w:rPr>
              <w:t>各区域环境清洁消毒要求</w:t>
            </w:r>
          </w:p>
        </w:tc>
      </w:tr>
      <w:tr>
        <w:tblPrEx>
          <w:tblW w:w="4998" w:type="pct"/>
          <w:jc w:val="center"/>
          <w:tblLayout w:type="fixed"/>
          <w:tblCellMar>
            <w:top w:w="0" w:type="dxa"/>
            <w:left w:w="108" w:type="dxa"/>
            <w:bottom w:w="0" w:type="dxa"/>
            <w:right w:w="108" w:type="dxa"/>
          </w:tblCellMar>
        </w:tblPrEx>
        <w:trPr>
          <w:trHeight w:val="20"/>
          <w:jc w:val="center"/>
        </w:trPr>
        <w:tc>
          <w:tcPr>
            <w:tcW w:w="1689"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总项</w:t>
            </w: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分项</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处理原则</w:t>
            </w:r>
          </w:p>
        </w:tc>
        <w:tc>
          <w:tcPr>
            <w:tcW w:w="1585"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内容标准</w:t>
            </w:r>
          </w:p>
        </w:tc>
        <w:tc>
          <w:tcPr>
            <w:tcW w:w="1847"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清洁和消毒周期</w:t>
            </w:r>
          </w:p>
        </w:tc>
      </w:tr>
      <w:tr>
        <w:tblPrEx>
          <w:tblW w:w="4998" w:type="pct"/>
          <w:jc w:val="center"/>
          <w:tblLayout w:type="fixed"/>
          <w:tblCellMar>
            <w:top w:w="0" w:type="dxa"/>
            <w:left w:w="108" w:type="dxa"/>
            <w:bottom w:w="0" w:type="dxa"/>
            <w:right w:w="108" w:type="dxa"/>
          </w:tblCellMar>
        </w:tblPrEx>
        <w:trPr>
          <w:trHeight w:val="20"/>
          <w:jc w:val="center"/>
        </w:trPr>
        <w:tc>
          <w:tcPr>
            <w:tcW w:w="1689" w:type="dxa"/>
            <w:vMerge w:val="restart"/>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地面</w:t>
            </w: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无明显污染</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湿式清扫，及时清理保洁</w:t>
            </w:r>
          </w:p>
        </w:tc>
        <w:tc>
          <w:tcPr>
            <w:tcW w:w="1585" w:type="dxa"/>
            <w:vMerge w:val="restart"/>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w:t>
            </w:r>
          </w:p>
        </w:tc>
        <w:tc>
          <w:tcPr>
            <w:tcW w:w="1847" w:type="dxa"/>
            <w:vMerge w:val="restart"/>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2次/日，适时清理</w:t>
            </w:r>
          </w:p>
        </w:tc>
      </w:tr>
      <w:tr>
        <w:tblPrEx>
          <w:tblW w:w="4998" w:type="pct"/>
          <w:jc w:val="center"/>
          <w:tblLayout w:type="fixed"/>
          <w:tblCellMar>
            <w:top w:w="0" w:type="dxa"/>
            <w:left w:w="108" w:type="dxa"/>
            <w:bottom w:w="0" w:type="dxa"/>
            <w:right w:w="108" w:type="dxa"/>
          </w:tblCellMar>
        </w:tblPrEx>
        <w:trPr>
          <w:trHeight w:val="20"/>
          <w:jc w:val="center"/>
        </w:trPr>
        <w:tc>
          <w:tcPr>
            <w:tcW w:w="1689" w:type="dxa"/>
            <w:vMerge/>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受到污染</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消毒溶液擦洗</w:t>
            </w:r>
          </w:p>
        </w:tc>
        <w:tc>
          <w:tcPr>
            <w:tcW w:w="1585" w:type="dxa"/>
            <w:vMerge/>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847" w:type="dxa"/>
            <w:vMerge/>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4998" w:type="pct"/>
          <w:jc w:val="center"/>
          <w:tblLayout w:type="fixed"/>
          <w:tblCellMar>
            <w:top w:w="0" w:type="dxa"/>
            <w:left w:w="108" w:type="dxa"/>
            <w:bottom w:w="0" w:type="dxa"/>
            <w:right w:w="108" w:type="dxa"/>
          </w:tblCellMar>
        </w:tblPrEx>
        <w:trPr>
          <w:trHeight w:val="20"/>
          <w:jc w:val="center"/>
        </w:trPr>
        <w:tc>
          <w:tcPr>
            <w:tcW w:w="1689"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墙面</w:t>
            </w: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同上</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清水或消毒液</w:t>
            </w:r>
          </w:p>
        </w:tc>
        <w:tc>
          <w:tcPr>
            <w:tcW w:w="1585"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同上</w:t>
            </w:r>
          </w:p>
        </w:tc>
        <w:tc>
          <w:tcPr>
            <w:tcW w:w="1847"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1次/周</w:t>
            </w:r>
          </w:p>
        </w:tc>
      </w:tr>
      <w:tr>
        <w:tblPrEx>
          <w:tblW w:w="4998" w:type="pct"/>
          <w:jc w:val="center"/>
          <w:tblLayout w:type="fixed"/>
          <w:tblCellMar>
            <w:top w:w="0" w:type="dxa"/>
            <w:left w:w="108" w:type="dxa"/>
            <w:bottom w:w="0" w:type="dxa"/>
            <w:right w:w="108" w:type="dxa"/>
          </w:tblCellMar>
        </w:tblPrEx>
        <w:trPr>
          <w:trHeight w:val="20"/>
          <w:jc w:val="center"/>
        </w:trPr>
        <w:tc>
          <w:tcPr>
            <w:tcW w:w="1689"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室内物品表面</w:t>
            </w: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办公用品、</w:t>
            </w:r>
          </w:p>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病区用品</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湿式清洁或消毒液</w:t>
            </w:r>
          </w:p>
        </w:tc>
        <w:tc>
          <w:tcPr>
            <w:tcW w:w="1585"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清洁，防止病原菌扩散</w:t>
            </w:r>
          </w:p>
        </w:tc>
        <w:tc>
          <w:tcPr>
            <w:tcW w:w="1847"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普通病房1次/日，特殊科室2次/日</w:t>
            </w:r>
          </w:p>
        </w:tc>
      </w:tr>
      <w:tr>
        <w:tblPrEx>
          <w:tblW w:w="4998" w:type="pct"/>
          <w:jc w:val="center"/>
          <w:tblLayout w:type="fixed"/>
          <w:tblCellMar>
            <w:top w:w="0" w:type="dxa"/>
            <w:left w:w="108" w:type="dxa"/>
            <w:bottom w:w="0" w:type="dxa"/>
            <w:right w:w="108" w:type="dxa"/>
          </w:tblCellMar>
        </w:tblPrEx>
        <w:trPr>
          <w:trHeight w:val="20"/>
          <w:jc w:val="center"/>
        </w:trPr>
        <w:tc>
          <w:tcPr>
            <w:tcW w:w="1689" w:type="dxa"/>
            <w:vMerge w:val="restart"/>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其他物品表面</w:t>
            </w: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门把手、水龙头、门窗、洗手池等</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保持清洁</w:t>
            </w:r>
          </w:p>
        </w:tc>
        <w:tc>
          <w:tcPr>
            <w:tcW w:w="1585" w:type="dxa"/>
            <w:vMerge w:val="restart"/>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同清洁标准</w:t>
            </w:r>
          </w:p>
        </w:tc>
        <w:tc>
          <w:tcPr>
            <w:tcW w:w="1847" w:type="dxa"/>
            <w:vMerge w:val="restart"/>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消毒1次/日</w:t>
            </w:r>
          </w:p>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保持适时清理</w:t>
            </w:r>
          </w:p>
        </w:tc>
      </w:tr>
      <w:tr>
        <w:tblPrEx>
          <w:tblW w:w="4998" w:type="pct"/>
          <w:jc w:val="center"/>
          <w:tblLayout w:type="fixed"/>
          <w:tblCellMar>
            <w:top w:w="0" w:type="dxa"/>
            <w:left w:w="108" w:type="dxa"/>
            <w:bottom w:w="0" w:type="dxa"/>
            <w:right w:w="108" w:type="dxa"/>
          </w:tblCellMar>
        </w:tblPrEx>
        <w:trPr>
          <w:trHeight w:val="20"/>
          <w:jc w:val="center"/>
        </w:trPr>
        <w:tc>
          <w:tcPr>
            <w:tcW w:w="1689" w:type="dxa"/>
            <w:vMerge/>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704"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公共洗手间、便池</w:t>
            </w:r>
          </w:p>
        </w:tc>
        <w:tc>
          <w:tcPr>
            <w:tcW w:w="1702" w:type="dxa"/>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随时清洁、无异味</w:t>
            </w:r>
          </w:p>
        </w:tc>
        <w:tc>
          <w:tcPr>
            <w:tcW w:w="1585" w:type="dxa"/>
            <w:vMerge/>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1847" w:type="dxa"/>
            <w:vMerge/>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4998" w:type="pct"/>
          <w:jc w:val="center"/>
          <w:tblLayout w:type="fixed"/>
          <w:tblCellMar>
            <w:top w:w="0" w:type="dxa"/>
            <w:left w:w="108" w:type="dxa"/>
            <w:bottom w:w="0" w:type="dxa"/>
            <w:right w:w="108" w:type="dxa"/>
          </w:tblCellMar>
        </w:tblPrEx>
        <w:trPr>
          <w:trHeight w:val="20"/>
          <w:jc w:val="center"/>
        </w:trPr>
        <w:tc>
          <w:tcPr>
            <w:tcW w:w="8527" w:type="dxa"/>
            <w:gridSpan w:val="5"/>
            <w:vAlign w:val="center"/>
          </w:tcPr>
          <w:p>
            <w:pPr>
              <w:pageBreakBefore w:val="0"/>
              <w:tabs>
                <w:tab w:val="center" w:pos="4153"/>
              </w:tabs>
              <w:kinsoku/>
              <w:wordWrap/>
              <w:overflowPunct/>
              <w:autoSpaceDE/>
              <w:autoSpaceDN/>
              <w:bidi w:val="0"/>
              <w:adjustRightInd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消毒原则：严格按照院感要求执行。清洁区、半污染区和污染区应分别进行常规清洁、消毒处理。清洁区和污染区的消毒要求、方法和重点有所不同，若清洁区与污染区无明显界限，按污染区处理</w:t>
            </w:r>
          </w:p>
        </w:tc>
      </w:tr>
    </w:tbl>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地巾布巾需按照院感要求配置，满足临床使用需求，如服务质量考核中发现配置不足或其他问题则进行处罚。因管理因素造成医院及周边环境污染，以及人身伤害或由此引发的其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事故，由中标单位承担全部责任。</w:t>
      </w:r>
    </w:p>
    <w:p>
      <w:pPr>
        <w:pStyle w:val="ListParagraph"/>
        <w:pageBreakBefore w:val="0"/>
        <w:numPr>
          <w:ilvl w:val="255"/>
          <w:numId w:val="0"/>
        </w:numPr>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4）因中标单位服务质量原因（如地面未清洁到位有残留水渍、地面有破损未及时上报等）造成人员受伤事故，由中标单位承担全部责任。</w:t>
      </w:r>
    </w:p>
    <w:p>
      <w:pPr>
        <w:pStyle w:val="Heading3"/>
        <w:pageBreakBefore w:val="0"/>
        <w:numPr>
          <w:ilvl w:val="0"/>
          <w:numId w:val="0"/>
        </w:numPr>
        <w:kinsoku/>
        <w:wordWrap/>
        <w:overflowPunct/>
        <w:autoSpaceDE/>
        <w:autoSpaceDN/>
        <w:bidi w:val="0"/>
        <w:spacing w:before="0" w:after="0" w:line="360" w:lineRule="auto"/>
        <w:ind w:firstLine="420" w:firstLineChars="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rPr>
        <w:t>生活垃圾处理服务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（1）生活垃圾处理服务内容</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对垃圾进行分类收集，生活垃圾严格按照《深圳市生活垃圾分类管理条例》最新版相关规定执行。生活垃圾袋等由中标单位负责采购，需使用合格产品，垃圾袋颜色及规格按相关要求采购。</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垃圾处理达标、及时，避免二次污染。</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院内垃圾处理需符合医院院感要求。</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负责回收医院内电池，按照深圳市环保相关要求进行处理。</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负责监督院内装修人员将建筑垃圾运送到院内指定地点堆放；并监督院内施工单位外运医院外运施工垃圾。</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保持生活垃圾暂存处通风良好，做好防鼠、防蚁、防蚊蝇、防蟑螂</w:t>
      </w:r>
      <w:r>
        <w:rPr>
          <w:rFonts w:asciiTheme="minorEastAsia" w:eastAsiaTheme="minorEastAsia" w:hAnsiTheme="minorEastAsia" w:cstheme="minorEastAsia" w:hint="eastAsia"/>
          <w:b w:val="0"/>
          <w:bCs w:val="0"/>
          <w:color w:val="auto"/>
          <w:sz w:val="21"/>
          <w:szCs w:val="21"/>
          <w:highlight w:val="none"/>
          <w:lang w:eastAsia="zh-CN"/>
        </w:rPr>
        <w:t>等</w:t>
      </w:r>
      <w:r>
        <w:rPr>
          <w:rFonts w:asciiTheme="minorEastAsia" w:eastAsiaTheme="minorEastAsia" w:hAnsiTheme="minorEastAsia" w:cstheme="minorEastAsia" w:hint="eastAsia"/>
          <w:b w:val="0"/>
          <w:bCs w:val="0"/>
          <w:color w:val="auto"/>
          <w:sz w:val="21"/>
          <w:szCs w:val="21"/>
          <w:highlight w:val="none"/>
        </w:rPr>
        <w:t>安全措施；禁止在室内“吸烟”“饮食”等，避免非工作人员进出。</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（2）生活垃圾处理服务要求</w:t>
      </w:r>
    </w:p>
    <w:p>
      <w:pPr>
        <w:pStyle w:val="ListParagraph"/>
        <w:keepNext/>
        <w:keepLines/>
        <w:pageBreakBefore w:val="0"/>
        <w:widowControl w:val="0"/>
        <w:numPr>
          <w:ilvl w:val="0"/>
          <w:numId w:val="0"/>
        </w:numPr>
        <w:tabs>
          <w:tab w:val="left" w:pos="0"/>
        </w:tabs>
        <w:kinsoku/>
        <w:wordWrap/>
        <w:overflowPunct/>
        <w:autoSpaceDE/>
        <w:autoSpaceDN/>
        <w:bidi w:val="0"/>
        <w:spacing w:line="360" w:lineRule="auto"/>
        <w:ind w:left="0" w:firstLine="422"/>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生活垃圾做到及时处理，不可在院内累积堆放。</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 xml:space="preserve">指定专人对生活垃圾中转站进行管理，包括日常的清洗、消毒和运输垃圾的数量登记，制定相关的管理制度与标准。   </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医院区域内各类包装纸皮的回收由中标单位统一回收存放在指定位置，不可堆积存放在消防通道。定期将回收的纸皮变卖给单位，纸皮回收产生的所有费用由中标单位代为收取后移交至医院财务科，如上级相关部门下发文件则按最新文件执行纸皮回收工作。</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如因台风、突发疫情或其他不可</w:t>
      </w:r>
      <w:r>
        <w:rPr>
          <w:rFonts w:asciiTheme="minorEastAsia" w:eastAsiaTheme="minorEastAsia" w:hAnsiTheme="minorEastAsia" w:cstheme="minorEastAsia" w:hint="eastAsia"/>
          <w:b w:val="0"/>
          <w:bCs w:val="0"/>
          <w:color w:val="auto"/>
          <w:sz w:val="21"/>
          <w:szCs w:val="21"/>
          <w:highlight w:val="none"/>
          <w:lang w:eastAsia="zh-CN"/>
        </w:rPr>
        <w:t>抗</w:t>
      </w:r>
      <w:r>
        <w:rPr>
          <w:rFonts w:asciiTheme="minorEastAsia" w:eastAsiaTheme="minorEastAsia" w:hAnsiTheme="minorEastAsia" w:cstheme="minorEastAsia" w:hint="eastAsia"/>
          <w:b w:val="0"/>
          <w:bCs w:val="0"/>
          <w:color w:val="auto"/>
          <w:sz w:val="21"/>
          <w:szCs w:val="21"/>
          <w:highlight w:val="none"/>
        </w:rPr>
        <w:t>力产生超过日常运营正常的垃圾处理由中标单位承担。</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3.</w:t>
      </w:r>
      <w:r>
        <w:rPr>
          <w:rFonts w:asciiTheme="minorEastAsia" w:eastAsiaTheme="minorEastAsia" w:hAnsiTheme="minorEastAsia" w:cstheme="minorEastAsia" w:hint="eastAsia"/>
          <w:b/>
          <w:bCs/>
          <w:color w:val="auto"/>
          <w:sz w:val="21"/>
          <w:szCs w:val="21"/>
          <w:highlight w:val="none"/>
        </w:rPr>
        <w:t>医疗废物管理服务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（1）医疗废物管理服务内容</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严格按照《医疗废物管理条例》和卫生部《医疗废物管理办法》的等相关规定对医疗废物进行分类收集与暂时贮存，制定医疗废物收集工作流程和操作要求及标准，制定岗位的工作职责及发生医疗废物流失、泄露、扩散和意外事故的应急方案，定期对员工进行知识的培训和参加医院组织的相关知识的培训。</w:t>
      </w: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按院感要求，做好医院医疗废物的交接、登记、转运工作。</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负责到全院各科室、病区进行医疗废物的数量交接及签字确认工作；负责各科室、病区已移交的医疗废物的运送及称重。</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按照医疗废物追溯管理要求，将已与科室进行交接的医疗废物移交到医院“医疗废物暂存处”并进行数量确认。</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 xml:space="preserve">（2）医疗废物管理服务要求 </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指定专人每日定时、定点，按规定的路线运送医疗废物，严禁在非收集、非暂时贮存地点倾倒、堆放医疗废物，严禁将医疗废物混入其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废物和生活垃圾；为专职人员配备必要的职业卫生安全防护物品。医疗废物每日收集、转运至少两次，医疗垃圾袋费用由中标单位负责。污染袋、锐器盒等由采购单位负责。</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做好病区医疗废物的收集、封口、打包、交接、登记、转运工作。医疗废物的分类及处理应根据卫生部门相关文件制度及本院《医疗废物管理制度》对医疗废物进行正确的分类处理。医疗垃圾用医疗垃圾黄色专用袋装，可回收用绿色垃圾袋，放射性废弃物和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特殊的废弃物使用有特殊标志的污物袋进行收集。</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医疗废物暂存处应有专人负责统筹管理，杜绝捡拾废物售卖，严格管控医疗废物收集管理流程，避免医疗废物流失或被盗。违规者按规定处罚，承担法律责任。</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保持医疗废物暂存处通风良好，做好防鼠、防蚁、防蚊蝇、防蟑螂、防盗等安全措施；禁止在室内“吸烟”、“饮食”等，避免非工作人员进出。</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每天医疗废物清运之后，医疗废物暂存处要彻底清洁、消毒冲洗一次（用500mg/含氯消毒剂，特殊情况按照院感要求更改浓度）。</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收集运送的桶每次用完后清洗干净，并按照规定及相关要求进行消毒。</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暂时贮存的医疗废物做到日产日清，暂时贮存最长不超过48小时，因外送公司原因造成的滞留，应每天定期进行上报，同时加强安全管控。所有转运联单及签字记录至少保存3年。</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8)</w:t>
      </w:r>
      <w:r>
        <w:rPr>
          <w:rFonts w:asciiTheme="minorEastAsia" w:eastAsiaTheme="minorEastAsia" w:hAnsiTheme="minorEastAsia" w:cstheme="minorEastAsia" w:hint="eastAsia"/>
          <w:b w:val="0"/>
          <w:bCs w:val="0"/>
          <w:color w:val="auto"/>
          <w:sz w:val="21"/>
          <w:szCs w:val="21"/>
          <w:highlight w:val="none"/>
        </w:rPr>
        <w:t>要求收集医疗废物的中标单位所有工作人员每年进行体检，建立健康档案，内容包括GPT、HBsAg、HCV、HIV、RPR等检查项目，检查项目结果合格方可上岗，中标单位承担由于个人职业防护不当或垃圾处理操作不当所致职业暴露的诊疗费用及相应责任。</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9)</w:t>
      </w:r>
      <w:r>
        <w:rPr>
          <w:rFonts w:asciiTheme="minorEastAsia" w:eastAsiaTheme="minorEastAsia" w:hAnsiTheme="minorEastAsia" w:cstheme="minorEastAsia" w:hint="eastAsia"/>
          <w:b w:val="0"/>
          <w:bCs w:val="0"/>
          <w:color w:val="auto"/>
          <w:sz w:val="21"/>
          <w:szCs w:val="21"/>
          <w:highlight w:val="none"/>
        </w:rPr>
        <w:t>严格遵照医院医疗废物相关管理制度及流程开展医疗废物的管理工作。</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10)</w:t>
      </w:r>
      <w:r>
        <w:rPr>
          <w:rFonts w:asciiTheme="minorEastAsia" w:eastAsiaTheme="minorEastAsia" w:hAnsiTheme="minorEastAsia" w:cstheme="minorEastAsia" w:hint="eastAsia"/>
          <w:b w:val="0"/>
          <w:bCs w:val="0"/>
          <w:color w:val="auto"/>
          <w:sz w:val="21"/>
          <w:szCs w:val="21"/>
          <w:highlight w:val="none"/>
        </w:rPr>
        <w:t xml:space="preserve">输液袋（瓶）回收服务：中标单位负责整理收集科室的未受病人血液、体液、排泄物等感染的塑料输液袋、塑料输液瓶、AB白桶、医用玻璃瓶。按月登记、汇总并与采购人进行对账、签字确认，根据存放情况不定期置换。中标单位不向相关单位及工作人员索要、接受或者赠送礼金、有价证券、贵重物品及回扣、好处费、感谢费等。 </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4.</w:t>
      </w:r>
      <w:r>
        <w:rPr>
          <w:rFonts w:asciiTheme="minorEastAsia" w:eastAsiaTheme="minorEastAsia" w:hAnsiTheme="minorEastAsia" w:cstheme="minorEastAsia" w:hint="eastAsia"/>
          <w:b/>
          <w:bCs/>
          <w:color w:val="auto"/>
          <w:sz w:val="21"/>
          <w:szCs w:val="21"/>
          <w:highlight w:val="none"/>
        </w:rPr>
        <w:t>地面养护服务</w:t>
      </w:r>
    </w:p>
    <w:p>
      <w:pPr>
        <w:pStyle w:val="ListParagraph"/>
        <w:pageBreakBefore w:val="0"/>
        <w:numPr>
          <w:ilvl w:val="255"/>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（1）地面养护服务内容</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大理石地面抛光、养护、室内PVC地面养护每年一次，手术室、ICU、新生儿科、血透室、产科每季度一次，重点区域地面清洗、养护(包含但不限于：门诊大厅、急诊大厅、儿科门诊大厅)每月一次，如遇上级检查等特殊情况需根据院方需求紧急增加地板打蜡，相关费用由中标单位承担。</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地面养护工作所需用到的打蜡用品、耗材、工具、固定资产等物料均由中标单位提供及承担费用，材料需符合环保要求。</w:t>
      </w:r>
    </w:p>
    <w:p>
      <w:pPr>
        <w:pStyle w:val="ListParagraph"/>
        <w:pageBreakBefore w:val="0"/>
        <w:numPr>
          <w:ilvl w:val="255"/>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（2）地面养护服务要求</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对于有光泽的大理石，定期使用专门的石材护理剂进行养护，使其保持光亮如新。</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2)</w:t>
      </w:r>
      <w:r>
        <w:rPr>
          <w:rFonts w:asciiTheme="minorEastAsia" w:eastAsiaTheme="minorEastAsia" w:hAnsiTheme="minorEastAsia" w:cstheme="minorEastAsia" w:hint="eastAsia"/>
          <w:b w:val="0"/>
          <w:bCs w:val="0"/>
          <w:color w:val="auto"/>
          <w:sz w:val="21"/>
          <w:szCs w:val="21"/>
          <w:highlight w:val="none"/>
        </w:rPr>
        <w:t>根据科室的实际情况安排打蜡时间。</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晶化处理或打蜡使用的材料要求能在落蜡后即时提供较高的光亮度，晶化处理或打蜡后维持效果较持久，否则医院有权要求更换蜡水或晶化粉。</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每次晶化处理或打蜡后需进行签字确认验收，该记录将作为合同履约评价或续签合同的重要依据。</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 xml:space="preserve">操作人员需购买相关职业安全保险。 </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5.</w:t>
      </w:r>
      <w:r>
        <w:rPr>
          <w:rFonts w:asciiTheme="minorEastAsia" w:eastAsiaTheme="minorEastAsia" w:hAnsiTheme="minorEastAsia" w:cstheme="minorEastAsia" w:hint="eastAsia"/>
          <w:b/>
          <w:bCs/>
          <w:color w:val="auto"/>
          <w:sz w:val="21"/>
          <w:szCs w:val="21"/>
          <w:highlight w:val="none"/>
        </w:rPr>
        <w:t>搬运服务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（1）搬运服务内容</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按医院需要有组织有计划开展物资和设备的搬运工作，安全、及时运送，有统一的调度系统，专人监管，合理有效派工。</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协助会场布置，及时响应院方搬运任务及服从医院工作人员安排。</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院内及下属社康物资的搬运：是指家具、小型设备和日常物品等可移动物品的小批量、临时性搬运与挪移。如需将社康中心的物资搬运回医院，车辆由采购人提供，中标单位负责具体搬运工作。</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零星工作：无需配置专职搬运岗位的非长期非规律性搬运工作。</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负责医院院外集体宿舍（职工宿舍，学生宿舍，专家房）物资搬运。在路程不超过医院周围5公里，且无大件物资（如上下铺，桌子等大件家私或家电）的情况下，工作人员来往交通费用由中标单位承担。</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（2）搬运服务要求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搬运要求：在搬运前，中标单位应详细勘察搬运路线，包括楼梯、电梯、走廊等区域，按照采购人需求配置人员、设备，做好安全措施及应急预案等。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专业培训与安全教育：对所有参与搬运的工作人员进行专业培训，包括搬运技巧、安全操作规程、急救知识等。强调保护医院公共设备设施的重要性，每位员工严格遵守相关规定。</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使用专业搬运工具与设备：根据搬运物品的性质和重量，选择合适的搬运工具和设备，且这些设备处于良好工作状态。使用软质垫料或保护套对易损物品进行包裹，以减少搬运过程中的碰撞和摩擦。</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小心谨慎操作：在搬运过程中，工作人员应小心谨慎，避免急转弯、猛推猛拉等粗暴操作。在楼梯、电梯等狭窄或复杂环境中，更应放慢速度，平稳移动物品，同时注意观察周围环境，避免与墙面、地板等公共设备设施发生碰撞。</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设置警示标志与引导：在搬运路线沿途设置明显的警示标志，提醒医院内其他人员注意避让。同时，可安排专人进行引导搬运队伍按照预定路线行进，减少对其他区域的影响。</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及时清理与恢复：搬运完成后，应及时清理现场，将遗落的垃圾、杂物等清理干净。对于因搬运过程中可能造成的轻微划痕或污渍，应主动采取补救措施进行修复或清洁，以恢复公共设备设施的原有状态。</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明确责任与赔偿机制：中标单位购买足额保险，因搬运工原因给医院或患者造成损失的赔偿责任由中标单位承担。一旦发生损失，中标单位应立即启动赔偿程序，承担维修、维护、更换等费用，保障医院利益不受损害。</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6.</w:t>
      </w:r>
      <w:r>
        <w:rPr>
          <w:rFonts w:asciiTheme="minorEastAsia" w:eastAsiaTheme="minorEastAsia" w:hAnsiTheme="minorEastAsia" w:cstheme="minorEastAsia" w:hint="eastAsia"/>
          <w:b/>
          <w:bCs/>
          <w:color w:val="auto"/>
          <w:sz w:val="21"/>
          <w:szCs w:val="21"/>
          <w:highlight w:val="none"/>
        </w:rPr>
        <w:t>医院“厕所革命”服务</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（1）医院“厕所革命”服务内容</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kern w:val="0"/>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按照“深圳市市容环境指数评测”要求协助开展厕所革命服务工作。</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（2）医院“厕所革命”服务要求</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公共洗手间服务标准满足深圳市市容环境指数测评最新标准和要求。</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中标单位需具备环境监测系统、异味警报机制、分解异味仪器和除异味技术等提高公共洗手间环境的技术或设备。</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7.</w:t>
      </w:r>
      <w:r>
        <w:rPr>
          <w:rFonts w:asciiTheme="minorEastAsia" w:eastAsiaTheme="minorEastAsia" w:hAnsiTheme="minorEastAsia" w:cstheme="minorEastAsia" w:hint="eastAsia"/>
          <w:b/>
          <w:bCs/>
          <w:color w:val="auto"/>
          <w:sz w:val="21"/>
          <w:szCs w:val="21"/>
          <w:highlight w:val="none"/>
        </w:rPr>
        <w:t>控烟管理、文明城市、卫生城市创建及绿色医院</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（1）控烟管理、文明城市、卫生城市创建及绿色医院服务内容</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严格执行无烟医院的管理规定，设置控烟督导员，开展全院的控烟督导工作，遇到抽烟人员应及时劝阻，协助医院在公共区域张贴禁烟标识，开展禁烟宣传。控烟区域不摆放烟具，地面、楼梯间发现烟头要及时清理。中标单位有义务协助医院使用信息化手段开展绿色医院建设有关工作。</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巡逻关灯、水电、门，配合医院做好全国文明城市创建及绿色医院建设相关工作。</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（2）控烟管理、文明城市、卫生城市创建及绿色医院服务要求</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kern w:val="0"/>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根据《深圳市“十五五”时期“无废城市”建设实施方案》《2025年深圳市“无废城市”建设指标体系和任务清单》等政策文件要求，采用高效管理手段和技术性措施开展全院的节能减排工作，达到降本增效效果。</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8.</w:t>
      </w:r>
      <w:r>
        <w:rPr>
          <w:rFonts w:asciiTheme="minorEastAsia" w:eastAsiaTheme="minorEastAsia" w:hAnsiTheme="minorEastAsia" w:cstheme="minorEastAsia" w:hint="eastAsia"/>
          <w:b/>
          <w:bCs/>
          <w:color w:val="auto"/>
          <w:sz w:val="21"/>
          <w:szCs w:val="21"/>
          <w:highlight w:val="none"/>
        </w:rPr>
        <w:t>食堂全面清洁服务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安排人员每月至少一次到饭堂开展全面大扫除。清扫范围需覆盖所有食堂的全部区域，具体包括但不限于餐厅用餐区、厨房操作区、食材储存区、餐具清洗消毒区、走廊通道以及各类设施设备等，无任何卫生死角。</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鉴于食堂的日常运营需要，为避免对员工正常就餐造成影响，该大扫除工作需分两个晚上进行。​</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为保证食堂清洁效果，快速完成清扫工作，每次大扫除人员不少于20人。</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 xml:space="preserve">清洁用品和洗涤耗材由中标单位负责。 </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9.</w:t>
      </w:r>
      <w:r>
        <w:rPr>
          <w:rFonts w:asciiTheme="minorEastAsia" w:eastAsiaTheme="minorEastAsia" w:hAnsiTheme="minorEastAsia" w:cstheme="minorEastAsia" w:hint="eastAsia"/>
          <w:b/>
          <w:bCs/>
          <w:color w:val="auto"/>
          <w:sz w:val="21"/>
          <w:szCs w:val="21"/>
          <w:highlight w:val="none"/>
        </w:rPr>
        <w:t>绿化管理服务</w:t>
      </w:r>
    </w:p>
    <w:p>
      <w:pPr>
        <w:pageBreakBefore w:val="0"/>
        <w:kinsoku/>
        <w:wordWrap/>
        <w:overflowPunct/>
        <w:autoSpaceDE/>
        <w:autoSpaceDN/>
        <w:bidi w:val="0"/>
        <w:spacing w:line="360" w:lineRule="auto"/>
        <w:ind w:left="-422" w:firstLine="840" w:firstLineChars="4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医院绿化内容分为室内租摆、室外绿化养护及屋顶天面/楼层空中花</w:t>
      </w:r>
      <w:r>
        <w:rPr>
          <w:rFonts w:asciiTheme="minorEastAsia" w:eastAsiaTheme="minorEastAsia" w:hAnsiTheme="minorEastAsia" w:cstheme="minorEastAsia" w:hint="eastAsia"/>
          <w:b w:val="0"/>
          <w:bCs w:val="0"/>
          <w:color w:val="auto"/>
          <w:sz w:val="21"/>
          <w:szCs w:val="21"/>
          <w:highlight w:val="none"/>
          <w:lang w:val="en-US" w:eastAsia="zh-CN"/>
        </w:rPr>
        <w:t>园</w:t>
      </w:r>
      <w:r>
        <w:rPr>
          <w:rFonts w:asciiTheme="minorEastAsia" w:eastAsiaTheme="minorEastAsia" w:hAnsiTheme="minorEastAsia" w:cstheme="minorEastAsia" w:hint="eastAsia"/>
          <w:b w:val="0"/>
          <w:bCs w:val="0"/>
          <w:color w:val="auto"/>
          <w:sz w:val="21"/>
          <w:szCs w:val="21"/>
          <w:highlight w:val="none"/>
        </w:rPr>
        <w:t>绿化养护三部分。</w:t>
      </w:r>
    </w:p>
    <w:p>
      <w:pPr>
        <w:pStyle w:val="Heading4"/>
        <w:pageBreakBefore w:val="0"/>
        <w:numPr>
          <w:ilvl w:val="0"/>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室内租赁摆放服务</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室内摆花范围包括：门诊楼、住院楼、附属楼等，服务性质为总包干（即包摆放、包养护管理、包更换等）。</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2)</w:t>
      </w:r>
      <w:r>
        <w:rPr>
          <w:rFonts w:asciiTheme="minorEastAsia" w:eastAsiaTheme="minorEastAsia" w:hAnsiTheme="minorEastAsia" w:cstheme="minorEastAsia" w:hint="eastAsia"/>
          <w:b w:val="0"/>
          <w:bCs w:val="0"/>
          <w:color w:val="auto"/>
          <w:sz w:val="21"/>
          <w:szCs w:val="21"/>
          <w:highlight w:val="none"/>
        </w:rPr>
        <w:t>花盆摆放有序、洁净、美观、无残花、落叶，植株生长良好。</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3)</w:t>
      </w:r>
      <w:r>
        <w:rPr>
          <w:rFonts w:asciiTheme="minorEastAsia" w:eastAsiaTheme="minorEastAsia" w:hAnsiTheme="minorEastAsia" w:cstheme="minorEastAsia" w:hint="eastAsia"/>
          <w:b w:val="0"/>
          <w:bCs w:val="0"/>
          <w:color w:val="auto"/>
          <w:sz w:val="21"/>
          <w:szCs w:val="21"/>
          <w:highlight w:val="none"/>
        </w:rPr>
        <w:t>楼内鲜花摆放位置合理，如门厅、大厅、走廊、电梯口、等候区、办公室、会议室、 病房等，摆放搭配得当，季节性强，观赏性强，达到视觉效果上得赏心悦目。</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4)</w:t>
      </w:r>
      <w:r>
        <w:rPr>
          <w:rFonts w:asciiTheme="minorEastAsia" w:eastAsiaTheme="minorEastAsia" w:hAnsiTheme="minorEastAsia" w:cstheme="minorEastAsia" w:hint="eastAsia"/>
          <w:b w:val="0"/>
          <w:bCs w:val="0"/>
          <w:color w:val="auto"/>
          <w:sz w:val="21"/>
          <w:szCs w:val="21"/>
          <w:highlight w:val="none"/>
        </w:rPr>
        <w:t>法定节假日根据实际情况摆放。</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5)</w:t>
      </w:r>
      <w:r>
        <w:rPr>
          <w:rFonts w:asciiTheme="minorEastAsia" w:eastAsiaTheme="minorEastAsia" w:hAnsiTheme="minorEastAsia" w:cstheme="minorEastAsia" w:hint="eastAsia"/>
          <w:b w:val="0"/>
          <w:bCs w:val="0"/>
          <w:color w:val="auto"/>
          <w:sz w:val="21"/>
          <w:szCs w:val="21"/>
          <w:highlight w:val="none"/>
        </w:rPr>
        <w:t>日常绿化租摆费用由中标单位承担，绿化租摆费用不高于《深圳市直党政机关和事业单位物业管理服务及绿植租摆支出标准（征求意见稿）》的标准。</w:t>
      </w:r>
    </w:p>
    <w:p>
      <w:pPr>
        <w:pStyle w:val="Heading4"/>
        <w:pageBreakBefore w:val="0"/>
        <w:numPr>
          <w:ilvl w:val="0"/>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室外及屋顶天面/楼层空中花</w:t>
      </w:r>
      <w:r>
        <w:rPr>
          <w:rFonts w:asciiTheme="minorEastAsia" w:eastAsiaTheme="minorEastAsia" w:hAnsiTheme="minorEastAsia" w:cstheme="minorEastAsia" w:hint="eastAsia"/>
          <w:b/>
          <w:bCs/>
          <w:color w:val="auto"/>
          <w:sz w:val="21"/>
          <w:szCs w:val="21"/>
          <w:highlight w:val="none"/>
          <w:lang w:eastAsia="zh-CN"/>
        </w:rPr>
        <w:t>园</w:t>
      </w:r>
      <w:r>
        <w:rPr>
          <w:rFonts w:asciiTheme="minorEastAsia" w:eastAsiaTheme="minorEastAsia" w:hAnsiTheme="minorEastAsia" w:cstheme="minorEastAsia" w:hint="eastAsia"/>
          <w:b/>
          <w:bCs/>
          <w:color w:val="auto"/>
          <w:sz w:val="21"/>
          <w:szCs w:val="21"/>
          <w:highlight w:val="none"/>
        </w:rPr>
        <w:t>养护管理服务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草坪养护：无石块、纸屑、垃圾等杂物；草地缺损及时补植；清除杂草；适时量浇水施肥，肥不伤草，长势优良；适时剪草，修剪平整、美观，边缘整齐；草嫩绿，无烂草、感病草；注意防风排涝。</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乔木养护：乔木生长健壮、形态整齐、无凌乱枝条和冗长枝叶；适时适量浇、松土、施肥，采用穴施和沟施肥，覆土平整，肥料不露出土面；及时修剪，保造型优美，修剪截口与枝位平齐，主侧枝分布均匀；无明显病害枝。</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灌木和楼宇立面绿化养护：灌木株形整齐、造型植物轮廓清晰，修剪面平直整，棱角分明；适时适量浇水、松土、施肥，采用穴施和沟施肥，覆土平整，肥料露出土面；灌木脚部整齐清洁，无过长杂草杂物，无严重黄叶、积尘；及时修，造型优美；无明显病害枝；对遭受自然和人为损害的花木及时修补</w:t>
      </w:r>
      <w:r>
        <w:rPr>
          <w:rFonts w:asciiTheme="minorEastAsia" w:eastAsiaTheme="minorEastAsia" w:hAnsiTheme="minorEastAsia" w:cstheme="minorEastAsia" w:hint="eastAsia"/>
          <w:b w:val="0"/>
          <w:bCs w:val="0"/>
          <w:color w:val="auto"/>
          <w:sz w:val="21"/>
          <w:szCs w:val="21"/>
          <w:highlight w:val="none"/>
          <w:lang w:eastAsia="zh-CN"/>
        </w:rPr>
        <w:t>和</w:t>
      </w:r>
      <w:r>
        <w:rPr>
          <w:rFonts w:asciiTheme="minorEastAsia" w:eastAsiaTheme="minorEastAsia" w:hAnsiTheme="minorEastAsia" w:cstheme="minorEastAsia" w:hint="eastAsia"/>
          <w:b w:val="0"/>
          <w:bCs w:val="0"/>
          <w:color w:val="auto"/>
          <w:sz w:val="21"/>
          <w:szCs w:val="21"/>
          <w:highlight w:val="none"/>
        </w:rPr>
        <w:t>扶持。</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绿篱养护：造型绿篱轮廓清晰，棱角分明；绿篱侧面垂直，平面水平，无明显剪漏剪，无崩口，脚步整齐；绿篱修剪应有坡度变化，但坡度应平滑，不能有明交接口；绿篱内生长出的杂生植物，爬藤等应及时予以连根清除。</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时花养护：无残花、黄叶，无高出花面的竹签、杂草等；花盆摆放整齐，盆内杂物，最后一圈面向外的盆边整洁美观；整个花坛待换的花不超过1/3；地栽时生长良好，无杂草、无秃斑、边界分明，边界草不蔓入时花境内；无明显病虫；无缺水或干旱现象，植株生长良好。</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景观小品维护:景观小品无损坏、松脱、无污迹。</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空中花园：定期浇水；新植苗木牵引；施肥、修剪、病虫害防治等维护工作。</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8)</w:t>
      </w:r>
      <w:r>
        <w:rPr>
          <w:rFonts w:asciiTheme="minorEastAsia" w:eastAsiaTheme="minorEastAsia" w:hAnsiTheme="minorEastAsia" w:cstheme="minorEastAsia" w:hint="eastAsia"/>
          <w:b w:val="0"/>
          <w:bCs w:val="0"/>
          <w:color w:val="auto"/>
          <w:sz w:val="21"/>
          <w:szCs w:val="21"/>
          <w:highlight w:val="none"/>
        </w:rPr>
        <w:t>室外绿化养护所需肥料、药剂、工具等费用（包含因物业养护不到位产生的补苗费用）由中标单位承担。</w:t>
      </w:r>
    </w:p>
    <w:p>
      <w:pPr>
        <w:pStyle w:val="Heading4"/>
        <w:pageBreakBefore w:val="0"/>
        <w:numPr>
          <w:ilvl w:val="0"/>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3</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绿化管理服务要求</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7"/>
        <w:gridCol w:w="1134"/>
        <w:gridCol w:w="657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817" w:type="dxa"/>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序号</w:t>
            </w:r>
          </w:p>
        </w:tc>
        <w:tc>
          <w:tcPr>
            <w:tcW w:w="1134" w:type="dxa"/>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服务内容</w:t>
            </w:r>
          </w:p>
        </w:tc>
        <w:tc>
          <w:tcPr>
            <w:tcW w:w="6571" w:type="dxa"/>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服务要求</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1134" w:type="dxa"/>
            <w:vAlign w:val="center"/>
          </w:tcPr>
          <w:p>
            <w:pPr>
              <w:pStyle w:val="BodyText"/>
              <w:pageBreakBefore w:val="0"/>
              <w:widowControl w:val="0"/>
              <w:kinsoku/>
              <w:wordWrap/>
              <w:overflowPunct/>
              <w:autoSpaceDE/>
              <w:autoSpaceDN/>
              <w:bidi w:val="0"/>
              <w:spacing w:line="360" w:lineRule="auto"/>
              <w:ind w:left="181" w:firstLine="0" w:leftChars="86"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室内租赁摆放服务</w:t>
            </w:r>
          </w:p>
        </w:tc>
        <w:tc>
          <w:tcPr>
            <w:tcW w:w="6571" w:type="dxa"/>
          </w:tcPr>
          <w:p>
            <w:pPr>
              <w:pStyle w:val="ListParagraph"/>
              <w:pageBreakBefore w:val="0"/>
              <w:widowControl w:val="0"/>
              <w:numPr>
                <w:ilvl w:val="0"/>
                <w:numId w:val="0"/>
              </w:numPr>
              <w:tabs>
                <w:tab w:val="left" w:pos="0"/>
              </w:tabs>
              <w:kinsoku/>
              <w:wordWrap/>
              <w:overflowPunct/>
              <w:autoSpaceDE/>
              <w:autoSpaceDN/>
              <w:bidi w:val="0"/>
              <w:spacing w:line="360" w:lineRule="auto"/>
              <w:ind w:left="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1、大堂内外按实际需求摆放鲜花（盆栽），所摆放的花卉，需生长茂盛，美观，大方，品种要求多样化、高档化，且符合医院要求和有关人员的认可。</w:t>
            </w:r>
          </w:p>
          <w:p>
            <w:pPr>
              <w:pStyle w:val="ListParagraph"/>
              <w:pageBreakBefore w:val="0"/>
              <w:widowControl w:val="0"/>
              <w:numPr>
                <w:ilvl w:val="0"/>
                <w:numId w:val="0"/>
              </w:numPr>
              <w:tabs>
                <w:tab w:val="left" w:pos="0"/>
              </w:tabs>
              <w:kinsoku/>
              <w:wordWrap/>
              <w:overflowPunct/>
              <w:autoSpaceDE/>
              <w:autoSpaceDN/>
              <w:bidi w:val="0"/>
              <w:spacing w:line="360" w:lineRule="auto"/>
              <w:ind w:left="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2、积极配合医院做好绿植布置准备工作，根据医院临时要求做好供应保障。花卉无枯枝、黄叶、断枝，盆内无杂物、杂草，无干旱。</w:t>
            </w:r>
          </w:p>
          <w:p>
            <w:pPr>
              <w:pStyle w:val="ListParagraph"/>
              <w:pageBreakBefore w:val="0"/>
              <w:widowControl w:val="0"/>
              <w:numPr>
                <w:ilvl w:val="0"/>
                <w:numId w:val="0"/>
              </w:numPr>
              <w:tabs>
                <w:tab w:val="left" w:pos="0"/>
              </w:tabs>
              <w:kinsoku/>
              <w:wordWrap/>
              <w:overflowPunct/>
              <w:autoSpaceDE/>
              <w:autoSpaceDN/>
              <w:bidi w:val="0"/>
              <w:spacing w:line="360" w:lineRule="auto"/>
              <w:ind w:left="0" w:left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3、保持室内外盆栽、鲜花长势良好，根据不同季节及时进行更换。</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left="181" w:firstLine="0" w:leftChars="86"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1134" w:type="dxa"/>
            <w:vAlign w:val="center"/>
          </w:tcPr>
          <w:p>
            <w:pPr>
              <w:pStyle w:val="BodyText"/>
              <w:pageBreakBefore w:val="0"/>
              <w:widowControl w:val="0"/>
              <w:kinsoku/>
              <w:wordWrap/>
              <w:overflowPunct/>
              <w:autoSpaceDE/>
              <w:autoSpaceDN/>
              <w:bidi w:val="0"/>
              <w:spacing w:line="360" w:lineRule="auto"/>
              <w:ind w:left="181" w:firstLine="0" w:leftChars="86"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草坪</w:t>
            </w:r>
          </w:p>
        </w:tc>
        <w:tc>
          <w:tcPr>
            <w:tcW w:w="6571" w:type="dxa"/>
          </w:tcPr>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1、保洁率达99%；</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2、绿化完好率达99%；</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3、草地纯度达99%，杂草高度不高于15cm；</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4、留茬高4—6厘米；</w:t>
            </w:r>
          </w:p>
          <w:p>
            <w:pPr>
              <w:pStyle w:val="BodyText"/>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 暴风雨过后12小时，草地无1、2米以上积水；</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6、淋水：生长季（非雨季）每2天1次，非生长季（非雨季）每周1-2次；</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7、施肥：每年早春、晚秋各施1次全效复合肥；每两次修剪草坪后薄施1次速效复合肥、氮肥；节庆期间追施叶面肥或草坪增绿剂；</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8、修剪：生长季每20天修剪1次，留茬高不超过60mm；每年开春前重剪1次；</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9、疏草：草坪种植三年后每年1次；</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10、喷药：根据采购人要求，每月喷施杀虫药1次；突发病虫害进行针对性防治；要求利用周末或下班时间喷药，不准使用刺激性强或中等毒性以上农药；</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11、除杂草：随时人工拔杂草或周期性进行药剂喷杀。</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w:t>
            </w:r>
          </w:p>
        </w:tc>
        <w:tc>
          <w:tcPr>
            <w:tcW w:w="1134"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乔木</w:t>
            </w:r>
          </w:p>
        </w:tc>
        <w:tc>
          <w:tcPr>
            <w:tcW w:w="6571" w:type="dxa"/>
          </w:tcPr>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1、基部无30cm高以上枝叶，无杂草、杂物，土面不板结，透气良好；</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2、淋水：生长季（非雨季）每周2次，非生长季（非雨季）每半月1次；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3、施肥：早春施有机肥或复合肥1次；每年5-6月追施复合肥1次；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4、修剪：每月剪除长枝等，并对树冠适当整形保持形状；对造型树木应每两个月修剪一次外形，以保持形状；</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5、喷药：根据采购人要求，每月喷施杀虫药1次；突发病虫害进行针对性防治。要求利用周末或下班时间喷药，不准使用刺激性强或中等毒性以上的农药。</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w:t>
            </w:r>
          </w:p>
        </w:tc>
        <w:tc>
          <w:tcPr>
            <w:tcW w:w="1134"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灌木</w:t>
            </w:r>
          </w:p>
        </w:tc>
        <w:tc>
          <w:tcPr>
            <w:tcW w:w="6571" w:type="dxa"/>
          </w:tcPr>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1、无长于20厘米以上枯枝黄叶；</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2、淋水：生长季（非雨季）每周3-4次，非生长季（非雨季）每半月1-2次；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3、施肥：早春或入冬前施有机肥或复合肥1次；生长季每两个月追施复合肥1次；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4、修剪：每年12月至次年2月剪除长枝等，生长季非观赏花类每25天修剪1次，观赏花类每次观花后修剪1次；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5、喷药：根据采购人要求，每月喷施杀虫药1次；突发病虫害进行针对性防治。要求利用周末或下班时间喷药，不允许使用刺激性强或中等毒性以上的农药。</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w:t>
            </w:r>
          </w:p>
        </w:tc>
        <w:tc>
          <w:tcPr>
            <w:tcW w:w="1134"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绿篱和楼宇立面绿化</w:t>
            </w:r>
          </w:p>
        </w:tc>
        <w:tc>
          <w:tcPr>
            <w:tcW w:w="6571" w:type="dxa"/>
          </w:tcPr>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1、每次修剪原则上不超过上一次剪口，已定型的绿篱新枝留高不超过5cm；</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2、淋水：生长季（非雨季）每周2—3次，非生长季（非雨季）每半月1-2次；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3、施肥：早春或入冬前施有机肥或复合肥1次；生长季每两个月追施复合肥1次；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4、修剪：每年开春前将高度压到定高点剪1次；生长季每25天修剪1次；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5、喷药：根据采购人要求，每月喷施杀虫药1次；突发病虫害进行针对性防治。要求利用周末或下班时间喷药，不准使用刺激性强或中等毒性以上的农药。</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w:t>
            </w:r>
          </w:p>
        </w:tc>
        <w:tc>
          <w:tcPr>
            <w:tcW w:w="1134"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时花</w:t>
            </w:r>
          </w:p>
        </w:tc>
        <w:tc>
          <w:tcPr>
            <w:tcW w:w="6571" w:type="dxa"/>
          </w:tcPr>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1、淋水：生长季（非雨季）每天1-2次，非生长季（非雨季）每周1-2次；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2、施肥：地栽时花每年入冬前施1次</w:t>
            </w:r>
            <w:r>
              <w:rPr>
                <w:rFonts w:asciiTheme="minorEastAsia" w:eastAsiaTheme="minorEastAsia" w:hAnsiTheme="minorEastAsia" w:cstheme="minorEastAsia" w:hint="eastAsia"/>
                <w:b w:val="0"/>
                <w:bCs w:val="0"/>
                <w:color w:val="auto"/>
                <w:sz w:val="21"/>
                <w:szCs w:val="21"/>
                <w:highlight w:val="none"/>
                <w:lang w:eastAsia="zh-CN"/>
              </w:rPr>
              <w:t>磷</w:t>
            </w:r>
            <w:r>
              <w:rPr>
                <w:rFonts w:asciiTheme="minorEastAsia" w:eastAsiaTheme="minorEastAsia" w:hAnsiTheme="minorEastAsia" w:cstheme="minorEastAsia" w:hint="eastAsia"/>
                <w:b w:val="0"/>
                <w:bCs w:val="0"/>
                <w:color w:val="auto"/>
                <w:sz w:val="21"/>
                <w:szCs w:val="21"/>
                <w:highlight w:val="none"/>
              </w:rPr>
              <w:t>钾肥，生长季花后追施全效有机肥或复合肥；盆栽时花出圃前施1次磷钾肥；</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3、外观养护：每天清除残花、黄叶1次；每周修剪花边1次；每月松土、除杂草1次；</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4、喷药：根据采购人要求，每月喷施杀虫药1次；突发病虫害进行针对性防治。要求利用周末或下班时间喷药，不准使用刺激性强或中等毒性以上的农药。</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w:t>
            </w:r>
          </w:p>
        </w:tc>
        <w:tc>
          <w:tcPr>
            <w:tcW w:w="1134"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景观小品</w:t>
            </w:r>
          </w:p>
        </w:tc>
        <w:tc>
          <w:tcPr>
            <w:tcW w:w="6571" w:type="dxa"/>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1、每天巡查，有无破损、松脱、污迹，发现问题及时处理；</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2、每周擦抹一次；</w:t>
            </w:r>
          </w:p>
        </w:tc>
      </w:tr>
      <w:tr>
        <w:tblPrEx>
          <w:tblW w:w="0" w:type="auto"/>
          <w:tblInd w:w="0" w:type="dxa"/>
          <w:tblLayout w:type="fixed"/>
          <w:tblCellMar>
            <w:top w:w="0" w:type="dxa"/>
            <w:left w:w="108" w:type="dxa"/>
            <w:bottom w:w="0" w:type="dxa"/>
            <w:right w:w="108" w:type="dxa"/>
          </w:tblCellMar>
        </w:tblPrEx>
        <w:tc>
          <w:tcPr>
            <w:tcW w:w="817"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w:t>
            </w:r>
          </w:p>
        </w:tc>
        <w:tc>
          <w:tcPr>
            <w:tcW w:w="1134" w:type="dxa"/>
            <w:vAlign w:val="center"/>
          </w:tcPr>
          <w:p>
            <w:pPr>
              <w:pStyle w:val="BodyText"/>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天面/空中花园</w:t>
            </w:r>
          </w:p>
        </w:tc>
        <w:tc>
          <w:tcPr>
            <w:tcW w:w="6571" w:type="dxa"/>
          </w:tcPr>
          <w:p>
            <w:pPr>
              <w:pStyle w:val="Heading4"/>
              <w:pageBreakBefore w:val="0"/>
              <w:widowControl w:val="0"/>
              <w:numPr>
                <w:ilvl w:val="0"/>
                <w:numId w:val="0"/>
              </w:numPr>
              <w:kinsoku/>
              <w:wordWrap/>
              <w:overflowPunct/>
              <w:autoSpaceDE/>
              <w:autoSpaceDN/>
              <w:bidi w:val="0"/>
              <w:spacing w:line="360" w:lineRule="auto"/>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浇水：新植和近期移植的各类攀缘植物，应连续浇水，直至植株不灌水也能正常生长为止；要掌握好三至七月份植物生长关键时期的浇水量。由于攀缘植物根系浅、占地面积少，因此在土壤保水力差或天气干旱季节应适当增加浇水次数和浇水量。冬季干旱季节(11月至次年2月)每天浇水一次，3-10月份每2天浇水1次，施肥及补种时加强淋水，淋水时注意水管不能直射墙面以免造成爬墙虎或薜荔脱落，也不能冲养护面以免水土流失；</w:t>
            </w:r>
          </w:p>
          <w:p>
            <w:pPr>
              <w:pStyle w:val="BodyText2"/>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2、牵引：新植苗木发芽后应做好植株生长的引导工作，使其向指定方向生长；对攀缘植物的牵引应设专人负责；</w:t>
            </w:r>
          </w:p>
          <w:p>
            <w:pPr>
              <w:pStyle w:val="BodyText2"/>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3、施肥：施用基肥的肥料应使用有机肥，施用量宜为每延长米0.5-1.0kg；施肥后应及时浇水。叶面喷肥宜在早晨或傍晚进行，也可结合喷药一并喷施。春季 1-2月重施基肥(花生麸或鸡粪)，以后每隔3个月施基肥1次，每个月追肥1次，施肥方法以沟施为主；</w:t>
            </w:r>
          </w:p>
          <w:p>
            <w:pPr>
              <w:pStyle w:val="BodyText2"/>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4、病虫害防治：在防守上应贯彻“预防为主，综合防治”的方针；加强攀缘植物的肥水管理，促使植株生长健壮，以增强抗病虫的能力；及时清理病虫落叶、杂草等，消灭病源虫源，防止病虫扩散、蔓延；</w:t>
            </w:r>
          </w:p>
          <w:p>
            <w:pPr>
              <w:pStyle w:val="BodyText2"/>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5、修剪与间移:剪掉多余枝条，减轻植株下垂的重量，间移应在休眠期进行。</w:t>
            </w:r>
          </w:p>
        </w:tc>
      </w:tr>
    </w:tbl>
    <w:p>
      <w:pPr>
        <w:pStyle w:val="Heading4"/>
        <w:pageBreakBefore w:val="0"/>
        <w:numPr>
          <w:ilvl w:val="0"/>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4</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室内绿化租摆清单</w:t>
      </w:r>
    </w:p>
    <w:tbl>
      <w:tblPr>
        <w:tblStyle w:val="TableNormal"/>
        <w:tblpPr w:leftFromText="180" w:rightFromText="180" w:vertAnchor="text" w:horzAnchor="page" w:tblpX="1866" w:tblpY="398"/>
        <w:tblOverlap w:val="never"/>
        <w:tblW w:w="8200" w:type="dxa"/>
        <w:tblInd w:w="0" w:type="dxa"/>
        <w:tblLayout w:type="fixed"/>
        <w:tblCellMar>
          <w:top w:w="0" w:type="dxa"/>
          <w:left w:w="108" w:type="dxa"/>
          <w:bottom w:w="0" w:type="dxa"/>
          <w:right w:w="108" w:type="dxa"/>
        </w:tblCellMar>
      </w:tblPr>
      <w:tblGrid>
        <w:gridCol w:w="675"/>
        <w:gridCol w:w="930"/>
        <w:gridCol w:w="2235"/>
        <w:gridCol w:w="1547"/>
        <w:gridCol w:w="1934"/>
        <w:gridCol w:w="879"/>
      </w:tblGrid>
      <w:tr>
        <w:tblPrEx>
          <w:tblW w:w="8200" w:type="dxa"/>
          <w:tblInd w:w="0" w:type="dxa"/>
          <w:tblLayout w:type="fixed"/>
          <w:tblCellMar>
            <w:top w:w="0" w:type="dxa"/>
            <w:left w:w="108" w:type="dxa"/>
            <w:bottom w:w="0" w:type="dxa"/>
            <w:right w:w="108" w:type="dxa"/>
          </w:tblCellMar>
        </w:tblPrEx>
        <w:trPr>
          <w:trHeight w:val="500"/>
        </w:trPr>
        <w:tc>
          <w:tcPr>
            <w:tcW w:w="8200" w:type="dxa"/>
            <w:gridSpan w:val="6"/>
            <w:tcBorders>
              <w:top w:val="nil"/>
              <w:left w:val="nil"/>
              <w:bottom w:val="nil"/>
              <w:right w:val="nil"/>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深圳市龙岗区人民医院室内租摆绿植明细汇总</w:t>
            </w:r>
          </w:p>
        </w:tc>
      </w:tr>
      <w:tr>
        <w:tblPrEx>
          <w:tblW w:w="8200" w:type="dxa"/>
          <w:tblInd w:w="0" w:type="dxa"/>
          <w:tblLayout w:type="fixed"/>
          <w:tblCellMar>
            <w:top w:w="0" w:type="dxa"/>
            <w:left w:w="108" w:type="dxa"/>
            <w:bottom w:w="0" w:type="dxa"/>
            <w:right w:w="108" w:type="dxa"/>
          </w:tblCellMar>
        </w:tblPrEx>
        <w:trPr>
          <w:trHeight w:val="460"/>
        </w:trPr>
        <w:tc>
          <w:tcPr>
            <w:tcW w:w="8200" w:type="dxa"/>
            <w:gridSpan w:val="6"/>
            <w:tcBorders>
              <w:top w:val="nil"/>
              <w:left w:val="nil"/>
              <w:bottom w:val="nil"/>
              <w:right w:val="nil"/>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val="70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序号</w:t>
            </w:r>
          </w:p>
        </w:tc>
        <w:tc>
          <w:tcPr>
            <w:tcW w:w="930"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区域</w:t>
            </w:r>
          </w:p>
        </w:tc>
        <w:tc>
          <w:tcPr>
            <w:tcW w:w="22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品种</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kern w:val="0"/>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数量</w:t>
            </w:r>
          </w:p>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（单位：盆）</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摆放区域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备注</w:t>
            </w: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门诊楼</w:t>
            </w: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绿萝柱1.5m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29</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公共区域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巴西铁1.5m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公共区域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护士站、VIP室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金心铁0.8m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公共区域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6</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金钱树0.8m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8</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景观组合</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门诊一楼大厅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3840"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合计</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106</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9</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住院楼</w:t>
            </w: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绿萝柱1.5m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各临床科室通道</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10</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37</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11</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金星铁0.8m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电梯厅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12</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榕树2.6m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住院部门口</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金钱树0.8m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14</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巴西铁1.5m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医生办公室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3840"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合计</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155</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16</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附属楼</w:t>
            </w: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会议室/办公室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17</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绿萝柱1.5m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会议室/公共区域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18</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金钱树0.8m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6</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19</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巴西铁1.5m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21</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小发财树0.3m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科长办公室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3840"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合计</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72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22</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健康楼</w:t>
            </w: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蝴蝶兰天堂鸟组1.8m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健康楼一楼大厅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23</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白色定制花盆组合</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报告厅旁通道</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24</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平安树1.7m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VIP体检科</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25</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金心铁0.8m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14、15、16楼通道</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26</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绿萝柱1.5m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68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公共区域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27</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绿萝柱1.8m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职工餐厅/4楼体检科</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28</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造型绿宝1.7m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二楼大厅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29</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碧玉0.4m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公厕</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30</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巴西铁1.5m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9</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31</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天堂鸟1.7m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报告厅/体检科/职工之家</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32</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雅丽皇后0.8m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78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电梯厅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33</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大红掌0.5m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报告厅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35</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白如意0.3m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7</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报告厅</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36</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夏威夷1.6m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20</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重点科室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37</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3支红掌组合0.4m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38</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30</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会议室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39</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小绿萝0.3m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23</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会议室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40</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金钱树0.8m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23</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41</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红掌2组合0.4m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7</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42</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红掌4组合0.4m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43</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红星</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行政办</w:t>
            </w:r>
            <w:r>
              <w:rPr>
                <w:rFonts w:asciiTheme="minorEastAsia" w:eastAsiaTheme="minorEastAsia" w:hAnsiTheme="minorEastAsia" w:cstheme="minorEastAsia" w:hint="eastAsia"/>
                <w:b w:val="0"/>
                <w:bCs w:val="0"/>
                <w:color w:val="auto"/>
                <w:kern w:val="0"/>
                <w:sz w:val="21"/>
                <w:szCs w:val="21"/>
                <w:highlight w:val="none"/>
                <w:lang w:eastAsia="zh-CN"/>
              </w:rPr>
              <w:t>公</w:t>
            </w:r>
            <w:r>
              <w:rPr>
                <w:rFonts w:asciiTheme="minorEastAsia" w:eastAsiaTheme="minorEastAsia" w:hAnsiTheme="minorEastAsia" w:cstheme="minorEastAsia" w:hint="eastAsia"/>
                <w:b w:val="0"/>
                <w:bCs w:val="0"/>
                <w:color w:val="auto"/>
                <w:kern w:val="0"/>
                <w:sz w:val="21"/>
                <w:szCs w:val="21"/>
                <w:highlight w:val="none"/>
              </w:rPr>
              <w:t>室区域</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44</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发财树1.8m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45</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水养发财树0.3</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6</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主任/科长办公室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46</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琴叶榕3组合1.5m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袖珍椰子0.5m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8</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会议室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48</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散尾葵1.8M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体检科</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49</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吉利红</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报</w:t>
            </w:r>
            <w:r>
              <w:rPr>
                <w:rFonts w:asciiTheme="minorEastAsia" w:eastAsiaTheme="minorEastAsia" w:hAnsiTheme="minorEastAsia" w:cstheme="minorEastAsia" w:hint="eastAsia"/>
                <w:b w:val="0"/>
                <w:bCs w:val="0"/>
                <w:color w:val="auto"/>
                <w:kern w:val="0"/>
                <w:sz w:val="21"/>
                <w:szCs w:val="21"/>
                <w:highlight w:val="none"/>
                <w:lang w:eastAsia="zh-CN"/>
              </w:rPr>
              <w:t>告</w:t>
            </w:r>
            <w:r>
              <w:rPr>
                <w:rFonts w:asciiTheme="minorEastAsia" w:eastAsiaTheme="minorEastAsia" w:hAnsiTheme="minorEastAsia" w:cstheme="minorEastAsia" w:hint="eastAsia"/>
                <w:b w:val="0"/>
                <w:bCs w:val="0"/>
                <w:color w:val="auto"/>
                <w:kern w:val="0"/>
                <w:sz w:val="21"/>
                <w:szCs w:val="21"/>
                <w:highlight w:val="none"/>
              </w:rPr>
              <w:t>厅讲台</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50</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2只装君子兰0.3m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2</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51</w:t>
            </w:r>
          </w:p>
        </w:tc>
        <w:tc>
          <w:tcPr>
            <w:tcW w:w="930" w:type="dxa"/>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nil"/>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福禄桐0.4m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院领导办公室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3840"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合计</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423</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52</w:t>
            </w:r>
          </w:p>
        </w:tc>
        <w:tc>
          <w:tcPr>
            <w:tcW w:w="930" w:type="dxa"/>
            <w:vMerge w:val="restart"/>
            <w:tcBorders>
              <w:top w:val="nil"/>
              <w:left w:val="single" w:sz="4" w:space="0" w:color="000000"/>
              <w:bottom w:val="nil"/>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社康中心</w:t>
            </w:r>
          </w:p>
        </w:tc>
        <w:tc>
          <w:tcPr>
            <w:tcW w:w="2235" w:type="dxa"/>
            <w:tcBorders>
              <w:top w:val="nil"/>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红掌0.4m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3</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53</w:t>
            </w:r>
          </w:p>
        </w:tc>
        <w:tc>
          <w:tcPr>
            <w:tcW w:w="930" w:type="dxa"/>
            <w:vMerge/>
            <w:tcBorders>
              <w:top w:val="nil"/>
              <w:left w:val="single" w:sz="4" w:space="0" w:color="000000"/>
              <w:bottom w:val="nil"/>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绿萝柱1.5m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80</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各社康大厅/会议室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54</w:t>
            </w:r>
          </w:p>
        </w:tc>
        <w:tc>
          <w:tcPr>
            <w:tcW w:w="930" w:type="dxa"/>
            <w:vMerge/>
            <w:tcBorders>
              <w:top w:val="nil"/>
              <w:left w:val="single" w:sz="4" w:space="0" w:color="000000"/>
              <w:bottom w:val="nil"/>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金钱树0.8m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10</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主任办公室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55</w:t>
            </w:r>
          </w:p>
        </w:tc>
        <w:tc>
          <w:tcPr>
            <w:tcW w:w="930" w:type="dxa"/>
            <w:vMerge/>
            <w:tcBorders>
              <w:top w:val="nil"/>
              <w:left w:val="single" w:sz="4" w:space="0" w:color="000000"/>
              <w:bottom w:val="nil"/>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也门铁0.8m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会议室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67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56</w:t>
            </w:r>
          </w:p>
        </w:tc>
        <w:tc>
          <w:tcPr>
            <w:tcW w:w="930" w:type="dxa"/>
            <w:vMerge/>
            <w:tcBorders>
              <w:top w:val="nil"/>
              <w:left w:val="single" w:sz="4" w:space="0" w:color="000000"/>
              <w:bottom w:val="nil"/>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吉利红0.3m</w:t>
            </w:r>
          </w:p>
        </w:tc>
        <w:tc>
          <w:tcPr>
            <w:tcW w:w="1547" w:type="dxa"/>
            <w:tcBorders>
              <w:top w:val="single" w:sz="4" w:space="0" w:color="000000"/>
              <w:left w:val="single" w:sz="4" w:space="0" w:color="000000"/>
              <w:bottom w:val="single" w:sz="4" w:space="0" w:color="000000"/>
              <w:right w:val="single" w:sz="4" w:space="0" w:color="000000"/>
            </w:tcBorders>
            <w:shd w:val="clear" w:color="auto" w:fill="FFFFFF"/>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1</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各社康大厅/会议室</w:t>
            </w: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r>
        <w:tblPrEx>
          <w:tblW w:w="8200" w:type="dxa"/>
          <w:tblInd w:w="0" w:type="dxa"/>
          <w:tblLayout w:type="fixed"/>
          <w:tblCellMar>
            <w:top w:w="0" w:type="dxa"/>
            <w:left w:w="108" w:type="dxa"/>
            <w:bottom w:w="0" w:type="dxa"/>
            <w:right w:w="108" w:type="dxa"/>
          </w:tblCellMar>
        </w:tblPrEx>
        <w:trPr>
          <w:trHeight w:hRule="exact" w:val="340"/>
        </w:trPr>
        <w:tc>
          <w:tcPr>
            <w:tcW w:w="3840"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合计</w:t>
            </w:r>
          </w:p>
        </w:tc>
        <w:tc>
          <w:tcPr>
            <w:tcW w:w="154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textAlignment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rPr>
              <w:t>99</w:t>
            </w:r>
          </w:p>
        </w:tc>
        <w:tc>
          <w:tcPr>
            <w:tcW w:w="193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9"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r>
    </w:tbl>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备注：以上清单为预估数量，实际摆放位置、品种、数量、规格由医院与中标单位根据实际情况核定。</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10.</w:t>
      </w:r>
      <w:r>
        <w:rPr>
          <w:rFonts w:asciiTheme="minorEastAsia" w:eastAsiaTheme="minorEastAsia" w:hAnsiTheme="minorEastAsia" w:cstheme="minorEastAsia" w:hint="eastAsia"/>
          <w:b/>
          <w:bCs/>
          <w:color w:val="auto"/>
          <w:sz w:val="21"/>
          <w:szCs w:val="21"/>
          <w:highlight w:val="none"/>
        </w:rPr>
        <w:t>病媒生物防治服务</w:t>
      </w:r>
    </w:p>
    <w:p>
      <w:pPr>
        <w:pStyle w:val="Heading4"/>
        <w:pageBreakBefore w:val="0"/>
        <w:numPr>
          <w:ilvl w:val="1"/>
          <w:numId w:val="16"/>
        </w:numPr>
        <w:kinsoku/>
        <w:wordWrap/>
        <w:overflowPunct/>
        <w:autoSpaceDE/>
        <w:autoSpaceDN/>
        <w:bidi w:val="0"/>
        <w:spacing w:before="0" w:after="0" w:line="360" w:lineRule="auto"/>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病媒生物防治服务内容</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 xml:space="preserve">中标单位消杀服务需按照国家标准，根据医院要求完成医院红线范围内楼宇、公共区域及户外绿化区域等消杀工作，使用消杀的药物需符合上级主管部门及院感的要求。 </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0"/>
          <w:sz w:val="21"/>
          <w:szCs w:val="21"/>
          <w:highlight w:val="none"/>
          <w:lang w:val="en-US" w:eastAsia="zh-CN"/>
        </w:rPr>
        <w:t>2)</w:t>
      </w:r>
      <w:r>
        <w:rPr>
          <w:rFonts w:asciiTheme="minorEastAsia" w:eastAsiaTheme="minorEastAsia" w:hAnsiTheme="minorEastAsia" w:cstheme="minorEastAsia" w:hint="eastAsia"/>
          <w:b w:val="0"/>
          <w:bCs w:val="0"/>
          <w:color w:val="auto"/>
          <w:kern w:val="0"/>
          <w:sz w:val="21"/>
          <w:szCs w:val="21"/>
          <w:highlight w:val="none"/>
        </w:rPr>
        <w:t>中标单位安排自身具有相关资质或安排具备除虫灭鼠服务资格的专业单位对医院所有区域进行消杀工作，根据实际效果情况，医院有权要求中标单位增加消杀频次及更换消杀药品，</w:t>
      </w:r>
      <w:r>
        <w:rPr>
          <w:rFonts w:asciiTheme="minorEastAsia" w:eastAsiaTheme="minorEastAsia" w:hAnsiTheme="minorEastAsia" w:cstheme="minorEastAsia" w:hint="eastAsia"/>
          <w:b w:val="0"/>
          <w:bCs w:val="0"/>
          <w:color w:val="auto"/>
          <w:sz w:val="21"/>
          <w:szCs w:val="21"/>
          <w:highlight w:val="none"/>
        </w:rPr>
        <w:t>费用由中标单位承担。</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kern w:val="0"/>
          <w:sz w:val="21"/>
          <w:szCs w:val="21"/>
          <w:highlight w:val="none"/>
        </w:rPr>
      </w:pPr>
      <w:r>
        <w:rPr>
          <w:rFonts w:asciiTheme="minorEastAsia" w:eastAsiaTheme="minorEastAsia" w:hAnsiTheme="minorEastAsia" w:cstheme="minorEastAsia" w:hint="eastAsia"/>
          <w:b w:val="0"/>
          <w:bCs w:val="0"/>
          <w:color w:val="auto"/>
          <w:kern w:val="0"/>
          <w:sz w:val="21"/>
          <w:szCs w:val="21"/>
          <w:highlight w:val="none"/>
          <w:lang w:val="en-US" w:eastAsia="zh-CN"/>
        </w:rPr>
        <w:t>3)</w:t>
      </w:r>
      <w:r>
        <w:rPr>
          <w:rFonts w:asciiTheme="minorEastAsia" w:eastAsiaTheme="minorEastAsia" w:hAnsiTheme="minorEastAsia" w:cstheme="minorEastAsia" w:hint="eastAsia"/>
          <w:b w:val="0"/>
          <w:bCs w:val="0"/>
          <w:color w:val="auto"/>
          <w:kern w:val="0"/>
          <w:sz w:val="21"/>
          <w:szCs w:val="21"/>
          <w:highlight w:val="none"/>
        </w:rPr>
        <w:t>按医院要求提供特殊时期消杀服务，如传染病、登革热、埃博拉、疫情爆发等。按医院感染管理要求对重点场所和公共区域进行消杀，消杀频次、强度、使用消毒剂符合《医院感染管理预防与控制标准操作规程》要求，并做好个人防护。消杀记录由现场监督人员签名。消杀设备及消杀制剂、防护用品由中标单位提供。</w:t>
      </w:r>
    </w:p>
    <w:p>
      <w:pPr>
        <w:pStyle w:val="ListParagraph"/>
        <w:pageBreakBefore w:val="0"/>
        <w:numPr>
          <w:ilvl w:val="255"/>
          <w:numId w:val="0"/>
        </w:numPr>
        <w:tabs>
          <w:tab w:val="left" w:pos="0"/>
        </w:tabs>
        <w:kinsoku/>
        <w:wordWrap/>
        <w:overflowPunct/>
        <w:autoSpaceDE/>
        <w:autoSpaceDN/>
        <w:bidi w:val="0"/>
        <w:spacing w:line="360" w:lineRule="auto"/>
        <w:ind w:firstLine="420" w:firstLineChars="200"/>
        <w:rPr>
          <w:rFonts w:asciiTheme="minorEastAsia" w:eastAsiaTheme="minorEastAsia" w:hAnsiTheme="minorEastAsia" w:cstheme="minorEastAsia" w:hint="eastAsia"/>
          <w:b w:val="0"/>
          <w:bCs w:val="0"/>
          <w:color w:val="auto"/>
          <w:kern w:val="0"/>
          <w:sz w:val="21"/>
          <w:szCs w:val="21"/>
          <w:highlight w:val="none"/>
        </w:rPr>
      </w:pPr>
      <w:r>
        <w:rPr>
          <w:rFonts w:asciiTheme="minorEastAsia" w:eastAsiaTheme="minorEastAsia" w:hAnsiTheme="minorEastAsia" w:cstheme="minorEastAsia" w:hint="eastAsia"/>
          <w:b w:val="0"/>
          <w:bCs w:val="0"/>
          <w:color w:val="auto"/>
          <w:kern w:val="0"/>
          <w:sz w:val="21"/>
          <w:szCs w:val="21"/>
          <w:highlight w:val="none"/>
          <w:lang w:val="en-US" w:eastAsia="zh-CN"/>
        </w:rPr>
        <w:t>4)</w:t>
      </w:r>
      <w:r>
        <w:rPr>
          <w:rFonts w:asciiTheme="minorEastAsia" w:eastAsiaTheme="minorEastAsia" w:hAnsiTheme="minorEastAsia" w:cstheme="minorEastAsia" w:hint="eastAsia"/>
          <w:b w:val="0"/>
          <w:bCs w:val="0"/>
          <w:color w:val="auto"/>
          <w:kern w:val="0"/>
          <w:sz w:val="21"/>
          <w:szCs w:val="21"/>
          <w:highlight w:val="none"/>
        </w:rPr>
        <w:t>中标单位需注意平日积水的清理，以减少蚊虫的滋生。</w:t>
      </w:r>
    </w:p>
    <w:p>
      <w:pPr>
        <w:pStyle w:val="ListParagraph"/>
        <w:pageBreakBefore w:val="0"/>
        <w:numPr>
          <w:ilvl w:val="255"/>
          <w:numId w:val="0"/>
        </w:numPr>
        <w:tabs>
          <w:tab w:val="left" w:pos="0"/>
        </w:tabs>
        <w:kinsoku/>
        <w:wordWrap/>
        <w:overflowPunct/>
        <w:autoSpaceDE/>
        <w:autoSpaceDN/>
        <w:bidi w:val="0"/>
        <w:spacing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病媒生物防治服务要求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全院性消杀工作，秋冬季节不少于1周1次，春夏季节不少于1周2次，重点区域如发热门诊、急诊、垃圾暂存点等按需求增加消杀频次。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灭鼠标准：鼠密度不超3%（粉板阳性率）。</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灭蚊标准：积水中三龄蚊幼或蛹阳性率不超过3%。</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灭蝇标准：蝇类滋生地三龄幼虫和蛹的检出率不超过3%。</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灭蟑螂标准：室内有蟑螂成虫或若虫阳性房间不超过3%，平均每间房大蠊不超过5只，小蠊不超过10只；有活蟑螂卵鞘房间不超过2%，平均每间房不超过4只；有蟑螂粪便、蜕皮等蟑迹的房间不超过5%。</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★所有上岗消杀人员持有有害生物防制员证或防治员证。</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11.</w:t>
      </w:r>
      <w:r>
        <w:rPr>
          <w:rFonts w:asciiTheme="minorEastAsia" w:eastAsiaTheme="minorEastAsia" w:hAnsiTheme="minorEastAsia" w:cstheme="minorEastAsia" w:hint="eastAsia"/>
          <w:b/>
          <w:bCs/>
          <w:color w:val="auto"/>
          <w:sz w:val="21"/>
          <w:szCs w:val="21"/>
          <w:highlight w:val="none"/>
        </w:rPr>
        <w:t>白蚁、红蚁防治服务</w:t>
      </w:r>
    </w:p>
    <w:p>
      <w:pPr>
        <w:pStyle w:val="Heading4"/>
        <w:pageBreakBefore w:val="0"/>
        <w:numPr>
          <w:ilvl w:val="255"/>
          <w:numId w:val="0"/>
        </w:numPr>
        <w:kinsoku/>
        <w:wordWrap/>
        <w:overflowPunct/>
        <w:autoSpaceDE/>
        <w:autoSpaceDN/>
        <w:bidi w:val="0"/>
        <w:spacing w:before="0" w:after="0" w:line="360" w:lineRule="auto"/>
        <w:ind w:left="284" w:firstLine="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（1）白蚁、红蚁防治服务内容</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根据《深圳市年度红火蚁防控行动方案》及其他相关文件最新要求，由中标单位安排具备提供蚂蚁防治服务的专业单位对医院潜在的白蚁、红火蚁易发区域进行灭治、预防和检测工作，保障蚁患不影响医院日常运行，费用由中标单位承担。</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依照行业标准，结合医院实际情况制订有效白蚁、红蚁防治方案，有计划开展全范围白蚁、红蚁防治工作。</w:t>
      </w:r>
    </w:p>
    <w:p>
      <w:pPr>
        <w:pStyle w:val="Heading4"/>
        <w:pageBreakBefore w:val="0"/>
        <w:numPr>
          <w:ilvl w:val="255"/>
          <w:numId w:val="0"/>
        </w:numPr>
        <w:kinsoku/>
        <w:wordWrap/>
        <w:overflowPunct/>
        <w:autoSpaceDE/>
        <w:autoSpaceDN/>
        <w:bidi w:val="0"/>
        <w:spacing w:before="0" w:after="0" w:line="360" w:lineRule="auto"/>
        <w:ind w:left="284"/>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（2）白蚁、红蚁防治服务要求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院方所辖区域各类设备设施不被白蚁、红蚁损坏，避免因白蚁、红蚁蛀蚀导致的人身安全、财产损失等事件发生。</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对服务范围内蚁患灭治处理，合同期内蚁消杀干净，所用药物符合国家相关标准。</w:t>
      </w: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lang w:val="en-US" w:eastAsia="zh-CN"/>
        </w:rPr>
      </w:pPr>
    </w:p>
    <w:p>
      <w:pPr>
        <w:pStyle w:val="Heading3"/>
        <w:pageBreakBefore w:val="0"/>
        <w:numPr>
          <w:ilvl w:val="0"/>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12.</w:t>
      </w:r>
      <w:r>
        <w:rPr>
          <w:rFonts w:asciiTheme="minorEastAsia" w:eastAsiaTheme="minorEastAsia" w:hAnsiTheme="minorEastAsia" w:cstheme="minorEastAsia" w:hint="eastAsia"/>
          <w:b/>
          <w:bCs/>
          <w:color w:val="auto"/>
          <w:sz w:val="21"/>
          <w:szCs w:val="21"/>
          <w:highlight w:val="none"/>
        </w:rPr>
        <w:t>垃圾清运服务</w:t>
      </w:r>
    </w:p>
    <w:p>
      <w:pPr>
        <w:pStyle w:val="Heading4"/>
        <w:pageBreakBefore w:val="0"/>
        <w:numPr>
          <w:ilvl w:val="255"/>
          <w:numId w:val="0"/>
        </w:numPr>
        <w:kinsoku/>
        <w:wordWrap/>
        <w:overflowPunct/>
        <w:autoSpaceDE/>
        <w:autoSpaceDN/>
        <w:bidi w:val="0"/>
        <w:spacing w:before="0" w:after="0" w:line="360" w:lineRule="auto"/>
        <w:ind w:left="284" w:firstLine="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（1）垃圾清运服务内容</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遵守《深圳市生活垃圾分类和减量管理办法》《城市生活垃圾管理办法》等法规，根据医院实际情况，以高效、环保的方法将绿化垃圾及时运输到合理、合法的场所，并按有关规定进行处理，不随意卸放。费用由中标单位承担。</w:t>
      </w:r>
    </w:p>
    <w:p>
      <w:pPr>
        <w:pStyle w:val="Heading4"/>
        <w:pageBreakBefore w:val="0"/>
        <w:numPr>
          <w:ilvl w:val="255"/>
          <w:numId w:val="0"/>
        </w:numPr>
        <w:kinsoku/>
        <w:wordWrap/>
        <w:overflowPunct/>
        <w:autoSpaceDE/>
        <w:autoSpaceDN/>
        <w:bidi w:val="0"/>
        <w:spacing w:before="0" w:after="0" w:line="360" w:lineRule="auto"/>
        <w:ind w:left="284" w:firstLine="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（2）垃圾清运服务要求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绿化垃圾清运时，未经医院同意禁止使用铲车等大型机械进行清运作业。</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当日产生的绿化垃圾需及时清运出院，如遇极端恶劣天气双方协商清运安排。</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绿化垃圾清运过程中应密闭，场地周围清理干净，清运时用苫布遮盖避免遗洒，保持园路及城市道路环境卫生。</w:t>
      </w:r>
    </w:p>
    <w:p>
      <w:pPr>
        <w:pStyle w:val="ListParagraph"/>
        <w:pageBreakBefore w:val="0"/>
        <w:numPr>
          <w:ilvl w:val="255"/>
          <w:numId w:val="0"/>
        </w:numPr>
        <w:tabs>
          <w:tab w:val="left" w:pos="0"/>
        </w:tabs>
        <w:kinsoku/>
        <w:wordWrap/>
        <w:overflowPunct/>
        <w:autoSpaceDE/>
        <w:autoSpaceDN/>
        <w:bidi w:val="0"/>
        <w:spacing w:line="360" w:lineRule="auto"/>
        <w:ind w:left="181" w:firstLine="420" w:leftChars="86" w:firstLineChars="200"/>
        <w:rPr>
          <w:rFonts w:asciiTheme="minorEastAsia" w:eastAsiaTheme="minorEastAsia" w:hAnsiTheme="minorEastAsia" w:cstheme="minorEastAsia" w:hint="eastAsia"/>
          <w:b/>
          <w:bCs/>
          <w:color w:val="auto"/>
          <w:sz w:val="21"/>
          <w:szCs w:val="21"/>
          <w:highlight w:val="none"/>
          <w:lang w:val="en-US" w:eastAsia="zh-CN"/>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运输车辆车况良好，车容整洁，车辆尾气、噪声等符合国家的排放标准；车辆进入院内应按院内规定行驶速度，减速慢行。避让人群，不鸣笛，停放车辆时不能影响患者就诊。</w:t>
      </w:r>
    </w:p>
    <w:p>
      <w:pPr>
        <w:pStyle w:val="ListParagraph"/>
        <w:pageBreakBefore w:val="0"/>
        <w:numPr>
          <w:ilvl w:val="255"/>
          <w:numId w:val="0"/>
        </w:numPr>
        <w:tabs>
          <w:tab w:val="left" w:pos="0"/>
        </w:tabs>
        <w:kinsoku/>
        <w:wordWrap/>
        <w:overflowPunct/>
        <w:autoSpaceDE/>
        <w:autoSpaceDN/>
        <w:bidi w:val="0"/>
        <w:spacing w:line="360" w:lineRule="auto"/>
        <w:ind w:left="181" w:firstLine="420" w:leftChars="86"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13.</w:t>
      </w:r>
      <w:r>
        <w:rPr>
          <w:rFonts w:asciiTheme="minorEastAsia" w:eastAsiaTheme="minorEastAsia" w:hAnsiTheme="minorEastAsia" w:cstheme="minorEastAsia" w:hint="eastAsia"/>
          <w:b/>
          <w:bCs/>
          <w:color w:val="auto"/>
          <w:sz w:val="21"/>
          <w:szCs w:val="21"/>
          <w:highlight w:val="none"/>
        </w:rPr>
        <w:t>清洁开荒服务</w:t>
      </w:r>
    </w:p>
    <w:p>
      <w:pPr>
        <w:pageBreakBefore w:val="0"/>
        <w:kinsoku/>
        <w:wordWrap/>
        <w:overflowPunct/>
        <w:autoSpaceDE/>
        <w:autoSpaceDN/>
        <w:bidi w:val="0"/>
        <w:spacing w:line="360" w:lineRule="auto"/>
        <w:ind w:left="181" w:firstLine="422" w:leftChars="86"/>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★本项目服务期间，采购人若有新装修或新建用房，面积在300平方米（含300平方米）以内的，中标单位需免费清洁开荒，包含地面清洁、室内墙面、室内玻璃清洁等。</w:t>
      </w:r>
    </w:p>
    <w:p>
      <w:pPr>
        <w:pStyle w:val="Heading4"/>
        <w:pageBreakBefore w:val="0"/>
        <w:numPr>
          <w:ilvl w:val="255"/>
          <w:numId w:val="0"/>
        </w:numPr>
        <w:kinsoku/>
        <w:wordWrap/>
        <w:overflowPunct/>
        <w:autoSpaceDE/>
        <w:autoSpaceDN/>
        <w:bidi w:val="0"/>
        <w:spacing w:before="0" w:after="0" w:line="360" w:lineRule="auto"/>
        <w:ind w:left="284" w:firstLine="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（1）清洁开荒服务内容</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天花板装修粉尘清扫，涉及造型艺术体表面除尘，灯具及通风的除尘擦拭；</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室内四周环形四面清洁，主要涉及门、门窗玻璃擦拭、窗台擦拭、四周环形墙面及墙面标识擦拭，建筑体表面除尘擦拭，病区设备带及储柜消毒擦拭；</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人造石墙面及柱子的擦拭，造型台的除尘擦拭；</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卫生间六面清洁，含便池、马桶、隔断、洗手池的消毒擦拭，水泥垢和油漆的清理，下水道地漏的清洁；</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 xml:space="preserve">墙裙线及管道线路的消毒擦拭，边角的油漆等物质的清理； </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 xml:space="preserve">地面的除尘清扫，涉及少量建筑垃圾的清理，地面除尘，地面的消毒湿拖； </w:t>
      </w:r>
    </w:p>
    <w:p>
      <w:pPr>
        <w:pStyle w:val="ListParagraph"/>
        <w:pageBreakBefore w:val="0"/>
        <w:numPr>
          <w:ilvl w:val="255"/>
          <w:numId w:val="0"/>
        </w:numPr>
        <w:tabs>
          <w:tab w:val="left" w:pos="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房间内设备设施的表面除尘，消毒擦拭。</w:t>
      </w:r>
    </w:p>
    <w:p>
      <w:pPr>
        <w:pStyle w:val="Heading4"/>
        <w:pageBreakBefore w:val="0"/>
        <w:numPr>
          <w:ilvl w:val="255"/>
          <w:numId w:val="0"/>
        </w:numPr>
        <w:kinsoku/>
        <w:wordWrap/>
        <w:overflowPunct/>
        <w:autoSpaceDE/>
        <w:autoSpaceDN/>
        <w:bidi w:val="0"/>
        <w:spacing w:before="0" w:after="0" w:line="360" w:lineRule="auto"/>
        <w:ind w:left="284" w:firstLine="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（2）清洁开荒服务要求</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84"/>
        <w:gridCol w:w="2451"/>
        <w:gridCol w:w="4794"/>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cantSplit/>
          <w:trHeight w:val="23"/>
        </w:trPr>
        <w:tc>
          <w:tcPr>
            <w:tcW w:w="5000" w:type="pct"/>
            <w:gridSpan w:val="3"/>
            <w:vAlign w:val="center"/>
          </w:tcPr>
          <w:p>
            <w:pPr>
              <w:pageBreakBefore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室内清洁开荒要求</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区域</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清洁项目</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服务质量标准</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门</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门</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无灰尘、无污迹、无胶迹、无指印、无涂料斑点、光亮照人，无划痕迹</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地面</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室内地面</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无泥沙、无灰尘、无污迹、无胶迹、无头发、无脚印、无磨损痕，不起泡、起粉，涂抹均匀、有光泽、地板打蜡。</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窗</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窗户、窗台</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无污迹、无污点、窗框无水泥和涂料、窗槽内无泥沙、玻璃无明显灰尘、无划痕迹、呈本色。</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墙面</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涂料、瓷砖、墙纸</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无蛛网、无灰尘、无污迹、无水泥渣、石材无黄渍或其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污渍，无划痕迹，光亮，呈本色。</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天花</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天花板</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无蛛网、无灰尘、无污迹、无指印。</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开关/灯具</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开关、灯具</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无涂料点、无灰尘、无胶迹，呈本色。</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洗手间</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马桶、洗手盆、镜面、台面</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排水畅通，无水印，墙面无污迹和水泥、涂料，马桶无污迹、水垢，地面无污迹杂物。</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辅助设施</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电源盒、地脚线</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无灰尘、无污迹，无涂料点。</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管网</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管线</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无灰尘、无污迹、无胶迹、无涂料斑点。</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玻璃</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镀膜玻璃、透明玻璃、</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无蛛网、无灰尘、无污迹、无胶迹、无指印。</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空调位</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空调位</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无垃圾杂物、无积尘、无泥沙保持光亮，无划痕迹。</w:t>
            </w:r>
          </w:p>
        </w:tc>
      </w:tr>
      <w:tr>
        <w:tblPrEx>
          <w:tblW w:w="5000" w:type="pct"/>
          <w:tblInd w:w="0" w:type="dxa"/>
          <w:tblCellMar>
            <w:top w:w="0" w:type="dxa"/>
            <w:left w:w="108" w:type="dxa"/>
            <w:bottom w:w="0" w:type="dxa"/>
            <w:right w:w="108" w:type="dxa"/>
          </w:tblCellMar>
        </w:tblPrEx>
        <w:trPr>
          <w:cantSplit/>
          <w:trHeight w:val="23"/>
        </w:trPr>
        <w:tc>
          <w:tcPr>
            <w:tcW w:w="753"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百叶/窗帘</w:t>
            </w:r>
          </w:p>
        </w:tc>
        <w:tc>
          <w:tcPr>
            <w:tcW w:w="1437"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百叶窗、窗帘</w:t>
            </w:r>
          </w:p>
        </w:tc>
        <w:tc>
          <w:tcPr>
            <w:tcW w:w="2810" w:type="pc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无灰尘、无污迹、无胶迹、无涂料斑点。</w:t>
            </w:r>
          </w:p>
        </w:tc>
      </w:tr>
    </w:tbl>
    <w:p>
      <w:pPr>
        <w:pageBreakBefore w:val="0"/>
        <w:kinsoku/>
        <w:wordWrap/>
        <w:overflowPunct/>
        <w:autoSpaceDE/>
        <w:autoSpaceDN/>
        <w:bidi w:val="0"/>
        <w:spacing w:line="360" w:lineRule="auto"/>
        <w:ind w:firstLine="420"/>
        <w:jc w:val="center"/>
        <w:rPr>
          <w:rFonts w:asciiTheme="minorEastAsia" w:eastAsiaTheme="minorEastAsia" w:hAnsiTheme="minorEastAsia" w:cstheme="minorEastAsia" w:hint="eastAsia"/>
          <w:b w:val="0"/>
          <w:bCs w:val="0"/>
          <w:color w:val="auto"/>
          <w:sz w:val="21"/>
          <w:szCs w:val="21"/>
          <w:highlight w:val="none"/>
        </w:rPr>
      </w:pPr>
    </w:p>
    <w:tbl>
      <w:tblPr>
        <w:tblStyle w:val="TableNormal"/>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25"/>
        <w:gridCol w:w="3192"/>
        <w:gridCol w:w="3253"/>
      </w:tblGrid>
      <w:tr>
        <w:tblPrEx>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3"/>
          <w:tblHeader/>
          <w:jc w:val="center"/>
        </w:trPr>
        <w:tc>
          <w:tcPr>
            <w:tcW w:w="8270" w:type="dxa"/>
            <w:gridSpan w:val="3"/>
            <w:noWrap/>
            <w:vAlign w:val="center"/>
          </w:tcPr>
          <w:p>
            <w:pPr>
              <w:pageBreakBefore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公共区域开荒要求</w:t>
            </w:r>
          </w:p>
        </w:tc>
      </w:tr>
      <w:tr>
        <w:tblPrEx>
          <w:tblW w:w="8270" w:type="dxa"/>
          <w:jc w:val="center"/>
          <w:tblLayout w:type="fixed"/>
          <w:tblCellMar>
            <w:top w:w="0" w:type="dxa"/>
            <w:left w:w="108" w:type="dxa"/>
            <w:bottom w:w="0" w:type="dxa"/>
            <w:right w:w="108" w:type="dxa"/>
          </w:tblCellMar>
        </w:tblPrEx>
        <w:trPr>
          <w:trHeight w:val="23"/>
          <w:tblHeader/>
          <w:jc w:val="center"/>
        </w:trPr>
        <w:tc>
          <w:tcPr>
            <w:tcW w:w="1825"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br w:type="page"/>
            </w:r>
            <w:r>
              <w:rPr>
                <w:rFonts w:asciiTheme="minorEastAsia" w:eastAsiaTheme="minorEastAsia" w:hAnsiTheme="minorEastAsia" w:cstheme="minorEastAsia" w:hint="eastAsia"/>
                <w:b w:val="0"/>
                <w:bCs w:val="0"/>
                <w:color w:val="auto"/>
                <w:sz w:val="21"/>
                <w:szCs w:val="21"/>
                <w:highlight w:val="none"/>
              </w:rPr>
              <w:t>区域</w:t>
            </w:r>
          </w:p>
        </w:tc>
        <w:tc>
          <w:tcPr>
            <w:tcW w:w="3192"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清洁项目</w:t>
            </w:r>
          </w:p>
        </w:tc>
        <w:tc>
          <w:tcPr>
            <w:tcW w:w="3253"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服务质量标准</w:t>
            </w:r>
          </w:p>
        </w:tc>
      </w:tr>
      <w:tr>
        <w:tblPrEx>
          <w:tblW w:w="8270" w:type="dxa"/>
          <w:jc w:val="center"/>
          <w:tblLayout w:type="fixed"/>
          <w:tblCellMar>
            <w:top w:w="0" w:type="dxa"/>
            <w:left w:w="108" w:type="dxa"/>
            <w:bottom w:w="0" w:type="dxa"/>
            <w:right w:w="108" w:type="dxa"/>
          </w:tblCellMar>
        </w:tblPrEx>
        <w:trPr>
          <w:trHeight w:val="23"/>
          <w:jc w:val="center"/>
        </w:trPr>
        <w:tc>
          <w:tcPr>
            <w:tcW w:w="1825"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地下停车库及设备房（含出入口处）</w:t>
            </w:r>
          </w:p>
        </w:tc>
        <w:tc>
          <w:tcPr>
            <w:tcW w:w="3192"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地面、墙面、天花、管道、设施设备</w:t>
            </w:r>
          </w:p>
        </w:tc>
        <w:tc>
          <w:tcPr>
            <w:tcW w:w="3253"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无积尘，无油漆、涂料等污渍，无混凝土、泥沙、工程碎料等建筑垃圾</w:t>
            </w:r>
          </w:p>
        </w:tc>
      </w:tr>
      <w:tr>
        <w:tblPrEx>
          <w:tblW w:w="8270" w:type="dxa"/>
          <w:jc w:val="center"/>
          <w:tblLayout w:type="fixed"/>
          <w:tblCellMar>
            <w:top w:w="0" w:type="dxa"/>
            <w:left w:w="108" w:type="dxa"/>
            <w:bottom w:w="0" w:type="dxa"/>
            <w:right w:w="108" w:type="dxa"/>
          </w:tblCellMar>
        </w:tblPrEx>
        <w:trPr>
          <w:trHeight w:val="23"/>
          <w:jc w:val="center"/>
        </w:trPr>
        <w:tc>
          <w:tcPr>
            <w:tcW w:w="1825"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室外道路、广场</w:t>
            </w:r>
          </w:p>
        </w:tc>
        <w:tc>
          <w:tcPr>
            <w:tcW w:w="3192"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室外的地面、墙面、天花及设施设备</w:t>
            </w:r>
          </w:p>
        </w:tc>
        <w:tc>
          <w:tcPr>
            <w:tcW w:w="3253"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无混凝土、泥沙、石子、工程碎料等建筑垃圾，无积尘</w:t>
            </w:r>
          </w:p>
        </w:tc>
      </w:tr>
      <w:tr>
        <w:tblPrEx>
          <w:tblW w:w="8270" w:type="dxa"/>
          <w:jc w:val="center"/>
          <w:tblLayout w:type="fixed"/>
          <w:tblCellMar>
            <w:top w:w="0" w:type="dxa"/>
            <w:left w:w="108" w:type="dxa"/>
            <w:bottom w:w="0" w:type="dxa"/>
            <w:right w:w="108" w:type="dxa"/>
          </w:tblCellMar>
        </w:tblPrEx>
        <w:trPr>
          <w:trHeight w:val="23"/>
          <w:jc w:val="center"/>
        </w:trPr>
        <w:tc>
          <w:tcPr>
            <w:tcW w:w="1825"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大堂</w:t>
            </w:r>
          </w:p>
        </w:tc>
        <w:tc>
          <w:tcPr>
            <w:tcW w:w="3192"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铝合金墙面、柱面、踢脚线、电梯厅、室内玻璃、室内设施设备、天花、风口、灯饰、风口、百叶窗、洗手间、楼层走廊、楼梯间、办公设施、电梯厅、消防楼梯、客梯、天花、风口、百叶窗、灯饰</w:t>
            </w:r>
          </w:p>
        </w:tc>
        <w:tc>
          <w:tcPr>
            <w:tcW w:w="3253"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地面无泥沙等建筑垃圾，墙面无积尘，无油漆、涂料等污渍，洁具、便器洁净、无污渍、不锈钢保护油对不锈钢制品进行清洁和护理。电梯轿厢内壁无积尘、无污渍；电梯门轨槽干净，无泥沙。</w:t>
            </w:r>
          </w:p>
        </w:tc>
      </w:tr>
      <w:tr>
        <w:tblPrEx>
          <w:tblW w:w="8270" w:type="dxa"/>
          <w:jc w:val="center"/>
          <w:tblLayout w:type="fixed"/>
          <w:tblCellMar>
            <w:top w:w="0" w:type="dxa"/>
            <w:left w:w="108" w:type="dxa"/>
            <w:bottom w:w="0" w:type="dxa"/>
            <w:right w:w="108" w:type="dxa"/>
          </w:tblCellMar>
        </w:tblPrEx>
        <w:trPr>
          <w:trHeight w:val="23"/>
          <w:jc w:val="center"/>
        </w:trPr>
        <w:tc>
          <w:tcPr>
            <w:tcW w:w="1825"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垃圾站</w:t>
            </w:r>
          </w:p>
        </w:tc>
        <w:tc>
          <w:tcPr>
            <w:tcW w:w="3192" w:type="dxa"/>
            <w:noWrap/>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室</w:t>
            </w:r>
            <w:r>
              <w:rPr>
                <w:rFonts w:asciiTheme="minorEastAsia" w:eastAsiaTheme="minorEastAsia" w:hAnsiTheme="minorEastAsia" w:cstheme="minorEastAsia" w:hint="eastAsia"/>
                <w:b w:val="0"/>
                <w:bCs w:val="0"/>
                <w:color w:val="auto"/>
                <w:sz w:val="21"/>
                <w:szCs w:val="21"/>
                <w:highlight w:val="none"/>
              </w:rPr>
              <w:t>内墙面、垃圾桶、地面</w:t>
            </w:r>
          </w:p>
        </w:tc>
        <w:tc>
          <w:tcPr>
            <w:tcW w:w="3253"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eastAsia="zh-CN"/>
              </w:rPr>
              <w:t>室</w:t>
            </w:r>
            <w:r>
              <w:rPr>
                <w:rFonts w:asciiTheme="minorEastAsia" w:eastAsiaTheme="minorEastAsia" w:hAnsiTheme="minorEastAsia" w:cstheme="minorEastAsia" w:hint="eastAsia"/>
                <w:b w:val="0"/>
                <w:bCs w:val="0"/>
                <w:color w:val="auto"/>
                <w:sz w:val="21"/>
                <w:szCs w:val="21"/>
                <w:highlight w:val="none"/>
              </w:rPr>
              <w:t>内墙面无垃圾附着物，垃圾桶冲洗干净，摆放整齐，地面干净整洁。</w:t>
            </w:r>
          </w:p>
        </w:tc>
      </w:tr>
    </w:tbl>
    <w:p>
      <w:pPr>
        <w:pStyle w:val="Heading2"/>
        <w:pageBreakBefore w:val="0"/>
        <w:kinsoku/>
        <w:wordWrap/>
        <w:overflowPunct/>
        <w:autoSpaceDE/>
        <w:autoSpaceDN/>
        <w:bidi w:val="0"/>
        <w:spacing w:line="360" w:lineRule="auto"/>
        <w:ind w:firstLine="482"/>
        <w:rPr>
          <w:rFonts w:asciiTheme="minorEastAsia" w:eastAsiaTheme="minorEastAsia" w:hAnsiTheme="minorEastAsia" w:cstheme="minorEastAsia" w:hint="eastAsia"/>
          <w:b w:val="0"/>
          <w:bCs w:val="0"/>
          <w:color w:val="auto"/>
          <w:sz w:val="21"/>
          <w:szCs w:val="21"/>
          <w:highlight w:val="none"/>
        </w:rPr>
      </w:pPr>
    </w:p>
    <w:p>
      <w:pPr>
        <w:pStyle w:val="Heading2"/>
        <w:pageBreakBefore w:val="0"/>
        <w:numPr>
          <w:ilvl w:val="0"/>
          <w:numId w:val="17"/>
        </w:numPr>
        <w:kinsoku/>
        <w:wordWrap/>
        <w:overflowPunct/>
        <w:autoSpaceDE/>
        <w:autoSpaceDN/>
        <w:bidi w:val="0"/>
        <w:spacing w:line="360" w:lineRule="auto"/>
        <w:ind w:firstLine="0"/>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rPr>
        <w:t>秩序维护服务内容与要求</w:t>
      </w:r>
    </w:p>
    <w:p>
      <w:pPr>
        <w:pStyle w:val="Heading2"/>
        <w:pageBreakBefore w:val="0"/>
        <w:numPr>
          <w:ilvl w:val="255"/>
          <w:numId w:val="0"/>
        </w:numPr>
        <w:kinsoku/>
        <w:wordWrap/>
        <w:overflowPunct/>
        <w:autoSpaceDE/>
        <w:autoSpaceDN/>
        <w:bidi w:val="0"/>
        <w:spacing w:line="360" w:lineRule="auto"/>
        <w:ind w:firstLine="0"/>
        <w:jc w:val="both"/>
        <w:rPr>
          <w:rFonts w:asciiTheme="majorEastAsia" w:eastAsiaTheme="majorEastAsia" w:hAnsiTheme="majorEastAsia" w:cstheme="majorEastAsia" w:hint="eastAsia"/>
          <w:b/>
          <w:bCs/>
          <w:color w:val="auto"/>
          <w:sz w:val="21"/>
          <w:szCs w:val="21"/>
          <w:highlight w:val="none"/>
        </w:rPr>
      </w:pPr>
    </w:p>
    <w:p>
      <w:pPr>
        <w:keepNext/>
        <w:keepLines/>
        <w:pageBreakBefore w:val="0"/>
        <w:widowControl w:val="0"/>
        <w:numPr>
          <w:ilvl w:val="255"/>
          <w:numId w:val="0"/>
        </w:numPr>
        <w:kinsoku/>
        <w:wordWrap/>
        <w:overflowPunct/>
        <w:autoSpaceDE/>
        <w:autoSpaceDN/>
        <w:bidi w:val="0"/>
        <w:adjustRightInd w:val="0"/>
        <w:snapToGrid w:val="0"/>
        <w:spacing w:line="360" w:lineRule="auto"/>
        <w:ind w:firstLine="420" w:firstLineChars="200"/>
        <w:outlineLvl w:val="2"/>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1.秩序维护服务的基础内容及要求</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1"/>
        <w:gridCol w:w="1486"/>
        <w:gridCol w:w="6222"/>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81" w:type="pct"/>
            <w:vAlign w:val="center"/>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序号</w:t>
            </w:r>
          </w:p>
        </w:tc>
        <w:tc>
          <w:tcPr>
            <w:tcW w:w="871" w:type="pct"/>
            <w:vAlign w:val="center"/>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服务类型</w:t>
            </w:r>
          </w:p>
        </w:tc>
        <w:tc>
          <w:tcPr>
            <w:tcW w:w="3646" w:type="pct"/>
            <w:vAlign w:val="center"/>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服务要求</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治安防范</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门岗服务内容及要求：</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对医院出入口的人员、车辆和物品进行管理，物业服务区域主要出入口全天24小时值守，保持出入口通行秩序正常。</w:t>
            </w:r>
          </w:p>
          <w:p>
            <w:pPr>
              <w:pStyle w:val="BodyText2"/>
              <w:pageBreakBefore w:val="0"/>
              <w:widowControl w:val="0"/>
              <w:kinsoku/>
              <w:wordWrap/>
              <w:overflowPunct/>
              <w:autoSpaceDE/>
              <w:autoSpaceDN/>
              <w:bidi w:val="0"/>
              <w:spacing w:line="360" w:lineRule="auto"/>
              <w:ind w:firstLine="42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门岗的具体工作内容包括但不限于以下事项：</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1）提供业主（或使用人）日常的咨询、投诉、求助等服务和引导；</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2）验证、检查和登记通过门岗的人员及其携带的物品（但不扣押、没收他人证件、财物以及搜查他人身体），制止违反规定的人员和物品进入物业服务区域；</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3）做好门岗区域的相关秩序维护工作，对发现预警涉医重点人员和发生的紧急事件应立即报告；</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4）在东、西门、西南门岗区域及时劝阻住院患者私自离院等行为；</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5）对门岗区域的门禁、对讲、电梯等公共设备设施的正常使用进行监督、检查，发现故障及时报告专业维修人员；</w:t>
            </w:r>
          </w:p>
          <w:p>
            <w:pPr>
              <w:pStyle w:val="BodyText2"/>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6）负责派送相关科室报刊、书信等工作；</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7）提供其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有助于提升物业服务水平的服务等。</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治安防范</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巡逻岗服务内容及要求：</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重点区域（包括但不限于急诊科、新生儿科、产科等）24小时人员在岗并有相应安全措施。巡逻人员应熟悉物业服务区域基本情况和各种紧急事件应急预案。</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巡逻岗的具体工作内容包括但不限于以下事项：</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1）制订巡逻方案（含巡逻人员配置、巡逻路线、巡逻频次、巡逻方式以及所需装备等），明确重点巡逻区域及路线，巡逻点设置合理、全面覆盖、无遗漏，每季度对巡逻路线进行替换或者更新；</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2）巡查医院的安全防范、环境、消防、控烟，以及设备设施情况，巡查停车场（库）车辆停放安全，巡查各岗位上岗情况，巡查装修施工现场的安全情况。对重点部位或目标加强巡视；</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3）做好急诊、发热门诊、人员密集候诊区等重点区域巡逻的相关秩序维护工作，与监控中心保持密切联系，对发现和发生的紧急事件应立即报告，并协助处理；</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4）采用电子巡更系统签到，无提前签到、漏签，使用纸质检查表的无涂划撕毁现象，发现的问题有跟踪处理记录；</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5）日间巡查，每 2 小时一次，每次不少于30分钟，夜间巡查，每隔1小时一次，每次不少于30分钟，装修施工现场巡查每天不少于一次，并记录在册；</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6）配置专人负责录入、管理电子巡更系统（如维保），定期录入和更新消防、安防器材设施清单，清单有编号、有巡查人、有对应管理责任人；</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7）加强管理节能和行为节能，负责医院上下班公共场所灯光、冷气、门窗等开关管理；发现科室存在浪费水、电或存在不关门窗等安全隐患情况，及时关闭水源、电源和门窗。</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治安防范</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监控岗服务内容及要求：</w:t>
            </w:r>
          </w:p>
          <w:p>
            <w:pPr>
              <w:pStyle w:val="BodyText2"/>
              <w:pageBreakBefore w:val="0"/>
              <w:widowControl w:val="0"/>
              <w:numPr>
                <w:ilvl w:val="0"/>
                <w:numId w:val="19"/>
              </w:numPr>
              <w:kinsoku/>
              <w:wordWrap/>
              <w:overflowPunct/>
              <w:autoSpaceDE/>
              <w:autoSpaceDN/>
              <w:bidi w:val="0"/>
              <w:spacing w:line="360" w:lineRule="auto"/>
              <w:ind w:left="0"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定期对值守人员进行相关知识的培训，岗位人员熟悉监控设备、一键报警、人脸识别、门禁监控等的基本操作，熟悉本物业服务区域基本情况，熟悉紧急事件处理预案；</w:t>
            </w:r>
          </w:p>
          <w:p>
            <w:pPr>
              <w:pStyle w:val="BodyText2"/>
              <w:pageBreakBefore w:val="0"/>
              <w:widowControl w:val="0"/>
              <w:numPr>
                <w:ilvl w:val="0"/>
                <w:numId w:val="19"/>
              </w:numPr>
              <w:kinsoku/>
              <w:wordWrap/>
              <w:overflowPunct/>
              <w:autoSpaceDE/>
              <w:autoSpaceDN/>
              <w:bidi w:val="0"/>
              <w:spacing w:line="360" w:lineRule="auto"/>
              <w:ind w:left="0"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监控室实行24小时值班，值守人员密切观察重点区域，监控有效、图像清晰，并做好各项记录；</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3）及时报告发现和发生的紧急事件，通知相关人员参与处理；</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4）值班人员严格执行监控视频查询和拷贝审批程序，严格遵守监控系统隐私保护和保密措施；</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5）对接收到的紧急求助、投诉，对查看监控需求进行报告和协助处理。</w:t>
            </w:r>
          </w:p>
        </w:tc>
      </w:tr>
      <w:tr>
        <w:tblPrEx>
          <w:tblW w:w="5000" w:type="pct"/>
          <w:tblInd w:w="0" w:type="dxa"/>
          <w:tblCellMar>
            <w:top w:w="0" w:type="dxa"/>
            <w:left w:w="108" w:type="dxa"/>
            <w:bottom w:w="0" w:type="dxa"/>
            <w:right w:w="108" w:type="dxa"/>
          </w:tblCellMar>
        </w:tblPrEx>
        <w:tc>
          <w:tcPr>
            <w:tcW w:w="481" w:type="pct"/>
            <w:vMerge w:val="restar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Merge w:val="restar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治安防范</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出入口管理服务内容及要求：</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1）在医院主要入口设置安检通道，每班两人（含1名女性安检员），开展安全检查；</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2）加强外来人员、临时施工人员、供方人员的进出管理；</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3）严格审核大件物品的运出相关手续，做到可追溯到用户本人，有效控制物品的出入，委婉拒绝危险品进入管理区域，如系用户本人必需物品，则通知巡逻人员及监控人员予以跟进；</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4）对形迹可疑的人员、涉医重点人员等进行盘问，使此类人员不在管理区域内逗留；</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5）制止推销、收废品、发广告、捡垃圾、乞讨及无明确探访对象的外来人员进入服务区域；</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6）做好出入车辆指引和疏导工作，除急救送病人以外的自行车、电动车、摩托车不在院区内乱停乱放；</w:t>
            </w:r>
          </w:p>
          <w:p>
            <w:pPr>
              <w:pStyle w:val="BodyText"/>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7）协助街道办做好医院主出入口距离医院5米范围内违规流动摊贩的管理；</w:t>
            </w:r>
          </w:p>
          <w:p>
            <w:pPr>
              <w:pStyle w:val="BodyText"/>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8）发现外来新闻媒体采访，及时向医院汇报。</w:t>
            </w:r>
          </w:p>
        </w:tc>
      </w:tr>
      <w:tr>
        <w:tblPrEx>
          <w:tblW w:w="5000" w:type="pct"/>
          <w:tblInd w:w="0" w:type="dxa"/>
          <w:tblCellMar>
            <w:top w:w="0" w:type="dxa"/>
            <w:left w:w="108" w:type="dxa"/>
            <w:bottom w:w="0" w:type="dxa"/>
            <w:right w:w="108" w:type="dxa"/>
          </w:tblCellMar>
        </w:tblPrEx>
        <w:tc>
          <w:tcPr>
            <w:tcW w:w="481" w:type="pct"/>
            <w:vMerge/>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Merge/>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秩序维持服务内容及要求：</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1)开展医院防火防盗防自然灾害等安保巡逻工作，维护医院正常诊疗秩序；</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2)处理医闹伤医事件，清理或驱逐“医托”，医院无“医托”“拉客”、外来派传单、“印章”等，维持医院正常诊疗秩序；</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3）及时处理医院突发治安事件和内部治安管理，提醒就诊患者防范偷盗、诈骗；</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4）发现院内有人聚集赌博、营销等要立即驱逐或上报警务室；</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 院内举办大型活动或重大会议时，中标单位抽调骨干力量配合执勤。</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车辆管理</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车辆管理服务内容及要求：</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车辆管理含车辆（包括机动车和非机动车）的通行与停放管理，医院主要车辆出入口应设置岗位，通过提供停车场（库）的车辆的通行与停放，并进行收费和设备设施管理，维护车辆出入与停放安全有序，保持消防通道畅通。车辆通行与停放的主要内容包括：</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1）按规定在车辆出入口张贴营业执照、停车场许可证及收费标准等，设置交通引导和警示标志，材料由采购人提供；</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2）停车场实行24小时值班，加强巡查。发现进场车辆有损坏或不正常现象时，及时处理并通知车主，做好记录并报告，以免因责任不清而发生纠纷；</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3）对运送货物的车辆进行检查，防止装载易燃、易爆、剧毒等危险化学品违规进入物业服务区域；</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4）提醒并引导进入医院的车辆按规定的路线行驶，按停车位停放；</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5）保障急救车道和消防通道的畅通，及时制止车辆乱停放或占用消防通道；</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6）在发生车辆被盗、车门被撬、车身擦损等事件时，配合车主联系保险索赔等相关事宜，属于中标单位管理责任造成的，由中标单位承担责任；</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7）维修维护停车场现有设施设备；</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8）管理车辆收费。因工作需要免费放行的车辆需凭审批通过的临时停车免费申请单放行，中标单位对需要收费的，按照规定标准合理收费，不应乱收费，所收费用全额归采购人所有，日清日结不截留，因少收、漏收等导致采购人损失的，按实际发生额进行赔偿；</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9）制止车辆在建筑内的共用走道、楼梯间、安全出口处等公共区域停放和充电；</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10）正确疏导进出医院各类车辆，遇高峰期及时梳理，维护停车场秩序，保障道路畅通及停车安全、整齐、有序。</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场内车管理</w:t>
            </w:r>
          </w:p>
        </w:tc>
        <w:tc>
          <w:tcPr>
            <w:tcW w:w="3646" w:type="pct"/>
          </w:tcPr>
          <w:p>
            <w:pPr>
              <w:pStyle w:val="BodyText2"/>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场内车管理服务内容及要求：</w:t>
            </w:r>
          </w:p>
          <w:p>
            <w:pPr>
              <w:pStyle w:val="BodyText2"/>
              <w:pageBreakBefore w:val="0"/>
              <w:widowControl w:val="0"/>
              <w:kinsoku/>
              <w:wordWrap/>
              <w:overflowPunct/>
              <w:autoSpaceDE/>
              <w:autoSpaceDN/>
              <w:bidi w:val="0"/>
              <w:spacing w:line="360" w:lineRule="auto"/>
              <w:ind w:firstLine="42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场内车使用服务，包含高压清洗车、运送车、院内接送电瓶车等，场内车管理服务内容及要求包含但不限于以下事项：</w:t>
            </w:r>
          </w:p>
          <w:p>
            <w:pPr>
              <w:pStyle w:val="BodyText2"/>
              <w:pageBreakBefore w:val="0"/>
              <w:widowControl w:val="0"/>
              <w:numPr>
                <w:ilvl w:val="0"/>
                <w:numId w:val="20"/>
              </w:numPr>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★院内接送电瓶车司机持有场内车驾驶证或机动车C牌及以上驾驶证方可上岗；</w:t>
            </w:r>
          </w:p>
          <w:p>
            <w:pPr>
              <w:pStyle w:val="BodyText2"/>
              <w:pageBreakBefore w:val="0"/>
              <w:widowControl w:val="0"/>
              <w:numPr>
                <w:ilvl w:val="0"/>
                <w:numId w:val="20"/>
              </w:numPr>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医院场内车日常管理，按医院规定范围存放保管，如有人员损坏或在非正常情况下报损，所产生维修费用由中标单位承担。</w:t>
            </w:r>
          </w:p>
          <w:p>
            <w:pPr>
              <w:pStyle w:val="BodyText2"/>
              <w:pageBreakBefore w:val="0"/>
              <w:widowControl w:val="0"/>
              <w:numPr>
                <w:ilvl w:val="0"/>
                <w:numId w:val="20"/>
              </w:numPr>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中标单位使用场内车过程中出现的安全事故责任由使用方负责。</w:t>
            </w:r>
          </w:p>
          <w:p>
            <w:pPr>
              <w:pStyle w:val="BodyText2"/>
              <w:pageBreakBefore w:val="0"/>
              <w:widowControl w:val="0"/>
              <w:numPr>
                <w:ilvl w:val="0"/>
                <w:numId w:val="20"/>
              </w:numPr>
              <w:kinsoku/>
              <w:wordWrap/>
              <w:overflowPunct/>
              <w:autoSpaceDE/>
              <w:autoSpaceDN/>
              <w:bidi w:val="0"/>
              <w:spacing w:line="360" w:lineRule="auto"/>
              <w:ind w:left="0"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安排场内车的每日保洁。</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★消防管理</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消防管理服务内容及要求：</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消防执勤人员遵守有关消防法律法规和物业服务区域消防管理制度，协助医院相关职能部门做好消防工作。消防管理的主要内容包括：</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在消防控制中心配置双人双岗24小时值班，人员持证（四级/中级（或以上）建（构）筑物消防员证书或消防设施操作员证书）上岗；值班人员对火灾报警控制器进行日检查，在接班、交班时填写《消防控制中心值班记录表》，值班期间每班实时记录消防控制室内消防设备的运行情况，及时记录消防控制室内消防设备的火警或故障情况，确认属于误报时，查找误报原因并填写《建筑消防设施故障维修记录表》；</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2）根据深圳市标准化指导性技术文件《物业服务行业安全管理检查评价规范》SZDB/Z 307-2018附录B检查标准，每月定期对火灾、消防设施、消防水泵房、防排烟系统、志愿消防队、消防联动测试、消防控制中心等设备设施开展安全检查，确保检查记录健全，发现问题及时上报进行更换，确保系统状态良好（灭火器、消防栓、消防水带等消防器材的过期填充、老化更换以及新增等费用由采购人承担）；</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根据《机关、团体、事业单位消防安全管理规定》要求，明确巡查人员和重点巡查部位，消防重点单位每日防火巡查一次，公众聚集场所营业期间防火巡查至少每2小时一次，当场处理巡查发现的问题并及时上报，填写《消防日巡月查记录本》；</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4）每月至少组织1次物业人员消防演练，提前制定消防演练计划、方案，以文字、图片、影像资料形式进行记录；每月开展一次消防安全教育培训；每半年应组织消防控制中心操作人员开展一次消防安全教育培训；对每位新入职员工进行消防安全培训；    </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5）制</w:t>
            </w:r>
            <w:r>
              <w:rPr>
                <w:rFonts w:asciiTheme="minorEastAsia" w:eastAsiaTheme="minorEastAsia" w:hAnsiTheme="minorEastAsia" w:cstheme="minorEastAsia" w:hint="eastAsia"/>
                <w:b w:val="0"/>
                <w:bCs w:val="0"/>
                <w:color w:val="auto"/>
                <w:sz w:val="21"/>
                <w:szCs w:val="21"/>
                <w:highlight w:val="none"/>
                <w:lang w:eastAsia="zh-CN"/>
              </w:rPr>
              <w:t>定</w:t>
            </w:r>
            <w:r>
              <w:rPr>
                <w:rFonts w:asciiTheme="minorEastAsia" w:eastAsiaTheme="minorEastAsia" w:hAnsiTheme="minorEastAsia" w:cstheme="minorEastAsia" w:hint="eastAsia"/>
                <w:b w:val="0"/>
                <w:bCs w:val="0"/>
                <w:color w:val="auto"/>
                <w:sz w:val="21"/>
                <w:szCs w:val="21"/>
                <w:highlight w:val="none"/>
              </w:rPr>
              <w:t>并执行消防安全管理制度，建立并完善消防档案，建立隐患整改台账，对发现的问题隐患进行跟踪整改，形成闭环；</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6）成立义务消防队伍并明确义务消防组织架构、职责，加强对微型消防站的日常管理；</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7）配合医院迎接各级主管部门检查工作。</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NormalWeb"/>
              <w:pageBreakBefore w:val="0"/>
              <w:widowControl/>
              <w:kinsoku/>
              <w:wordWrap/>
              <w:overflowPunct/>
              <w:autoSpaceDE/>
              <w:autoSpaceDN/>
              <w:bidi w:val="0"/>
              <w:spacing w:beforeAutospacing="0" w:afterAutospacing="0"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器材管理 </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器材管理服务内容及要求：</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器材管理服务含消防、安防等设施设备的管理，服务内容及要求：</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1）按规定使用并妥善保管反恐器械，不随意转借他人或携带外出； </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2）所有安防、消防器材在工作和紧急情况时使用，非工作时不携带和使用； </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3）有序放置安防、消防器材；</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4）做好交接班时的交接验收工作，器材数量与清单账实相符，并处于正常使用状态，如因中标单位原因导致的遗失或人为损失，由中标单位照价赔偿。 </w:t>
            </w:r>
          </w:p>
        </w:tc>
      </w:tr>
      <w:tr>
        <w:tblPrEx>
          <w:tblW w:w="5000" w:type="pct"/>
          <w:tblInd w:w="0" w:type="dxa"/>
          <w:tblCellMar>
            <w:top w:w="0" w:type="dxa"/>
            <w:left w:w="108" w:type="dxa"/>
            <w:bottom w:w="0" w:type="dxa"/>
            <w:right w:w="108" w:type="dxa"/>
          </w:tblCellMar>
        </w:tblPrEx>
        <w:tc>
          <w:tcPr>
            <w:tcW w:w="481" w:type="pct"/>
            <w:vAlign w:val="center"/>
          </w:tcPr>
          <w:p>
            <w:pPr>
              <w:pStyle w:val="BodyText2"/>
              <w:pageBreakBefore w:val="0"/>
              <w:widowControl w:val="0"/>
              <w:numPr>
                <w:ilvl w:val="0"/>
                <w:numId w:val="18"/>
              </w:numPr>
              <w:kinsoku/>
              <w:wordWrap/>
              <w:overflowPunct/>
              <w:autoSpaceDE/>
              <w:autoSpaceDN/>
              <w:bidi w:val="0"/>
              <w:spacing w:line="360" w:lineRule="auto"/>
              <w:ind w:left="0" w:firstLine="0" w:firstLineChars="0"/>
              <w:jc w:val="center"/>
              <w:rPr>
                <w:rFonts w:asciiTheme="minorEastAsia" w:eastAsiaTheme="minorEastAsia" w:hAnsiTheme="minorEastAsia" w:cstheme="minorEastAsia" w:hint="eastAsia"/>
                <w:b w:val="0"/>
                <w:bCs w:val="0"/>
                <w:color w:val="auto"/>
                <w:sz w:val="21"/>
                <w:szCs w:val="21"/>
                <w:highlight w:val="none"/>
              </w:rPr>
            </w:pPr>
          </w:p>
        </w:tc>
        <w:tc>
          <w:tcPr>
            <w:tcW w:w="871" w:type="pct"/>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紧急事件应对</w:t>
            </w:r>
          </w:p>
        </w:tc>
        <w:tc>
          <w:tcPr>
            <w:tcW w:w="3646" w:type="pct"/>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紧急事件应对服务内容及要求：</w:t>
            </w:r>
          </w:p>
          <w:p>
            <w:pPr>
              <w:pStyle w:val="BodyText2"/>
              <w:pageBreakBefore w:val="0"/>
              <w:widowControl w:val="0"/>
              <w:kinsoku/>
              <w:wordWrap/>
              <w:overflowPunct/>
              <w:autoSpaceDE/>
              <w:autoSpaceDN/>
              <w:bidi w:val="0"/>
              <w:spacing w:line="360" w:lineRule="auto"/>
              <w:ind w:firstLine="42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秩序维护人员协助有关主管部门做好物业服务区域的紧急事件应对工作。可能存在的风险隐患包括但不限于火警火灾、高空坠物、电梯困人、水浸、物品遗失、突然死亡、打架斗殴、流氓滋扰、医患冲突、精神病人发作、抢劫、爆炸、艾滋病人闹事、狂犬病人发作等；紧急事件应对服务内容包括但不限于以下事项：</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1）根据实际制订相关应急预案，并根据实际情况，每年至少优化一次，提交医院相关职能科室备案；</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2）按照紧急事件应急预案，每半年进行一次特殊部门的培训演练、每月进行一次训练，每周开展最小应急单元演练，并建立档案记录；</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3）紧急事件发生时，立即向相关部门报告，并做好记录和总结。</w:t>
            </w:r>
          </w:p>
        </w:tc>
      </w:tr>
    </w:tbl>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2.秩序维护服务的规范要求</w:t>
      </w:r>
    </w:p>
    <w:p>
      <w:pPr>
        <w:pStyle w:val="BodyText"/>
        <w:pageBreakBefore w:val="0"/>
        <w:kinsoku/>
        <w:wordWrap/>
        <w:overflowPunct/>
        <w:autoSpaceDE/>
        <w:autoSpaceDN/>
        <w:bidi w:val="0"/>
        <w:adjustRightInd w:val="0"/>
        <w:snapToGrid w:val="0"/>
        <w:spacing w:line="360" w:lineRule="auto"/>
        <w:ind w:firstLine="0" w:firstLineChars="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    根据国家现行法律法规，参照深圳市标准化指导性技术文件《物业服务区域秩序维护规范》SZDB/Z 170-2016、深圳市地方标准《物业服务要求 医院》DB4403/T 194-2021等规范性文件，按照医院的各项规章制度进行秩序维护服务工作。</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3.组织架构及管理制度要求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规范设置部门负责人、班长以及各岗位的秩序维护员，并建立完善的各级岗位工作职责。</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参照深圳市标准化指导性技术文件《物业服务区域秩序维护规范》SZDB/Z 170-2016，建立健全各项管理制度和应急预案，包括但不限于教育培训制度、例会制度、巡逻制度、交接班制度、请示与报告制度等。</w:t>
      </w:r>
    </w:p>
    <w:p>
      <w:pPr>
        <w:pStyle w:val="Heading3"/>
        <w:keepNext w:val="0"/>
        <w:keepLines w:val="0"/>
        <w:pageBreakBefore w:val="0"/>
        <w:widowControl/>
        <w:numPr>
          <w:ilvl w:val="255"/>
          <w:numId w:val="0"/>
        </w:numPr>
        <w:kinsoku/>
        <w:wordWrap/>
        <w:overflowPunct/>
        <w:autoSpaceDE/>
        <w:autoSpaceDN/>
        <w:bidi w:val="0"/>
        <w:spacing w:before="0" w:after="0" w:line="360" w:lineRule="auto"/>
        <w:ind w:left="0" w:firstLine="420" w:leftChars="0" w:firstLineChars="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4.人员、形象、礼貌用语要求</w:t>
      </w:r>
    </w:p>
    <w:tbl>
      <w:tblPr>
        <w:tblStyle w:val="TableGrid"/>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70"/>
        <w:gridCol w:w="1265"/>
        <w:gridCol w:w="6260"/>
      </w:tblGrid>
      <w:tr>
        <w:tblPrEx>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3"/>
        </w:trPr>
        <w:tc>
          <w:tcPr>
            <w:tcW w:w="770" w:type="dxa"/>
            <w:vAlign w:val="center"/>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编号</w:t>
            </w:r>
          </w:p>
        </w:tc>
        <w:tc>
          <w:tcPr>
            <w:tcW w:w="1265" w:type="dxa"/>
            <w:vAlign w:val="center"/>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项目</w:t>
            </w:r>
          </w:p>
        </w:tc>
        <w:tc>
          <w:tcPr>
            <w:tcW w:w="6260" w:type="dxa"/>
            <w:vAlign w:val="center"/>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服务要求</w:t>
            </w:r>
          </w:p>
        </w:tc>
      </w:tr>
      <w:tr>
        <w:tblPrEx>
          <w:tblW w:w="8295" w:type="dxa"/>
          <w:tblInd w:w="108" w:type="dxa"/>
          <w:tblLayout w:type="fixed"/>
          <w:tblCellMar>
            <w:top w:w="0" w:type="dxa"/>
            <w:left w:w="108" w:type="dxa"/>
            <w:bottom w:w="0" w:type="dxa"/>
            <w:right w:w="108" w:type="dxa"/>
          </w:tblCellMar>
        </w:tblPrEx>
        <w:trPr>
          <w:trHeight w:val="23"/>
        </w:trPr>
        <w:tc>
          <w:tcPr>
            <w:tcW w:w="770" w:type="dxa"/>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w:t>
            </w:r>
          </w:p>
        </w:tc>
        <w:tc>
          <w:tcPr>
            <w:tcW w:w="1265" w:type="dxa"/>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人员</w:t>
            </w:r>
          </w:p>
        </w:tc>
        <w:tc>
          <w:tcPr>
            <w:tcW w:w="6260" w:type="dxa"/>
            <w:vAlign w:val="center"/>
          </w:tcPr>
          <w:p>
            <w:pPr>
              <w:pStyle w:val="BodyText2"/>
              <w:pageBreakBefore w:val="0"/>
              <w:widowControl w:val="0"/>
              <w:numPr>
                <w:ilvl w:val="1"/>
                <w:numId w:val="11"/>
              </w:numPr>
              <w:kinsoku/>
              <w:wordWrap/>
              <w:overflowPunct/>
              <w:autoSpaceDE/>
              <w:autoSpaceDN/>
              <w:bidi w:val="0"/>
              <w:spacing w:line="360" w:lineRule="auto"/>
              <w:ind w:left="0"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男性身高不低于170cm,女性身高不低于160cm；</w:t>
            </w:r>
          </w:p>
          <w:p>
            <w:pPr>
              <w:pStyle w:val="BodyText2"/>
              <w:pageBreakBefore w:val="0"/>
              <w:widowControl w:val="0"/>
              <w:numPr>
                <w:ilvl w:val="1"/>
                <w:numId w:val="11"/>
              </w:numPr>
              <w:kinsoku/>
              <w:wordWrap/>
              <w:overflowPunct/>
              <w:autoSpaceDE/>
              <w:autoSpaceDN/>
              <w:bidi w:val="0"/>
              <w:spacing w:line="360" w:lineRule="auto"/>
              <w:ind w:left="0"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★持有公安机关核发的《保安员证》；</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3）有较好的文化与语言表达能力；</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4）身体健康，形象良好，无不良嗜好；</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5）熟悉有关法律法规基本知识，有一定的业务技能及经验。</w:t>
            </w:r>
          </w:p>
        </w:tc>
      </w:tr>
      <w:tr>
        <w:tblPrEx>
          <w:tblW w:w="8295" w:type="dxa"/>
          <w:tblInd w:w="108" w:type="dxa"/>
          <w:tblLayout w:type="fixed"/>
          <w:tblCellMar>
            <w:top w:w="0" w:type="dxa"/>
            <w:left w:w="108" w:type="dxa"/>
            <w:bottom w:w="0" w:type="dxa"/>
            <w:right w:w="108" w:type="dxa"/>
          </w:tblCellMar>
        </w:tblPrEx>
        <w:trPr>
          <w:trHeight w:val="23"/>
        </w:trPr>
        <w:tc>
          <w:tcPr>
            <w:tcW w:w="770" w:type="dxa"/>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w:t>
            </w:r>
          </w:p>
        </w:tc>
        <w:tc>
          <w:tcPr>
            <w:tcW w:w="1265" w:type="dxa"/>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形象</w:t>
            </w:r>
          </w:p>
        </w:tc>
        <w:tc>
          <w:tcPr>
            <w:tcW w:w="6260" w:type="dxa"/>
            <w:vAlign w:val="center"/>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1）工作时应穿着统一样式的制服、帽子，保持干净整洁，佩戴明显企业标志、工牌（包括照片、姓名）、袖标等；</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lang w:eastAsia="zh-CN"/>
              </w:rPr>
            </w:pPr>
            <w:r>
              <w:rPr>
                <w:rFonts w:asciiTheme="minorEastAsia" w:eastAsiaTheme="minorEastAsia" w:hAnsiTheme="minorEastAsia" w:cstheme="minorEastAsia" w:hint="eastAsia"/>
                <w:b w:val="0"/>
                <w:bCs w:val="0"/>
                <w:color w:val="auto"/>
                <w:sz w:val="21"/>
                <w:szCs w:val="21"/>
                <w:highlight w:val="none"/>
              </w:rPr>
              <w:t>2）装备齐全，配备统一装备。（对讲机等执勤四件套装备由中标单位采购；反恐需要的警棍、强光手电、约束带、辣椒水等由采购人采购）</w:t>
            </w:r>
            <w:r>
              <w:rPr>
                <w:rFonts w:asciiTheme="minorEastAsia" w:eastAsiaTheme="minorEastAsia" w:hAnsiTheme="minorEastAsia" w:cstheme="minorEastAsia" w:hint="eastAsia"/>
                <w:b w:val="0"/>
                <w:bCs w:val="0"/>
                <w:color w:val="auto"/>
                <w:sz w:val="21"/>
                <w:szCs w:val="21"/>
                <w:highlight w:val="none"/>
                <w:lang w:eastAsia="zh-CN"/>
              </w:rPr>
              <w:t>；</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3）保持良好的坐姿、站姿形象及精神状态，对有需要的人员主动微笑询问和提供帮助，服务态度良好；</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4）男性不应留长胡须、长发，女性不应化浓妆、戴首饰，禁止纹身。</w:t>
            </w:r>
          </w:p>
        </w:tc>
      </w:tr>
      <w:tr>
        <w:tblPrEx>
          <w:tblW w:w="8295" w:type="dxa"/>
          <w:tblInd w:w="108" w:type="dxa"/>
          <w:tblLayout w:type="fixed"/>
          <w:tblCellMar>
            <w:top w:w="0" w:type="dxa"/>
            <w:left w:w="108" w:type="dxa"/>
            <w:bottom w:w="0" w:type="dxa"/>
            <w:right w:w="108" w:type="dxa"/>
          </w:tblCellMar>
        </w:tblPrEx>
        <w:trPr>
          <w:trHeight w:val="23"/>
        </w:trPr>
        <w:tc>
          <w:tcPr>
            <w:tcW w:w="770" w:type="dxa"/>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w:t>
            </w:r>
          </w:p>
        </w:tc>
        <w:tc>
          <w:tcPr>
            <w:tcW w:w="1265" w:type="dxa"/>
            <w:vAlign w:val="center"/>
          </w:tcPr>
          <w:p>
            <w:pPr>
              <w:pStyle w:val="BodyText2"/>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礼貌用语</w:t>
            </w:r>
          </w:p>
        </w:tc>
        <w:tc>
          <w:tcPr>
            <w:tcW w:w="6260" w:type="dxa"/>
            <w:vAlign w:val="center"/>
          </w:tcPr>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1）工作时使用语言应简洁、规范，具有亲和力；</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2）说话应多用“你好、请、您、对不起、谢谢、再见”等礼貌用语，并注意称谓的使用；</w:t>
            </w:r>
          </w:p>
          <w:p>
            <w:pPr>
              <w:pStyle w:val="BodyText2"/>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3）不讲粗话和使用蔑视和侮辱性语言。</w:t>
            </w:r>
          </w:p>
        </w:tc>
      </w:tr>
    </w:tbl>
    <w:p>
      <w:pPr>
        <w:pStyle w:val="Heading2"/>
        <w:pageBreakBefore w:val="0"/>
        <w:kinsoku/>
        <w:wordWrap/>
        <w:overflowPunct/>
        <w:autoSpaceDE/>
        <w:autoSpaceDN/>
        <w:bidi w:val="0"/>
        <w:spacing w:line="360" w:lineRule="auto"/>
        <w:ind w:firstLine="482"/>
        <w:textAlignment w:val="auto"/>
        <w:rPr>
          <w:rFonts w:asciiTheme="minorEastAsia" w:eastAsiaTheme="minorEastAsia" w:hAnsiTheme="minorEastAsia" w:cstheme="minorEastAsia" w:hint="eastAsia"/>
          <w:b w:val="0"/>
          <w:bCs w:val="0"/>
          <w:color w:val="auto"/>
          <w:sz w:val="21"/>
          <w:szCs w:val="21"/>
          <w:highlight w:val="none"/>
        </w:rPr>
      </w:pPr>
    </w:p>
    <w:p>
      <w:pPr>
        <w:pStyle w:val="Heading2"/>
        <w:pageBreakBefore w:val="0"/>
        <w:numPr>
          <w:ilvl w:val="0"/>
          <w:numId w:val="17"/>
        </w:numPr>
        <w:kinsoku/>
        <w:wordWrap/>
        <w:overflowPunct/>
        <w:autoSpaceDE/>
        <w:autoSpaceDN/>
        <w:bidi w:val="0"/>
        <w:spacing w:line="360" w:lineRule="auto"/>
        <w:ind w:firstLine="0"/>
        <w:textAlignment w:val="auto"/>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rPr>
        <w:t>医疗辅助服务内容与要求</w:t>
      </w:r>
    </w:p>
    <w:p>
      <w:pPr>
        <w:pStyle w:val="Heading2"/>
        <w:pageBreakBefore w:val="0"/>
        <w:numPr>
          <w:ilvl w:val="255"/>
          <w:numId w:val="0"/>
        </w:numPr>
        <w:kinsoku/>
        <w:wordWrap/>
        <w:overflowPunct/>
        <w:autoSpaceDE/>
        <w:autoSpaceDN/>
        <w:bidi w:val="0"/>
        <w:spacing w:line="360" w:lineRule="auto"/>
        <w:ind w:firstLine="0"/>
        <w:jc w:val="both"/>
        <w:textAlignment w:val="auto"/>
        <w:rPr>
          <w:rFonts w:asciiTheme="majorEastAsia" w:eastAsiaTheme="majorEastAsia" w:hAnsiTheme="majorEastAsia" w:cstheme="majorEastAsia" w:hint="eastAsia"/>
          <w:b/>
          <w:bCs/>
          <w:color w:val="auto"/>
          <w:sz w:val="21"/>
          <w:szCs w:val="21"/>
          <w:highlight w:val="none"/>
        </w:rPr>
      </w:pPr>
    </w:p>
    <w:p>
      <w:pPr>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1.医疗</w:t>
      </w:r>
      <w:r>
        <w:rPr>
          <w:rFonts w:asciiTheme="minorEastAsia" w:eastAsiaTheme="minorEastAsia" w:hAnsiTheme="minorEastAsia" w:cstheme="minorEastAsia" w:hint="eastAsia"/>
          <w:b/>
          <w:bCs/>
          <w:color w:val="auto"/>
          <w:sz w:val="21"/>
          <w:szCs w:val="21"/>
          <w:highlight w:val="none"/>
          <w:lang w:eastAsia="zh-CN"/>
        </w:rPr>
        <w:t>外勤服务</w:t>
      </w:r>
    </w:p>
    <w:p>
      <w:pPr>
        <w:pStyle w:val="Heading4"/>
        <w:keepNext w:val="0"/>
        <w:keepLines w:val="0"/>
        <w:pageBreakBefore w:val="0"/>
        <w:numPr>
          <w:ilvl w:val="255"/>
          <w:numId w:val="0"/>
        </w:numPr>
        <w:kinsoku/>
        <w:wordWrap/>
        <w:overflowPunct/>
        <w:autoSpaceDE/>
        <w:autoSpaceDN/>
        <w:bidi w:val="0"/>
        <w:adjustRightInd w:val="0"/>
        <w:snapToGrid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医疗外勤服务内容</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医辅运送是医院核心业务的重要组成部分，中标单位要根据采购人的目标要求，实现智能化服务目标，智能化、信息化要基本实现业务的全覆盖。能够根据服务科室和区域不同，量身定做流程和标准，最大限度满足特殊性需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负责收集运送全院各类标本（不限时间不限部门），发放各类报告单；</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负责取送手术通知单、会诊单、各类检查预约单等；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负责护送住院病人开展B超、彩超、心电图、脑电图、X线、CT、MRI、肠镜、胃镜、造影、透视、乳腺红外线等各种检查；</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协助护送血透、碎石、DSA、高压氧、激光、理疗、康复等各项治疗；</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负责护送住院病人转科；</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负责手术病人的接送；</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负责取送各类病历、处方、通知、各种工作手册及报表等；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8)</w:t>
      </w:r>
      <w:r>
        <w:rPr>
          <w:rFonts w:asciiTheme="minorEastAsia" w:eastAsiaTheme="minorEastAsia" w:hAnsiTheme="minorEastAsia" w:cstheme="minorEastAsia" w:hint="eastAsia"/>
          <w:b w:val="0"/>
          <w:bCs w:val="0"/>
          <w:color w:val="auto"/>
          <w:sz w:val="21"/>
          <w:szCs w:val="21"/>
          <w:highlight w:val="none"/>
        </w:rPr>
        <w:t>负责床边检查仪器/计量检查仪器等运送；</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9)</w:t>
      </w:r>
      <w:r>
        <w:rPr>
          <w:rFonts w:asciiTheme="minorEastAsia" w:eastAsiaTheme="minorEastAsia" w:hAnsiTheme="minorEastAsia" w:cstheme="minorEastAsia" w:hint="eastAsia"/>
          <w:b w:val="0"/>
          <w:bCs w:val="0"/>
          <w:color w:val="auto"/>
          <w:sz w:val="21"/>
          <w:szCs w:val="21"/>
          <w:highlight w:val="none"/>
        </w:rPr>
        <w:t>负责学术会议所需设备与桌椅的零星搬运等；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10)</w:t>
      </w:r>
      <w:r>
        <w:rPr>
          <w:rFonts w:asciiTheme="minorEastAsia" w:eastAsiaTheme="minorEastAsia" w:hAnsiTheme="minorEastAsia" w:cstheme="minorEastAsia" w:hint="eastAsia"/>
          <w:b w:val="0"/>
          <w:bCs w:val="0"/>
          <w:color w:val="auto"/>
          <w:sz w:val="21"/>
          <w:szCs w:val="21"/>
          <w:highlight w:val="none"/>
        </w:rPr>
        <w:t xml:space="preserve">负责领送各类试管、血培养皿、分泌物培养皿、空气培养皿及回收空血袋等； </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11)</w:t>
      </w:r>
      <w:r>
        <w:rPr>
          <w:rFonts w:asciiTheme="minorEastAsia" w:eastAsiaTheme="minorEastAsia" w:hAnsiTheme="minorEastAsia" w:cstheme="minorEastAsia" w:hint="eastAsia"/>
          <w:b w:val="0"/>
          <w:bCs w:val="0"/>
          <w:color w:val="auto"/>
          <w:sz w:val="21"/>
          <w:szCs w:val="21"/>
          <w:highlight w:val="none"/>
        </w:rPr>
        <w:t>负责领送大型输液、消毒剂、纯化水等药剂用品；</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12)</w:t>
      </w:r>
      <w:r>
        <w:rPr>
          <w:rFonts w:asciiTheme="minorEastAsia" w:eastAsiaTheme="minorEastAsia" w:hAnsiTheme="minorEastAsia" w:cstheme="minorEastAsia" w:hint="eastAsia"/>
          <w:b w:val="0"/>
          <w:bCs w:val="0"/>
          <w:color w:val="auto"/>
          <w:sz w:val="21"/>
          <w:szCs w:val="21"/>
          <w:highlight w:val="none"/>
        </w:rPr>
        <w:t>负责运送各种医疗、后勤用品（总务库、设备库、药学部等）；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13)</w:t>
      </w:r>
      <w:r>
        <w:rPr>
          <w:rFonts w:asciiTheme="minorEastAsia" w:eastAsiaTheme="minorEastAsia" w:hAnsiTheme="minorEastAsia" w:cstheme="minorEastAsia" w:hint="eastAsia"/>
          <w:b w:val="0"/>
          <w:bCs w:val="0"/>
          <w:color w:val="auto"/>
          <w:sz w:val="21"/>
          <w:szCs w:val="21"/>
          <w:highlight w:val="none"/>
        </w:rPr>
        <w:t>负责收集运送各科室专科消毒物品（含敷料打包、污器械清理送消等）；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14)</w:t>
      </w:r>
      <w:r>
        <w:rPr>
          <w:rFonts w:asciiTheme="minorEastAsia" w:eastAsiaTheme="minorEastAsia" w:hAnsiTheme="minorEastAsia" w:cstheme="minorEastAsia" w:hint="eastAsia"/>
          <w:b w:val="0"/>
          <w:bCs w:val="0"/>
          <w:color w:val="auto"/>
          <w:sz w:val="21"/>
          <w:szCs w:val="21"/>
          <w:highlight w:val="none"/>
        </w:rPr>
        <w:t>医疗辅助运送工作范畴不涵盖供应室常规下收送、助理护士、陪护工及导医工作，相应工作仍由原责任科室负责；</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15)</w:t>
      </w:r>
      <w:r>
        <w:rPr>
          <w:rFonts w:asciiTheme="minorEastAsia" w:eastAsiaTheme="minorEastAsia" w:hAnsiTheme="minorEastAsia" w:cstheme="minorEastAsia" w:hint="eastAsia"/>
          <w:b w:val="0"/>
          <w:bCs w:val="0"/>
          <w:color w:val="auto"/>
          <w:sz w:val="21"/>
          <w:szCs w:val="21"/>
          <w:highlight w:val="none"/>
        </w:rPr>
        <w:t>中标单位按照采购人要求，配合实施医疗辅助集中运送工作，并根据采购方需求制定详细的集中运送实施方案，并且方案有效落实。</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lang w:eastAsia="zh-CN"/>
        </w:rPr>
        <w:t>）</w:t>
      </w:r>
      <w:r>
        <w:rPr>
          <w:rFonts w:asciiTheme="minorEastAsia" w:eastAsiaTheme="minorEastAsia" w:hAnsiTheme="minorEastAsia" w:cstheme="minorEastAsia" w:hint="eastAsia"/>
          <w:b/>
          <w:bCs/>
          <w:color w:val="auto"/>
          <w:sz w:val="21"/>
          <w:szCs w:val="21"/>
          <w:highlight w:val="none"/>
        </w:rPr>
        <w:t>医疗外勤服务要求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人员资质：熟悉医院流程布局，身体健康，肯吃苦耐劳，签署并遵守保密协议；中标单位签订合同后开展工作前，需提供对应人员的有效健康证。</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员工接受严格的岗前培训与考核，经病区护士长认可后方可上岗，每月1次业务培训，年度培训时数达到10小时以上；</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服务满足医疗服务规范要求，满足医疗服务应急需要，提供夜间服务，调度及时；</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strike/>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配备现代化的通讯工具和调度设备；</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具有为病人、为客户高度负责的服务意识，运送服务安全、及时、准确、快捷，在呼叫15分钟内到达现场，紧急情况下5分钟内赶到；</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运送工作中，除陪同病人或配合抢救和运送仪器外优先让病患及医护人员乘坐客梯，员工通过对讲联络快步穿梭在全院各个科室，保障医院高效运转。</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中标单位按照医院要求，提供外勤护工所涉及的工具，包括但不限于：口罩、帽子、手套、封闭式标本篮、文件袋、电脑、打印机等办公设备、办公耗材、生活用品及运送工具由中标单位自行提供。</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bCs/>
          <w:color w:val="auto"/>
          <w:sz w:val="21"/>
          <w:szCs w:val="21"/>
          <w:highlight w:val="none"/>
        </w:rPr>
        <w:t>2.后勤受理服务</w:t>
      </w:r>
      <w:r>
        <w:rPr>
          <w:rFonts w:asciiTheme="minorEastAsia" w:eastAsiaTheme="minorEastAsia" w:hAnsiTheme="minorEastAsia" w:cstheme="minorEastAsia" w:hint="eastAsia"/>
          <w:b w:val="0"/>
          <w:bCs w:val="0"/>
          <w:color w:val="auto"/>
          <w:sz w:val="21"/>
          <w:szCs w:val="21"/>
          <w:highlight w:val="none"/>
        </w:rPr>
        <w:t>中标单位要建立24小时值班的受理调度中心，工作内容包括接收全院需求信息，统筹公司人员，收集服务完成情况信息，并进行质量追踪，组织开展服务满意度调查工作，及时汇总病人及医院员工建议与要求。</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（1）后勤受理服务内容</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24小时值班后勤服务热线电话和受理窗口业务服务；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后勤投诉登记及处理服务；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报修维修信息、医辅运送信息分发处理服务；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医院突发事件上传下达跟踪处理服务；</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采购人临时交办的其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后勤服务；</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（2）后勤受理服务要求</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严格执行24小时值班制度；</w:t>
      </w: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及时处理后勤报修、维修、运送、建议、问询、投诉等各类信息及时处理跟踪、反馈；</w:t>
      </w:r>
    </w:p>
    <w:p>
      <w:pPr>
        <w:pStyle w:val="ListParagraph"/>
        <w:pageBreakBefore w:val="0"/>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医院突发事件及时上报医院有关部门或领导并进行处理；</w:t>
      </w:r>
    </w:p>
    <w:p>
      <w:pPr>
        <w:pStyle w:val="ListParagraph"/>
        <w:pageBreakBefore w:val="0"/>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采购人安排有关事务的处理、联络、要及时做好跟踪、落实与反馈；</w:t>
      </w:r>
    </w:p>
    <w:p>
      <w:pPr>
        <w:pStyle w:val="ListParagraph"/>
        <w:pageBreakBefore w:val="0"/>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服务及时、周到、礼貌、热情；</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3.医疗内勤辅助管理服务</w:t>
      </w:r>
    </w:p>
    <w:p>
      <w:pPr>
        <w:pStyle w:val="ListParagraph"/>
        <w:pageBreakBefore w:val="0"/>
        <w:numPr>
          <w:ilvl w:val="0"/>
          <w:numId w:val="0"/>
        </w:numPr>
        <w:tabs>
          <w:tab w:val="left" w:pos="0"/>
        </w:tabs>
        <w:kinsoku/>
        <w:wordWrap/>
        <w:overflowPunct/>
        <w:autoSpaceDE/>
        <w:autoSpaceDN/>
        <w:bidi w:val="0"/>
        <w:spacing w:line="360" w:lineRule="auto"/>
        <w:ind w:left="0"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kern w:val="2"/>
          <w:sz w:val="21"/>
          <w:szCs w:val="21"/>
          <w:lang w:val="en-US" w:eastAsia="zh-CN" w:bidi="ar-SA"/>
        </w:rPr>
        <w:t>1)</w:t>
      </w:r>
      <w:r>
        <w:rPr>
          <w:rFonts w:asciiTheme="minorEastAsia" w:eastAsiaTheme="minorEastAsia" w:hAnsiTheme="minorEastAsia" w:cstheme="minorEastAsia" w:hint="eastAsia"/>
          <w:b w:val="0"/>
          <w:bCs w:val="0"/>
          <w:color w:val="auto"/>
          <w:sz w:val="21"/>
          <w:szCs w:val="21"/>
          <w:highlight w:val="none"/>
        </w:rPr>
        <w:t>在采购人护士长的领导和护士指导下承担非医疗的辅助性工作任务，按照要求着装上岗，遵守医院的规章制度。</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协助护士晨晚间护理：协助护士整理床铺、湿式扫床，整理床头桌及床上、床下杂物，收起窗帘或隔帘，管理病人家属、陪人及躺椅，指导陪护和家属整理生活用品，整理洗手间物品和浴帘，拉窗帘、关灯、关门窗等，检查和管理病区安全情况（水、电、出入门、可疑人员等），病室开窗通风等，保持病室安全、舒适、整洁、美观。</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做好患者入院前的准备工作和出院后床单位的整理与消毒，协助护士接收新收病人，陪送行动不便的出院病人至病区外。</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协助护士完成治疗、检查、护理程序，准备相关物品、仪器、环境及文件，在治疗及检验程序中协助护士及其他医疗人员完成非技术性工作，协助患者转床、护送及扶抱。</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协助执行及遵守感染控制的指引，院感规定物品的清洗消毒与日常保养。</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冰箱、微波炉、取暖器等生活电器与医疗设备辅助管理、消毒与整理归位。</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7)</w:t>
      </w:r>
      <w:r>
        <w:rPr>
          <w:rFonts w:asciiTheme="minorEastAsia" w:eastAsiaTheme="minorEastAsia" w:hAnsiTheme="minorEastAsia" w:cstheme="minorEastAsia" w:hint="eastAsia"/>
          <w:b w:val="0"/>
          <w:bCs w:val="0"/>
          <w:color w:val="auto"/>
          <w:sz w:val="21"/>
          <w:szCs w:val="21"/>
          <w:highlight w:val="none"/>
        </w:rPr>
        <w:t>整理库房、值班室、检查室、医护和患者茶水间、物流传输间、更衣室、晒衣阳台、病区通道等功能区，保持整洁、有序。</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8)</w:t>
      </w:r>
      <w:r>
        <w:rPr>
          <w:rFonts w:asciiTheme="minorEastAsia" w:eastAsiaTheme="minorEastAsia" w:hAnsiTheme="minorEastAsia" w:cstheme="minorEastAsia" w:hint="eastAsia"/>
          <w:b w:val="0"/>
          <w:bCs w:val="0"/>
          <w:color w:val="auto"/>
          <w:sz w:val="21"/>
          <w:szCs w:val="21"/>
          <w:highlight w:val="none"/>
        </w:rPr>
        <w:t>协助护士接收与管理科室大输液、设备、被服、耗材、擦手纸、饮用水等并严格交接，每日巡视补充并摆放整齐。</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9)</w:t>
      </w:r>
      <w:r>
        <w:rPr>
          <w:rFonts w:asciiTheme="minorEastAsia" w:eastAsiaTheme="minorEastAsia" w:hAnsiTheme="minorEastAsia" w:cstheme="minorEastAsia" w:hint="eastAsia"/>
          <w:b w:val="0"/>
          <w:bCs w:val="0"/>
          <w:color w:val="auto"/>
          <w:sz w:val="21"/>
          <w:szCs w:val="21"/>
          <w:highlight w:val="none"/>
        </w:rPr>
        <w:t>协助特殊科室护士管理外来人员、设备管理、机器和物表消毒、更换透析液、收盐水瓶废液袋等勤杂事务。</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10)</w:t>
      </w:r>
      <w:r>
        <w:rPr>
          <w:rFonts w:asciiTheme="minorEastAsia" w:eastAsiaTheme="minorEastAsia" w:hAnsiTheme="minorEastAsia" w:cstheme="minorEastAsia" w:hint="eastAsia"/>
          <w:b w:val="0"/>
          <w:bCs w:val="0"/>
          <w:color w:val="auto"/>
          <w:sz w:val="21"/>
          <w:szCs w:val="21"/>
          <w:highlight w:val="none"/>
        </w:rPr>
        <w:t>维持病区探视秩序，协助护士长做好病房基础设施的管理工作。</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11)</w:t>
      </w:r>
      <w:r>
        <w:rPr>
          <w:rFonts w:asciiTheme="minorEastAsia" w:eastAsiaTheme="minorEastAsia" w:hAnsiTheme="minorEastAsia" w:cstheme="minorEastAsia" w:hint="eastAsia"/>
          <w:b w:val="0"/>
          <w:bCs w:val="0"/>
          <w:color w:val="auto"/>
          <w:sz w:val="21"/>
          <w:szCs w:val="21"/>
          <w:highlight w:val="none"/>
        </w:rPr>
        <w:t>执行由护士指派的其他患者服务及病房工作。</w:t>
      </w:r>
    </w:p>
    <w:p>
      <w:pPr>
        <w:pStyle w:val="ListParagraph"/>
        <w:pageBreakBefore w:val="0"/>
        <w:tabs>
          <w:tab w:val="left" w:pos="0"/>
        </w:tabs>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12)</w:t>
      </w:r>
      <w:r>
        <w:rPr>
          <w:rFonts w:asciiTheme="minorEastAsia" w:eastAsiaTheme="minorEastAsia" w:hAnsiTheme="minorEastAsia" w:cstheme="minorEastAsia" w:hint="eastAsia"/>
          <w:b w:val="0"/>
          <w:bCs w:val="0"/>
          <w:color w:val="auto"/>
          <w:sz w:val="21"/>
          <w:szCs w:val="21"/>
          <w:highlight w:val="none"/>
        </w:rPr>
        <w:t>以上所有服务内容为基本服务内容，具体服务内容需根据用人科室要求做适当调整。</w:t>
      </w:r>
    </w:p>
    <w:p>
      <w:pPr>
        <w:pStyle w:val="Heading2"/>
        <w:pageBreakBefore w:val="0"/>
        <w:kinsoku/>
        <w:wordWrap/>
        <w:overflowPunct/>
        <w:autoSpaceDE/>
        <w:autoSpaceDN/>
        <w:bidi w:val="0"/>
        <w:spacing w:line="360" w:lineRule="auto"/>
        <w:ind w:firstLine="482"/>
        <w:rPr>
          <w:rFonts w:asciiTheme="minorEastAsia" w:eastAsiaTheme="minorEastAsia" w:hAnsiTheme="minorEastAsia" w:cstheme="minorEastAsia" w:hint="eastAsia"/>
          <w:b w:val="0"/>
          <w:bCs w:val="0"/>
          <w:color w:val="auto"/>
          <w:sz w:val="21"/>
          <w:szCs w:val="21"/>
          <w:highlight w:val="none"/>
        </w:rPr>
      </w:pPr>
    </w:p>
    <w:p>
      <w:pPr>
        <w:pStyle w:val="Heading2"/>
        <w:pageBreakBefore w:val="0"/>
        <w:numPr>
          <w:ilvl w:val="0"/>
          <w:numId w:val="17"/>
        </w:numPr>
        <w:kinsoku/>
        <w:wordWrap/>
        <w:overflowPunct/>
        <w:autoSpaceDE/>
        <w:autoSpaceDN/>
        <w:bidi w:val="0"/>
        <w:spacing w:line="360" w:lineRule="auto"/>
        <w:ind w:firstLine="0"/>
        <w:textAlignment w:val="auto"/>
        <w:rPr>
          <w:rFonts w:asciiTheme="majorEastAsia" w:eastAsiaTheme="majorEastAsia" w:hAnsiTheme="majorEastAsia" w:cstheme="majorEastAsia" w:hint="eastAsia"/>
          <w:b/>
          <w:bCs/>
          <w:color w:val="auto"/>
          <w:sz w:val="21"/>
          <w:szCs w:val="21"/>
          <w:highlight w:val="none"/>
        </w:rPr>
      </w:pPr>
      <w:r>
        <w:rPr>
          <w:rFonts w:asciiTheme="majorEastAsia" w:eastAsiaTheme="majorEastAsia" w:hAnsiTheme="majorEastAsia" w:cstheme="majorEastAsia" w:hint="eastAsia"/>
          <w:b/>
          <w:bCs/>
          <w:color w:val="auto"/>
          <w:sz w:val="21"/>
          <w:szCs w:val="21"/>
          <w:highlight w:val="none"/>
        </w:rPr>
        <w:t>其他服务内容与要求</w:t>
      </w:r>
    </w:p>
    <w:p>
      <w:pPr>
        <w:pStyle w:val="Heading3"/>
        <w:keepNext w:val="0"/>
        <w:keepLines w:val="0"/>
        <w:pageBreakBefore w:val="0"/>
        <w:widowControl/>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1.</w:t>
      </w:r>
      <w:r>
        <w:rPr>
          <w:rFonts w:asciiTheme="minorEastAsia" w:eastAsiaTheme="minorEastAsia" w:hAnsiTheme="minorEastAsia" w:cstheme="minorEastAsia" w:hint="eastAsia"/>
          <w:b/>
          <w:bCs/>
          <w:color w:val="auto"/>
          <w:sz w:val="21"/>
          <w:szCs w:val="21"/>
          <w:highlight w:val="none"/>
        </w:rPr>
        <w:t>宿舍管理</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1）负责学生宿舍区域内公共设施、消防安全等管理工作。</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2）负责医院学生宿舍公共区域巡查，对违反《学生宿舍管理制度》有关规定的人和事进行阻止、处理，正确行使管理职能，配合医院完善宿舍管理；</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 xml:space="preserve">3)发现安全隐患要及时向采购人反映并提出整改建议； </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4)发现可疑人员及所携带危险品要迅速通知保安并告知医院保卫科以便及时处理；</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5)出现突发事件、刑事或治安案件、灾害事故，及时报医院总务科（保卫科）。</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6)负责安排清洁人员，维修工或搬运工人前往医院院外集体宿舍（职工宿舍，学生宿舍，专家房）进行打扫、维修或搬运物资。在没有运送大件物资（如上下铺，桌子等大件家私或家电）及路程不超过医院周围5公里的情况下，物业人员交通由物业公司承担，物业公司不向医院要求报销。</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由于中标单位管理因素造成物资财产损失或其</w:t>
      </w:r>
      <w:r>
        <w:rPr>
          <w:rFonts w:asciiTheme="minorEastAsia" w:eastAsiaTheme="minorEastAsia" w:hAnsiTheme="minorEastAsia" w:cstheme="minorEastAsia" w:hint="eastAsia"/>
          <w:b w:val="0"/>
          <w:bCs w:val="0"/>
          <w:color w:val="auto"/>
          <w:sz w:val="21"/>
          <w:szCs w:val="21"/>
          <w:highlight w:val="none"/>
          <w:lang w:eastAsia="zh-CN"/>
        </w:rPr>
        <w:t>他</w:t>
      </w:r>
      <w:r>
        <w:rPr>
          <w:rFonts w:asciiTheme="minorEastAsia" w:eastAsiaTheme="minorEastAsia" w:hAnsiTheme="minorEastAsia" w:cstheme="minorEastAsia" w:hint="eastAsia"/>
          <w:b w:val="0"/>
          <w:bCs w:val="0"/>
          <w:color w:val="auto"/>
          <w:sz w:val="21"/>
          <w:szCs w:val="21"/>
          <w:highlight w:val="none"/>
        </w:rPr>
        <w:t>安全事故，由中标单位承担全部责任。</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lang w:val="en-US" w:eastAsia="zh-CN"/>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2.</w:t>
      </w:r>
      <w:r>
        <w:rPr>
          <w:rFonts w:asciiTheme="minorEastAsia" w:eastAsiaTheme="minorEastAsia" w:hAnsiTheme="minorEastAsia" w:cstheme="minorEastAsia" w:hint="eastAsia"/>
          <w:b/>
          <w:bCs/>
          <w:color w:val="auto"/>
          <w:sz w:val="21"/>
          <w:szCs w:val="21"/>
          <w:highlight w:val="none"/>
        </w:rPr>
        <w:t>会议室管理</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（1）会议室管理服务内容</w:t>
      </w:r>
    </w:p>
    <w:p>
      <w:pPr>
        <w:pageBreakBefore w:val="0"/>
        <w:tabs>
          <w:tab w:val="center" w:pos="4153"/>
        </w:tabs>
        <w:kinsoku/>
        <w:wordWrap/>
        <w:overflowPunct/>
        <w:autoSpaceDE/>
        <w:autoSpaceDN/>
        <w:bidi w:val="0"/>
        <w:adjustRightInd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负责采购人继教学习、业务培训、各类会议的会议安排，会务管理、日常清洁和布置，会议设施使用、维护及保管。</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（2）会议室管理服务要求</w:t>
      </w:r>
    </w:p>
    <w:p>
      <w:pPr>
        <w:pageBreakBefore w:val="0"/>
        <w:tabs>
          <w:tab w:val="center" w:pos="4153"/>
        </w:tabs>
        <w:kinsoku/>
        <w:wordWrap/>
        <w:overflowPunct/>
        <w:autoSpaceDE/>
        <w:autoSpaceDN/>
        <w:bidi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会议服务员做好会前、会中、会后服务，包括会议桌椅摆放、座位牌制作、欢迎词及横幅内容输出、茶水及茶歇准备，及时安排好其他会务需求，遵守会议保密制度。</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lang w:val="en-US" w:eastAsia="zh-CN"/>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3.</w:t>
      </w:r>
      <w:r>
        <w:rPr>
          <w:rFonts w:asciiTheme="minorEastAsia" w:eastAsiaTheme="minorEastAsia" w:hAnsiTheme="minorEastAsia" w:cstheme="minorEastAsia" w:hint="eastAsia"/>
          <w:b/>
          <w:bCs/>
          <w:color w:val="auto"/>
          <w:sz w:val="21"/>
          <w:szCs w:val="21"/>
          <w:highlight w:val="none"/>
        </w:rPr>
        <w:t>会议服务（简称“会服”）管理</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（1）会服管理服务内容</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负责根据会议需求，安排、调度会议场地等相关工作。</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负责会议开始前的场地检查、布置工作。负责会议进行期间的茶水、物资供应工作，以及期间医院的各项需求响应工作。</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负责会议结束后的现场清理、清扫、恢复工作。</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负责对医院领导办公室的环境</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其所及的家具、器材等进行日常管理、维护工作。</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负责医院各类接待事务的配合工作。</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（2）会服管理服务标准</w:t>
      </w:r>
    </w:p>
    <w:p>
      <w:pPr>
        <w:pageBreakBefore w:val="0"/>
        <w:tabs>
          <w:tab w:val="center" w:pos="4153"/>
        </w:tabs>
        <w:kinsoku/>
        <w:wordWrap/>
        <w:overflowPunct/>
        <w:autoSpaceDE/>
        <w:autoSpaceDN/>
        <w:bidi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准备及时率99%，满意度99%。</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lang w:val="en-US" w:eastAsia="zh-CN"/>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4.</w:t>
      </w:r>
      <w:r>
        <w:rPr>
          <w:rFonts w:asciiTheme="minorEastAsia" w:eastAsiaTheme="minorEastAsia" w:hAnsiTheme="minorEastAsia" w:cstheme="minorEastAsia" w:hint="eastAsia"/>
          <w:b/>
          <w:bCs/>
          <w:color w:val="auto"/>
          <w:sz w:val="21"/>
          <w:szCs w:val="21"/>
          <w:highlight w:val="none"/>
        </w:rPr>
        <w:t>物业管理档案、资料</w:t>
      </w:r>
    </w:p>
    <w:p>
      <w:pPr>
        <w:pageBreakBefore w:val="0"/>
        <w:tabs>
          <w:tab w:val="center" w:pos="4153"/>
        </w:tabs>
        <w:kinsoku/>
        <w:wordWrap/>
        <w:overflowPunct/>
        <w:autoSpaceDE/>
        <w:autoSpaceDN/>
        <w:bidi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建立日常管理规章制度，健全各种设备、设施的运行维护计划、记录及物业管理内容的基础档案，分为收集、整理、归档、利用四环节，包括施工及竣工验收阶段信息、建立委托关系阶段信息、日常管理信息。</w:t>
      </w:r>
    </w:p>
    <w:p>
      <w:pPr>
        <w:pageBreakBefore w:val="0"/>
        <w:tabs>
          <w:tab w:val="center" w:pos="4153"/>
        </w:tabs>
        <w:kinsoku/>
        <w:wordWrap/>
        <w:overflowPunct/>
        <w:autoSpaceDE/>
        <w:autoSpaceDN/>
        <w:bidi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档案、资料管理：按三甲医院要求，建立管理人员人事档案和各类行政文件、操作记录的存档工作；建立设备、设施、保安、保洁、车辆等日常运作管理档案；所有资料及管理资料按采购人要求建档，安放于防火、防潮、防蛀之专用档案箱/盒/柜内；做好档案资料的保密工作，相关信息不外泄；建立日常管理档案，包括各级规章制度、部门技术要求、工作规范、工作流程，培训资料，设备设施台账、工作计划、工作记录。</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lang w:val="en-US" w:eastAsia="zh-CN"/>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lang w:val="en-US" w:eastAsia="zh-CN"/>
        </w:rPr>
        <w:t>5.</w:t>
      </w:r>
      <w:r>
        <w:rPr>
          <w:rFonts w:asciiTheme="minorEastAsia" w:eastAsiaTheme="minorEastAsia" w:hAnsiTheme="minorEastAsia" w:cstheme="minorEastAsia" w:hint="eastAsia"/>
          <w:b/>
          <w:bCs/>
          <w:color w:val="auto"/>
          <w:sz w:val="21"/>
          <w:szCs w:val="21"/>
          <w:highlight w:val="none"/>
        </w:rPr>
        <w:t>辅助创评要求</w:t>
      </w:r>
    </w:p>
    <w:p>
      <w:pPr>
        <w:pageBreakBefore w:val="0"/>
        <w:tabs>
          <w:tab w:val="center" w:pos="4153"/>
        </w:tabs>
        <w:kinsoku/>
        <w:wordWrap/>
        <w:overflowPunct/>
        <w:autoSpaceDE/>
        <w:autoSpaceDN/>
        <w:bidi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中标单位配合采购人进行三甲评审、国际认证评审、高水平医院创建、文明单位创建、节能节约医院、物业示范项目评优创优工作，依照相关评审要求和标准建立项目管理体系和相关规章制度，并有效执行。</w:t>
      </w:r>
    </w:p>
    <w:p>
      <w:pPr>
        <w:pageBreakBefore w:val="0"/>
        <w:tabs>
          <w:tab w:val="center" w:pos="4153"/>
        </w:tabs>
        <w:kinsoku/>
        <w:wordWrap/>
        <w:overflowPunct/>
        <w:autoSpaceDE/>
        <w:autoSpaceDN/>
        <w:bidi w:val="0"/>
        <w:snapToGrid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采购人将对中标单位评优创优配合工作进行日常监督检查，中标单位应配置满足评优创优项目要求的“人、机、料、法、环”各项指标和要求。</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w:t>
      </w:r>
      <w:r>
        <w:rPr>
          <w:rFonts w:asciiTheme="minorEastAsia" w:eastAsiaTheme="minorEastAsia" w:hAnsiTheme="minorEastAsia" w:cstheme="minorEastAsia" w:hint="eastAsia"/>
          <w:b/>
          <w:bCs/>
          <w:color w:val="auto"/>
          <w:sz w:val="21"/>
          <w:szCs w:val="21"/>
          <w:highlight w:val="none"/>
          <w:lang w:val="en-US" w:eastAsia="zh-CN"/>
        </w:rPr>
        <w:t>6.</w:t>
      </w:r>
      <w:r>
        <w:rPr>
          <w:rFonts w:asciiTheme="minorEastAsia" w:eastAsiaTheme="minorEastAsia" w:hAnsiTheme="minorEastAsia" w:cstheme="minorEastAsia" w:hint="eastAsia"/>
          <w:b/>
          <w:bCs/>
          <w:color w:val="auto"/>
          <w:sz w:val="21"/>
          <w:szCs w:val="21"/>
          <w:highlight w:val="none"/>
        </w:rPr>
        <w:t>太平间管理</w:t>
      </w:r>
    </w:p>
    <w:p>
      <w:pPr>
        <w:pStyle w:val="Heading4"/>
        <w:keepNext w:val="0"/>
        <w:keepLines w:val="0"/>
        <w:pageBreakBefore w:val="0"/>
        <w:numPr>
          <w:ilvl w:val="0"/>
          <w:numId w:val="21"/>
        </w:numPr>
        <w:kinsoku/>
        <w:wordWrap/>
        <w:overflowPunct/>
        <w:autoSpaceDE/>
        <w:autoSpaceDN/>
        <w:bidi w:val="0"/>
        <w:adjustRightInd w:val="0"/>
        <w:snapToGrid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太平间管理服务内容</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严格按照《深圳经济特区殡葬管理条例》及上级民政</w:t>
      </w:r>
      <w:r>
        <w:rPr>
          <w:rFonts w:asciiTheme="minorEastAsia" w:eastAsiaTheme="minorEastAsia" w:hAnsiTheme="minorEastAsia" w:cstheme="minorEastAsia" w:hint="eastAsia"/>
          <w:b w:val="0"/>
          <w:bCs w:val="0"/>
          <w:color w:val="auto"/>
          <w:sz w:val="21"/>
          <w:szCs w:val="21"/>
          <w:highlight w:val="none"/>
          <w:lang w:val="en-US" w:eastAsia="zh-CN"/>
        </w:rPr>
        <w:t>及</w:t>
      </w:r>
      <w:r>
        <w:rPr>
          <w:rFonts w:asciiTheme="minorEastAsia" w:eastAsiaTheme="minorEastAsia" w:hAnsiTheme="minorEastAsia" w:cstheme="minorEastAsia" w:hint="eastAsia"/>
          <w:b w:val="0"/>
          <w:bCs w:val="0"/>
          <w:color w:val="auto"/>
          <w:sz w:val="21"/>
          <w:szCs w:val="21"/>
          <w:highlight w:val="none"/>
        </w:rPr>
        <w:t>主管部门下发最新文件要求负责接收、保管、移交有关科室通知的堕婴、遗体等工作。堕婴及16周以上或重量超500克的胚胎组织按堕婴送殡葬部门火化处置，要求做好相关的交接记录，所产生的相关费用已包含在中标单位的投标报价中，采购人不再另行支付任何费用。</w:t>
      </w:r>
    </w:p>
    <w:p>
      <w:pPr>
        <w:pStyle w:val="Heading4"/>
        <w:keepNext w:val="0"/>
        <w:keepLines w:val="0"/>
        <w:pageBreakBefore w:val="0"/>
        <w:numPr>
          <w:ilvl w:val="0"/>
          <w:numId w:val="0"/>
        </w:numPr>
        <w:kinsoku/>
        <w:wordWrap/>
        <w:overflowPunct/>
        <w:autoSpaceDE/>
        <w:autoSpaceDN/>
        <w:bidi w:val="0"/>
        <w:adjustRightInd w:val="0"/>
        <w:snapToGrid w:val="0"/>
        <w:spacing w:before="0" w:after="0" w:line="360" w:lineRule="auto"/>
        <w:ind w:left="0"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（2）太平间管理服务要求</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太平间工作人员收到医院科室工作人员电话后10分钟内到达现场，按规范与科室办理遗体移交手续，做好接收和保管遗体的工作。其中，尸体料理单和尸体登记卡由遗体所在科室工作人员填写，标明死亡时间、姓名、性别、住址等。</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太平间工作人员将遗体接到太平间，收到死亡证明等资料后需及时向深圳市殡仪馆呈报，与深圳市殡仪馆对接，做好遗体移交、接运工作。</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3)</w:t>
      </w:r>
      <w:r>
        <w:rPr>
          <w:rFonts w:asciiTheme="minorEastAsia" w:eastAsiaTheme="minorEastAsia" w:hAnsiTheme="minorEastAsia" w:cstheme="minorEastAsia" w:hint="eastAsia"/>
          <w:b w:val="0"/>
          <w:bCs w:val="0"/>
          <w:color w:val="auto"/>
          <w:sz w:val="21"/>
          <w:szCs w:val="21"/>
          <w:highlight w:val="none"/>
        </w:rPr>
        <w:t>做好太平间及值班房防火、防盗、防汛、人身安全、财产安全等安全管理工作，禁止在太平间进行焚香烧纸等明火操作。若管理使用期间出现安全责任事故，须承担安全责任及相关损失。</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4)</w:t>
      </w:r>
      <w:r>
        <w:rPr>
          <w:rFonts w:asciiTheme="minorEastAsia" w:eastAsiaTheme="minorEastAsia" w:hAnsiTheme="minorEastAsia" w:cstheme="minorEastAsia" w:hint="eastAsia"/>
          <w:b w:val="0"/>
          <w:bCs w:val="0"/>
          <w:color w:val="auto"/>
          <w:sz w:val="21"/>
          <w:szCs w:val="21"/>
          <w:highlight w:val="none"/>
        </w:rPr>
        <w:t>做好太平间清洁卫生及日常维护保养，保持室内</w:t>
      </w:r>
      <w:r>
        <w:rPr>
          <w:rFonts w:asciiTheme="minorEastAsia" w:eastAsiaTheme="minorEastAsia" w:hAnsiTheme="minorEastAsia" w:cstheme="minorEastAsia" w:hint="eastAsia"/>
          <w:b w:val="0"/>
          <w:bCs w:val="0"/>
          <w:color w:val="auto"/>
          <w:sz w:val="21"/>
          <w:szCs w:val="21"/>
          <w:highlight w:val="none"/>
          <w:lang w:eastAsia="zh-CN"/>
        </w:rPr>
        <w:t>、</w:t>
      </w:r>
      <w:r>
        <w:rPr>
          <w:rFonts w:asciiTheme="minorEastAsia" w:eastAsiaTheme="minorEastAsia" w:hAnsiTheme="minorEastAsia" w:cstheme="minorEastAsia" w:hint="eastAsia"/>
          <w:b w:val="0"/>
          <w:bCs w:val="0"/>
          <w:color w:val="auto"/>
          <w:sz w:val="21"/>
          <w:szCs w:val="21"/>
          <w:highlight w:val="none"/>
        </w:rPr>
        <w:t>外卫生清洁，门窗严密，做好防鼠、灭鼠等工作，定期消毒处理。未经医院书面同意，不得擅自改变用途。</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5)</w:t>
      </w:r>
      <w:r>
        <w:rPr>
          <w:rFonts w:asciiTheme="minorEastAsia" w:eastAsiaTheme="minorEastAsia" w:hAnsiTheme="minorEastAsia" w:cstheme="minorEastAsia" w:hint="eastAsia"/>
          <w:b w:val="0"/>
          <w:bCs w:val="0"/>
          <w:color w:val="auto"/>
          <w:sz w:val="21"/>
          <w:szCs w:val="21"/>
          <w:highlight w:val="none"/>
        </w:rPr>
        <w:t>接受并配合医院的文件要求，严格按照相关要求做好工作，保证各项工作落实到位。若因违反规定或管理不善导致出现相关问题，根据有关法律、法规及其他相关规定承担责任。</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6)</w:t>
      </w:r>
      <w:r>
        <w:rPr>
          <w:rFonts w:asciiTheme="minorEastAsia" w:eastAsiaTheme="minorEastAsia" w:hAnsiTheme="minorEastAsia" w:cstheme="minorEastAsia" w:hint="eastAsia"/>
          <w:b w:val="0"/>
          <w:bCs w:val="0"/>
          <w:color w:val="auto"/>
          <w:sz w:val="21"/>
          <w:szCs w:val="21"/>
          <w:highlight w:val="none"/>
        </w:rPr>
        <w:t>保证不做任何损害医院声誉的事情，不得在院内开展营利性殡仪服务，不得随意处置遗体，不得泄露倒卖逝者及亲属信息，不得索要红包及收取任何费用等，如有投诉或者出现问题，由中标单位负全责，严重时采购人可予以处罚并移交司法机关处理。</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w:t>
      </w:r>
      <w:r>
        <w:rPr>
          <w:rFonts w:asciiTheme="minorEastAsia" w:eastAsiaTheme="minorEastAsia" w:hAnsiTheme="minorEastAsia" w:cstheme="minorEastAsia" w:hint="eastAsia"/>
          <w:b/>
          <w:bCs/>
          <w:color w:val="auto"/>
          <w:sz w:val="21"/>
          <w:szCs w:val="21"/>
          <w:highlight w:val="none"/>
          <w:lang w:val="en-US" w:eastAsia="zh-CN"/>
        </w:rPr>
        <w:t>7.</w:t>
      </w:r>
      <w:r>
        <w:rPr>
          <w:rFonts w:asciiTheme="minorEastAsia" w:eastAsiaTheme="minorEastAsia" w:hAnsiTheme="minorEastAsia" w:cstheme="minorEastAsia" w:hint="eastAsia"/>
          <w:b/>
          <w:bCs/>
          <w:color w:val="auto"/>
          <w:sz w:val="21"/>
          <w:szCs w:val="21"/>
          <w:highlight w:val="none"/>
        </w:rPr>
        <w:t>生活水池及直饮水机清洗</w:t>
      </w:r>
    </w:p>
    <w:p>
      <w:pPr>
        <w:pStyle w:val="BodyText"/>
        <w:pageBreakBefore w:val="0"/>
        <w:kinsoku/>
        <w:wordWrap/>
        <w:overflowPunct/>
        <w:autoSpaceDE/>
        <w:autoSpaceDN/>
        <w:bidi w:val="0"/>
        <w:spacing w:line="360" w:lineRule="auto"/>
        <w:ind w:firstLine="42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rPr>
        <w:t>按照采购人的要求，对生活水池、所有饮水设备进行定期清洗消毒（每年2次）并出具检测报告,生活水池清洗涉及的检测费用由中标单位承担。</w:t>
      </w: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p>
    <w:p>
      <w:pPr>
        <w:pStyle w:val="Heading3"/>
        <w:keepNext w:val="0"/>
        <w:keepLines w:val="0"/>
        <w:pageBreakBefore w:val="0"/>
        <w:widowControl/>
        <w:numPr>
          <w:ilvl w:val="255"/>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b/>
          <w:bCs/>
          <w:color w:val="auto"/>
          <w:sz w:val="21"/>
          <w:szCs w:val="21"/>
          <w:highlight w:val="none"/>
        </w:rPr>
      </w:pPr>
      <w:r>
        <w:rPr>
          <w:rFonts w:asciiTheme="minorEastAsia" w:eastAsiaTheme="minorEastAsia" w:hAnsiTheme="minorEastAsia" w:cstheme="minorEastAsia" w:hint="eastAsia"/>
          <w:b/>
          <w:bCs/>
          <w:color w:val="auto"/>
          <w:sz w:val="21"/>
          <w:szCs w:val="21"/>
          <w:highlight w:val="none"/>
        </w:rPr>
        <w:t>★</w:t>
      </w:r>
      <w:r>
        <w:rPr>
          <w:rFonts w:asciiTheme="minorEastAsia" w:eastAsiaTheme="minorEastAsia" w:hAnsiTheme="minorEastAsia" w:cstheme="minorEastAsia" w:hint="eastAsia"/>
          <w:b/>
          <w:bCs/>
          <w:color w:val="auto"/>
          <w:sz w:val="21"/>
          <w:szCs w:val="21"/>
          <w:highlight w:val="none"/>
          <w:lang w:val="en-US" w:eastAsia="zh-CN"/>
        </w:rPr>
        <w:t>8.</w:t>
      </w:r>
      <w:r>
        <w:rPr>
          <w:rFonts w:asciiTheme="minorEastAsia" w:eastAsiaTheme="minorEastAsia" w:hAnsiTheme="minorEastAsia" w:cstheme="minorEastAsia" w:hint="eastAsia"/>
          <w:b/>
          <w:bCs/>
          <w:color w:val="auto"/>
          <w:sz w:val="21"/>
          <w:szCs w:val="21"/>
          <w:highlight w:val="none"/>
        </w:rPr>
        <w:t>智慧后勤系统管理</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1)</w:t>
      </w:r>
      <w:r>
        <w:rPr>
          <w:rFonts w:asciiTheme="minorEastAsia" w:eastAsiaTheme="minorEastAsia" w:hAnsiTheme="minorEastAsia" w:cstheme="minorEastAsia" w:hint="eastAsia"/>
          <w:b w:val="0"/>
          <w:bCs w:val="0"/>
          <w:color w:val="auto"/>
          <w:sz w:val="21"/>
          <w:szCs w:val="21"/>
          <w:highlight w:val="none"/>
        </w:rPr>
        <w:t>使用采购方提供的智慧后勤系统进行日常工作管理，中标方项目组织架构纳入采购人日常工作平台。</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b w:val="0"/>
          <w:bCs w:val="0"/>
          <w:color w:val="auto"/>
          <w:sz w:val="21"/>
          <w:szCs w:val="21"/>
          <w:highlight w:val="none"/>
        </w:rPr>
      </w:pPr>
      <w:r>
        <w:rPr>
          <w:rFonts w:asciiTheme="minorEastAsia" w:eastAsiaTheme="minorEastAsia" w:hAnsiTheme="minorEastAsia" w:cstheme="minorEastAsia" w:hint="eastAsia"/>
          <w:b w:val="0"/>
          <w:bCs w:val="0"/>
          <w:color w:val="auto"/>
          <w:sz w:val="21"/>
          <w:szCs w:val="21"/>
          <w:highlight w:val="none"/>
          <w:lang w:val="en-US" w:eastAsia="zh-CN"/>
        </w:rPr>
        <w:t>2)</w:t>
      </w:r>
      <w:r>
        <w:rPr>
          <w:rFonts w:asciiTheme="minorEastAsia" w:eastAsiaTheme="minorEastAsia" w:hAnsiTheme="minorEastAsia" w:cstheme="minorEastAsia" w:hint="eastAsia"/>
          <w:b w:val="0"/>
          <w:bCs w:val="0"/>
          <w:color w:val="auto"/>
          <w:sz w:val="21"/>
          <w:szCs w:val="21"/>
          <w:highlight w:val="none"/>
        </w:rPr>
        <w:t>根据院方要求，配合使用后勤管理系统完成医废管理、医疗辅助运送管理、后勤受理服务管理、综合巡检、设备运维等工作。</w:t>
      </w:r>
    </w:p>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240" w:lineRule="auto"/>
        <w:rPr>
          <w:rFonts w:asciiTheme="minorEastAsia" w:eastAsiaTheme="minorEastAsia" w:hAnsiTheme="minorEastAsia" w:cstheme="minorEastAsia" w:hint="eastAsia"/>
          <w:b/>
          <w:sz w:val="21"/>
          <w:szCs w:val="21"/>
          <w:lang w:eastAsia="zh-CN"/>
        </w:rPr>
      </w:pPr>
    </w:p>
    <w:p>
      <w:pPr>
        <w:pStyle w:val="Heading2"/>
        <w:pageBreakBefore w:val="0"/>
        <w:kinsoku/>
        <w:wordWrap/>
        <w:overflowPunct/>
        <w:autoSpaceDE/>
        <w:autoSpaceDN/>
        <w:bidi w:val="0"/>
        <w:spacing w:before="120" w:beforeLines="50" w:after="120" w:afterLines="50" w:line="240" w:lineRule="auto"/>
        <w:rPr>
          <w:rFonts w:ascii="Times New Roman" w:eastAsia="宋体" w:hAnsi="Times New Roman" w:cs="Times New Roman" w:hint="eastAsia"/>
          <w:b/>
          <w:bCs/>
          <w:sz w:val="24"/>
          <w:szCs w:val="24"/>
        </w:rPr>
      </w:pPr>
      <w:r>
        <w:rPr>
          <w:rFonts w:ascii="Times New Roman" w:eastAsia="宋体" w:hAnsi="Times New Roman" w:cs="Times New Roman" w:hint="eastAsia"/>
          <w:b/>
          <w:bCs/>
          <w:kern w:val="0"/>
          <w:sz w:val="24"/>
          <w:szCs w:val="24"/>
        </w:rPr>
        <w:t>★</w:t>
      </w:r>
      <w:r>
        <w:rPr>
          <w:rFonts w:ascii="Times New Roman" w:eastAsia="宋体" w:hAnsi="Times New Roman" w:cs="Times New Roman" w:hint="eastAsia"/>
          <w:b/>
          <w:bCs/>
          <w:sz w:val="24"/>
          <w:szCs w:val="24"/>
        </w:rPr>
        <w:t>六、商务要求</w:t>
      </w:r>
    </w:p>
    <w:p>
      <w:pPr>
        <w:pStyle w:val="Heading2"/>
        <w:pageBreakBefore w:val="0"/>
        <w:kinsoku/>
        <w:wordWrap/>
        <w:overflowPunct/>
        <w:autoSpaceDE/>
        <w:autoSpaceDN/>
        <w:bidi w:val="0"/>
        <w:spacing w:before="120" w:beforeLines="50" w:after="120" w:afterLines="50" w:line="240" w:lineRule="auto"/>
        <w:rPr>
          <w:rFonts w:ascii="Times New Roman" w:eastAsia="宋体" w:hAnsi="Times New Roman" w:cs="Times New Roman" w:hint="eastAsia"/>
          <w:b/>
          <w:bCs/>
          <w:sz w:val="24"/>
          <w:szCs w:val="24"/>
        </w:rPr>
      </w:pPr>
    </w:p>
    <w:p>
      <w:pPr>
        <w:pStyle w:val="Heading2"/>
        <w:pageBreakBefore w:val="0"/>
        <w:numPr>
          <w:ilvl w:val="0"/>
          <w:numId w:val="0"/>
        </w:numPr>
        <w:kinsoku/>
        <w:wordWrap/>
        <w:overflowPunct/>
        <w:autoSpaceDE/>
        <w:autoSpaceDN/>
        <w:bidi w:val="0"/>
        <w:spacing w:line="360" w:lineRule="auto"/>
        <w:ind w:left="0" w:leftChars="0"/>
        <w:rPr>
          <w:rFonts w:asciiTheme="minorEastAsia" w:eastAsiaTheme="minorEastAsia" w:hAnsiTheme="minorEastAsia" w:cstheme="minorEastAsia" w:hint="eastAsia"/>
          <w:b/>
          <w:bCs/>
          <w:color w:val="auto"/>
          <w:sz w:val="21"/>
          <w:szCs w:val="21"/>
        </w:rPr>
      </w:pPr>
      <w:r>
        <w:rPr>
          <w:rFonts w:asciiTheme="minorEastAsia" w:eastAsiaTheme="minorEastAsia" w:hAnsiTheme="minorEastAsia" w:cstheme="minorEastAsia" w:hint="eastAsia"/>
          <w:b/>
          <w:bCs/>
          <w:color w:val="auto"/>
          <w:sz w:val="21"/>
          <w:szCs w:val="21"/>
        </w:rPr>
        <w:t>（一）服务期限</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color w:val="0D0D0D" w:themeColor="text1" w:themeTint="F2"/>
          <w:sz w:val="21"/>
          <w:szCs w:val="21"/>
          <w:highlight w:val="none"/>
          <w14:textFill>
            <w14:solidFill>
              <w14:schemeClr w14:val="tx1">
                <w14:lumMod w14:val="95000"/>
                <w14:lumOff w14:val="5000"/>
              </w14:schemeClr>
            </w14:solidFill>
          </w14:textFill>
        </w:rPr>
      </w:pPr>
      <w:r>
        <w:rPr>
          <w:rFonts w:asciiTheme="minorEastAsia" w:eastAsiaTheme="minorEastAsia" w:hAnsiTheme="minorEastAsia" w:cstheme="minorEastAsia" w:hint="eastAsia"/>
          <w:color w:val="0D0D0D" w:themeColor="text1" w:themeTint="F2"/>
          <w:sz w:val="21"/>
          <w:szCs w:val="21"/>
          <w:highlight w:val="none"/>
          <w14:textFill>
            <w14:solidFill>
              <w14:schemeClr w14:val="tx1">
                <w14:lumMod w14:val="95000"/>
                <w14:lumOff w14:val="5000"/>
              </w14:schemeClr>
            </w14:solidFill>
          </w14:textFill>
        </w:rPr>
        <w:t>1.项目服务期限为一年。</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color w:val="0D0D0D" w:themeColor="text1" w:themeTint="F2"/>
          <w:sz w:val="21"/>
          <w:szCs w:val="21"/>
          <w:highlight w:val="none"/>
          <w14:textFill>
            <w14:solidFill>
              <w14:schemeClr w14:val="tx1">
                <w14:lumMod w14:val="95000"/>
                <w14:lumOff w14:val="5000"/>
              </w14:schemeClr>
            </w14:solidFill>
          </w14:textFill>
        </w:rPr>
      </w:pPr>
      <w:r>
        <w:rPr>
          <w:rFonts w:asciiTheme="minorEastAsia" w:eastAsiaTheme="minorEastAsia" w:hAnsiTheme="minorEastAsia" w:cstheme="minorEastAsia" w:hint="eastAsia"/>
          <w:color w:val="0D0D0D" w:themeColor="text1" w:themeTint="F2"/>
          <w:sz w:val="21"/>
          <w:szCs w:val="21"/>
          <w:highlight w:val="none"/>
          <w14:textFill>
            <w14:solidFill>
              <w14:schemeClr w14:val="tx1">
                <w14:lumMod w14:val="95000"/>
                <w14:lumOff w14:val="5000"/>
              </w14:schemeClr>
            </w14:solidFill>
          </w14:textFill>
        </w:rPr>
        <w:t>2.本项目为长期服务项目，合同期满可以续签，但合同履行期限最长不得超过三十六个月。一年合同期满后，经履约本项目考核良好或以上的可按原合同条款续签下一年度合同。如采购人依据合同内考核标准对中标单位履约情况不满意，或因采购人实际业务发展需求，采购人不再续约，中标单位必须服从要求。</w:t>
      </w:r>
    </w:p>
    <w:p>
      <w:pPr>
        <w:pageBreakBefore w:val="0"/>
        <w:kinsoku/>
        <w:wordWrap/>
        <w:overflowPunct/>
        <w:autoSpaceDE/>
        <w:autoSpaceDN/>
        <w:bidi w:val="0"/>
        <w:spacing w:line="360" w:lineRule="auto"/>
        <w:ind w:left="0" w:firstLine="0" w:leftChars="0"/>
        <w:rPr>
          <w:rFonts w:asciiTheme="minorEastAsia" w:eastAsiaTheme="minorEastAsia" w:hAnsiTheme="minorEastAsia" w:cstheme="minorEastAsia" w:hint="eastAsia"/>
          <w:color w:val="0D0D0D" w:themeColor="text1" w:themeTint="F2"/>
          <w:sz w:val="21"/>
          <w:szCs w:val="21"/>
          <w14:textFill>
            <w14:solidFill>
              <w14:schemeClr w14:val="tx1">
                <w14:lumMod w14:val="95000"/>
                <w14:lumOff w14:val="5000"/>
              </w14:schemeClr>
            </w14:solidFill>
          </w14:textFill>
        </w:rPr>
      </w:pPr>
      <w:r>
        <w:rPr>
          <w:rFonts w:asciiTheme="minorEastAsia" w:eastAsiaTheme="minorEastAsia" w:hAnsiTheme="minorEastAsia" w:cstheme="minorEastAsia" w:hint="eastAsia"/>
          <w:color w:val="0D0D0D" w:themeColor="text1" w:themeTint="F2"/>
          <w:sz w:val="21"/>
          <w:szCs w:val="21"/>
          <w:highlight w:val="none"/>
          <w14:textFill>
            <w14:solidFill>
              <w14:schemeClr w14:val="tx1">
                <w14:lumMod w14:val="95000"/>
                <w14:lumOff w14:val="5000"/>
              </w14:schemeClr>
            </w14:solidFill>
          </w14:textFill>
        </w:rPr>
        <w:t>3.中标单位在合同期满前，应无条件配合采购人及新的中标单位做好服务项目的无缝交接。所有交接手续（含人员培</w:t>
      </w:r>
      <w:r>
        <w:rPr>
          <w:rFonts w:asciiTheme="minorEastAsia" w:eastAsiaTheme="minorEastAsia" w:hAnsiTheme="minorEastAsia" w:cstheme="minorEastAsia" w:hint="eastAsia"/>
          <w:color w:val="0D0D0D" w:themeColor="text1" w:themeTint="F2"/>
          <w:sz w:val="21"/>
          <w:szCs w:val="21"/>
          <w14:textFill>
            <w14:solidFill>
              <w14:schemeClr w14:val="tx1">
                <w14:lumMod w14:val="95000"/>
                <w14:lumOff w14:val="5000"/>
              </w14:schemeClr>
            </w14:solidFill>
          </w14:textFill>
        </w:rPr>
        <w:t>训交接、证件变更手续等）均应在中标通知书发出之日起30个工作日内全部办理完毕。</w:t>
      </w:r>
    </w:p>
    <w:p>
      <w:pPr>
        <w:pStyle w:val="Heading2"/>
        <w:pageBreakBefore w:val="0"/>
        <w:numPr>
          <w:ilvl w:val="0"/>
          <w:numId w:val="0"/>
        </w:numPr>
        <w:kinsoku/>
        <w:wordWrap/>
        <w:overflowPunct/>
        <w:autoSpaceDE/>
        <w:autoSpaceDN/>
        <w:bidi w:val="0"/>
        <w:spacing w:line="360" w:lineRule="auto"/>
        <w:ind w:left="0" w:left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（二）付款方式</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1.物业管理服务费用结算周期：按“先服务后付费”原则，按月付费按月结算。</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物业管理服务费用结算方式：本项目采用按岗位结算方式，每月服务费按照岗位单价和岗位数（新上岗位按照实际上岗时间核算）据实结算，采购人在每月10日前（如遇法定节假日则顺延）进行上一月度服务考核。中标单位在每月10日前向采购人提交上月岗位出勤情况等确认文件，并按要求提供结算材料，（上月出勤情况需经采购人相关科室负责人签字确认），后勤部门对中标单位提交的结算材料进行审核。采购人根据考核结果确认应付费用后，中标单位开具相应金额的合规发票，采购人根据支付管理流程向中标单位支付服务费。合同期内因政策性因素影响（如最低工资上涨、社保等）导致支出发生变化，由中标单位自行承担，采购人不再另行支付费用。</w:t>
      </w:r>
    </w:p>
    <w:p>
      <w:pPr>
        <w:pStyle w:val="Heading2"/>
        <w:pageBreakBefore w:val="0"/>
        <w:numPr>
          <w:ilvl w:val="0"/>
          <w:numId w:val="0"/>
        </w:numPr>
        <w:kinsoku/>
        <w:wordWrap/>
        <w:overflowPunct/>
        <w:autoSpaceDE/>
        <w:autoSpaceDN/>
        <w:bidi w:val="0"/>
        <w:spacing w:line="360" w:lineRule="auto"/>
        <w:ind w:left="0" w:left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（三）投标价格及物业管理经费</w:t>
      </w:r>
    </w:p>
    <w:p>
      <w:pPr>
        <w:pageBreakBefore w:val="0"/>
        <w:tabs>
          <w:tab w:val="left" w:pos="144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1.管理用房提供</w:t>
      </w:r>
    </w:p>
    <w:p>
      <w:pPr>
        <w:pageBreakBefore w:val="0"/>
        <w:tabs>
          <w:tab w:val="left" w:pos="144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采购人根据实际情况提供管理用房（含办公、仓库及维修场所），不提供员工宿舍。</w:t>
      </w:r>
    </w:p>
    <w:p>
      <w:pPr>
        <w:pageBreakBefore w:val="0"/>
        <w:tabs>
          <w:tab w:val="left" w:pos="144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2.公共水电费及发电机燃油费</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公共水电费及发电机燃油费由采购人承担（包括卫生间、绿化、空调、清洁卫生、生活等各类用水；消防、水泵、照明、电梯、各类机电设备等各类的用电）。</w:t>
      </w:r>
    </w:p>
    <w:p>
      <w:pPr>
        <w:pageBreakBefore w:val="0"/>
        <w:tabs>
          <w:tab w:val="left" w:pos="144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3.有关物业管理事项的说明</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（1）除合同另有约定除外，大、中修和更新改造费用由采购人负责。</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（2）院内设施设备的专业维保、检测、年审等费用由采购人支付。</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（3）采购人直接委外管理的设施设备维保及维修材料等费用由采购人承担。</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（4）春节、五一、十一等法定节假日加班安排：由中标单位按采购人要求，综合考虑管理需求安排岗位，加班费用由中标单位按相关政策支付和承担，包含在投标报价中，采购人不另外支付。</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（5）合同期内如遇服务内容及服务岗位增加或减少，双方按实际增减岗位及服务内容增减相关岗位费用，相应岗位单价按照中标总价除以岗位总数量计算。</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（6）物业管理承包项目中双方所负责的材料（详见下表），因业务资质或管理需要，中标单位可以将</w:t>
      </w:r>
      <w:r>
        <w:rPr>
          <w:rFonts w:asciiTheme="minorEastAsia" w:eastAsiaTheme="minorEastAsia" w:hAnsiTheme="minorEastAsia" w:cstheme="minorEastAsia" w:hint="eastAsia"/>
          <w:color w:val="auto"/>
          <w:sz w:val="21"/>
          <w:szCs w:val="21"/>
          <w:highlight w:val="none"/>
        </w:rPr>
        <w:t>化粪池清理、隔油设备维修、无害化清理、绝缘工具检测、消杀、绿化业务分包给专业公司，</w:t>
      </w:r>
      <w:r>
        <w:rPr>
          <w:rFonts w:asciiTheme="minorEastAsia" w:eastAsiaTheme="minorEastAsia" w:hAnsiTheme="minorEastAsia" w:cstheme="minorEastAsia" w:hint="eastAsia"/>
          <w:sz w:val="21"/>
          <w:szCs w:val="21"/>
        </w:rPr>
        <w:t>除招标文件许可并经采购人书面同意外，中标单位将本物业服务项目整体分包或转包给第三方的，采购人可立即解除服务合同，并要求中标单位支付服务费总额【5%】的违约金。</w:t>
      </w:r>
    </w:p>
    <w:tbl>
      <w:tblPr>
        <w:tblStyle w:val="TableGrid"/>
        <w:tblW w:w="8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5"/>
        <w:gridCol w:w="3663"/>
        <w:gridCol w:w="3937"/>
      </w:tblGrid>
      <w:tr>
        <w:tblPrEx>
          <w:tblW w:w="8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15"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对应岗位</w:t>
            </w: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采购人承担</w:t>
            </w: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中标单位承担</w:t>
            </w:r>
          </w:p>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（院本部及各社康中心）</w:t>
            </w:r>
          </w:p>
        </w:tc>
      </w:tr>
      <w:tr>
        <w:tblPrEx>
          <w:tblW w:w="8515" w:type="dxa"/>
          <w:jc w:val="center"/>
          <w:tblLayout w:type="fixed"/>
          <w:tblCellMar>
            <w:top w:w="0" w:type="dxa"/>
            <w:left w:w="108" w:type="dxa"/>
            <w:bottom w:w="0" w:type="dxa"/>
            <w:right w:w="108" w:type="dxa"/>
          </w:tblCellMar>
        </w:tblPrEx>
        <w:trPr>
          <w:trHeight w:val="2070"/>
          <w:jc w:val="center"/>
        </w:trPr>
        <w:tc>
          <w:tcPr>
            <w:tcW w:w="915"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物业管理处</w:t>
            </w: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1.公共水电费及发电机燃油费。</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2.采购人根据实际需要提供管理用房（含办公、仓库及维修场所）；</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3.标识制作（除物业办公室）；</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4.物业办公电话费、网络费。</w:t>
            </w: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1.电脑、沙发等物业办公室使用的固定资产。</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2.办公用品：纸、笔等。</w:t>
            </w:r>
            <w:r>
              <w:rPr>
                <w:rFonts w:asciiTheme="minorEastAsia" w:eastAsiaTheme="minorEastAsia" w:hAnsiTheme="minorEastAsia" w:cstheme="minorEastAsia" w:hint="eastAsia"/>
                <w:sz w:val="21"/>
                <w:szCs w:val="21"/>
              </w:rPr>
              <w:br/>
            </w:r>
            <w:r>
              <w:rPr>
                <w:rFonts w:asciiTheme="minorEastAsia" w:eastAsiaTheme="minorEastAsia" w:hAnsiTheme="minorEastAsia" w:cstheme="minorEastAsia" w:hint="eastAsia"/>
                <w:sz w:val="21"/>
                <w:szCs w:val="21"/>
              </w:rPr>
              <w:t>3.标识制作（物业办公室管理标识）。</w:t>
            </w:r>
          </w:p>
        </w:tc>
      </w:tr>
      <w:tr>
        <w:tblPrEx>
          <w:tblW w:w="8515" w:type="dxa"/>
          <w:jc w:val="center"/>
          <w:tblLayout w:type="fixed"/>
          <w:tblCellMar>
            <w:top w:w="0" w:type="dxa"/>
            <w:left w:w="108" w:type="dxa"/>
            <w:bottom w:w="0" w:type="dxa"/>
            <w:right w:w="108" w:type="dxa"/>
          </w:tblCellMar>
        </w:tblPrEx>
        <w:trPr>
          <w:jc w:val="center"/>
        </w:trPr>
        <w:tc>
          <w:tcPr>
            <w:tcW w:w="915"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秩序维护部</w:t>
            </w: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1.灭火器、消防栓、消防水带等消防器材的过期填充、老化更换以及新增等支出由采购人承担。</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2.反恐装备、安检手持工具。</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3.防汛所需用品（防汛挡板等）。</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4.停车场现有设施设备的维修维护、新增及改造。</w:t>
            </w: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1.秩序员的工作服。</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2.秩序员对讲机等。</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3.职业安全防护用品、巡逻工具等。</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4.停车场警示带、反光膜、防撞柱、挡车墩等低值易耗品（大规模更换除外）。</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p>
        </w:tc>
      </w:tr>
      <w:tr>
        <w:tblPrEx>
          <w:tblW w:w="8515" w:type="dxa"/>
          <w:jc w:val="center"/>
          <w:tblLayout w:type="fixed"/>
          <w:tblCellMar>
            <w:top w:w="0" w:type="dxa"/>
            <w:left w:w="108" w:type="dxa"/>
            <w:bottom w:w="0" w:type="dxa"/>
            <w:right w:w="108" w:type="dxa"/>
          </w:tblCellMar>
        </w:tblPrEx>
        <w:trPr>
          <w:trHeight w:val="706"/>
          <w:jc w:val="center"/>
        </w:trPr>
        <w:tc>
          <w:tcPr>
            <w:tcW w:w="915" w:type="dxa"/>
            <w:vMerge w:val="restart"/>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机电工程部</w:t>
            </w: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1.专业维保：除物业负责外的其他维保（医疗设备不在本次招标范围内）。</w:t>
            </w: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专业维保（可分包）：</w:t>
            </w:r>
          </w:p>
          <w:p>
            <w:pPr>
              <w:pageBreakBefore w:val="0"/>
              <w:widowControl w:val="0"/>
              <w:kinsoku/>
              <w:wordWrap/>
              <w:overflowPunct/>
              <w:autoSpaceDE/>
              <w:autoSpaceDN/>
              <w:bidi w:val="0"/>
              <w:spacing w:line="360" w:lineRule="auto"/>
              <w:ind w:firstLine="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化粪池清理、隔油设备维修、无害化清理（清理频次每季度一次）、绝缘工具检测。</w:t>
            </w:r>
          </w:p>
        </w:tc>
      </w:tr>
      <w:tr>
        <w:tblPrEx>
          <w:tblW w:w="8515" w:type="dxa"/>
          <w:jc w:val="center"/>
          <w:tblLayout w:type="fixed"/>
          <w:tblCellMar>
            <w:top w:w="0" w:type="dxa"/>
            <w:left w:w="108" w:type="dxa"/>
            <w:bottom w:w="0" w:type="dxa"/>
            <w:right w:w="108" w:type="dxa"/>
          </w:tblCellMar>
        </w:tblPrEx>
        <w:trPr>
          <w:jc w:val="center"/>
        </w:trPr>
        <w:tc>
          <w:tcPr>
            <w:tcW w:w="915" w:type="dxa"/>
            <w:vMerge/>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1.全院及各社康设施设备配件、分体空调配件以及日常维修单个、单价在300元以上（不含300元）的维修材料。</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2.新装线路、线路改造、布线等相关费用。</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3.医院路牙粉刷的材料。</w:t>
            </w: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1.全院及各社康设施设备（不含医疗设备、不含采购人委外设备、不含设施设备批量更新改造、新建、加装、改装）配件、分体空调配件以及日常维修、更换单个、单价在300 元以下（含300）的维修材料费。</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2.维修员工作服及职业安全防护用品、维修工具。</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3.除所列采购人承担费用外的其它未详尽费用， 由双方协商。</w:t>
            </w:r>
          </w:p>
        </w:tc>
      </w:tr>
      <w:tr>
        <w:tblPrEx>
          <w:tblW w:w="8515" w:type="dxa"/>
          <w:jc w:val="center"/>
          <w:tblLayout w:type="fixed"/>
          <w:tblCellMar>
            <w:top w:w="0" w:type="dxa"/>
            <w:left w:w="108" w:type="dxa"/>
            <w:bottom w:w="0" w:type="dxa"/>
            <w:right w:w="108" w:type="dxa"/>
          </w:tblCellMar>
        </w:tblPrEx>
        <w:trPr>
          <w:trHeight w:val="658"/>
          <w:jc w:val="center"/>
        </w:trPr>
        <w:tc>
          <w:tcPr>
            <w:tcW w:w="915" w:type="dxa"/>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医辅部</w:t>
            </w: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标本运送箱。</w:t>
            </w: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员工服装等劳保用品、生活用品。</w:t>
            </w:r>
          </w:p>
        </w:tc>
      </w:tr>
      <w:tr>
        <w:tblPrEx>
          <w:tblW w:w="8515" w:type="dxa"/>
          <w:jc w:val="center"/>
          <w:tblLayout w:type="fixed"/>
          <w:tblCellMar>
            <w:top w:w="0" w:type="dxa"/>
            <w:left w:w="108" w:type="dxa"/>
            <w:bottom w:w="0" w:type="dxa"/>
            <w:right w:w="108" w:type="dxa"/>
          </w:tblCellMar>
        </w:tblPrEx>
        <w:trPr>
          <w:trHeight w:val="558"/>
          <w:jc w:val="center"/>
        </w:trPr>
        <w:tc>
          <w:tcPr>
            <w:tcW w:w="915" w:type="dxa"/>
            <w:vMerge w:val="restart"/>
            <w:vAlign w:val="center"/>
          </w:tcPr>
          <w:p>
            <w:pPr>
              <w:pageBreakBefore w:val="0"/>
              <w:widowControl w:val="0"/>
              <w:kinsoku/>
              <w:wordWrap/>
              <w:overflowPunct/>
              <w:autoSpaceDE/>
              <w:autoSpaceDN/>
              <w:bidi w:val="0"/>
              <w:spacing w:line="360" w:lineRule="auto"/>
              <w:ind w:left="0" w:firstLine="0" w:leftChars="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保洁部</w:t>
            </w: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1.医疗、生活垃圾转运费及处理费。</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2.医疗、生活垃圾运送工具、垃圾桶以及非物业承担的清洁工具。塑胶锐器盒、医废系统。</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3.洗消中心洗涤设备（洗衣机、烘干机）、地巾、布巾、消毒药剂等。</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4.住院部区域、门诊区域、社康区域卫生间卷纸。</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p>
        </w:tc>
        <w:tc>
          <w:tcPr>
            <w:tcW w:w="3937"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1.院本部大理石地面、PVC地板保养：半年一次。</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清洁工具（如：扫把、拖把、尘推、洁厕刷、拖桶、地毯刷等）耗材（如：玻璃清、碧丽珠、不锈钢油、洗衣粉、洁厕灵、钢丝球等）、生活垃圾袋、医疗垃圾袋（含扎带）、保洁所需消毒片等常用清洁物资（包含社康）。</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3.清洁专业作业机器设备。</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4.清洁工工作服及职业安全防护用品。</w:t>
            </w:r>
          </w:p>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 四害消杀、白蚁防治等。</w:t>
            </w:r>
          </w:p>
        </w:tc>
      </w:tr>
      <w:tr>
        <w:tblPrEx>
          <w:tblW w:w="8515" w:type="dxa"/>
          <w:jc w:val="center"/>
          <w:tblLayout w:type="fixed"/>
          <w:tblCellMar>
            <w:top w:w="0" w:type="dxa"/>
            <w:left w:w="108" w:type="dxa"/>
            <w:bottom w:w="0" w:type="dxa"/>
            <w:right w:w="108" w:type="dxa"/>
          </w:tblCellMar>
        </w:tblPrEx>
        <w:trPr>
          <w:jc w:val="center"/>
        </w:trPr>
        <w:tc>
          <w:tcPr>
            <w:tcW w:w="915" w:type="dxa"/>
            <w:vMerge/>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p>
        </w:tc>
        <w:tc>
          <w:tcPr>
            <w:tcW w:w="3663" w:type="dxa"/>
            <w:vAlign w:val="center"/>
          </w:tcPr>
          <w:p>
            <w:pPr>
              <w:pageBreakBefore w:val="0"/>
              <w:widowControl w:val="0"/>
              <w:kinsoku/>
              <w:wordWrap/>
              <w:overflowPunct/>
              <w:autoSpaceDE/>
              <w:autoSpaceDN/>
              <w:bidi w:val="0"/>
              <w:spacing w:line="360" w:lineRule="auto"/>
              <w:ind w:left="0" w:firstLine="0" w:leftChars="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现有绿化植物（包括但不限于草 坪、花 卉、灌乔木及室内绿植等）。</w:t>
            </w:r>
          </w:p>
        </w:tc>
        <w:tc>
          <w:tcPr>
            <w:tcW w:w="3937" w:type="dxa"/>
            <w:vAlign w:val="center"/>
          </w:tcPr>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院本部绿植的补种（包括但不限于草、坪、花卉、灌乔木等），中标单位养护责任不到位导致的补种由中标单位承担苗木购买，其他情况由采购人负责购买。同时，中标单位对小面积（10平方米）草坪及低值（单株20元及以下）花草的缺失应及时完成补种。</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2.绿化工具及耗材：绿篱机、喷药机、除草剂、除虫剂等（不含社康）。</w:t>
            </w:r>
          </w:p>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3.院本部绿植租摆：每半年更换一次。</w:t>
            </w:r>
          </w:p>
        </w:tc>
      </w:tr>
      <w:tr>
        <w:tblPrEx>
          <w:tblW w:w="8515" w:type="dxa"/>
          <w:jc w:val="center"/>
          <w:tblLayout w:type="fixed"/>
          <w:tblCellMar>
            <w:top w:w="0" w:type="dxa"/>
            <w:left w:w="108" w:type="dxa"/>
            <w:bottom w:w="0" w:type="dxa"/>
            <w:right w:w="108" w:type="dxa"/>
          </w:tblCellMar>
        </w:tblPrEx>
        <w:trPr>
          <w:jc w:val="center"/>
        </w:trPr>
        <w:tc>
          <w:tcPr>
            <w:tcW w:w="8515" w:type="dxa"/>
            <w:gridSpan w:val="3"/>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开荒部分</w:t>
            </w:r>
          </w:p>
        </w:tc>
      </w:tr>
      <w:tr>
        <w:tblPrEx>
          <w:tblW w:w="8515" w:type="dxa"/>
          <w:jc w:val="center"/>
          <w:tblLayout w:type="fixed"/>
          <w:tblCellMar>
            <w:top w:w="0" w:type="dxa"/>
            <w:left w:w="108" w:type="dxa"/>
            <w:bottom w:w="0" w:type="dxa"/>
            <w:right w:w="108" w:type="dxa"/>
          </w:tblCellMar>
        </w:tblPrEx>
        <w:trPr>
          <w:jc w:val="center"/>
        </w:trPr>
        <w:tc>
          <w:tcPr>
            <w:tcW w:w="915"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3663" w:type="dxa"/>
            <w:vAlign w:val="center"/>
          </w:tcPr>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搬迁、甲醛治理。</w:t>
            </w:r>
          </w:p>
        </w:tc>
        <w:tc>
          <w:tcPr>
            <w:tcW w:w="3937" w:type="dxa"/>
            <w:vAlign w:val="center"/>
          </w:tcPr>
          <w:p>
            <w:pPr>
              <w:pageBreakBefore w:val="0"/>
              <w:widowControl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300平方米及以下区域的清洁开荒</w:t>
            </w:r>
          </w:p>
        </w:tc>
      </w:tr>
    </w:tbl>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4.其他要求和说明：</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（1）投标报价超过预算金额的按无效标处理。</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（2）本项目物业服务费采用固定单价，投标报价包括物业服务成本、法定税费和物业管理企业的利润等一切应</w:t>
      </w:r>
      <w:r>
        <w:rPr>
          <w:rFonts w:asciiTheme="minorEastAsia" w:eastAsiaTheme="minorEastAsia" w:hAnsiTheme="minorEastAsia" w:cstheme="minorEastAsia" w:hint="eastAsia"/>
          <w:sz w:val="21"/>
          <w:szCs w:val="21"/>
          <w:lang w:eastAsia="zh-CN"/>
        </w:rPr>
        <w:t>计</w:t>
      </w:r>
      <w:r>
        <w:rPr>
          <w:rFonts w:asciiTheme="minorEastAsia" w:eastAsiaTheme="minorEastAsia" w:hAnsiTheme="minorEastAsia" w:cstheme="minorEastAsia" w:hint="eastAsia"/>
          <w:sz w:val="21"/>
          <w:szCs w:val="21"/>
        </w:rPr>
        <w:t>费用，由物业公司根据招标文件所提供的资料自行测算，应包括以下内容：</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1)</w:t>
      </w:r>
      <w:r>
        <w:rPr>
          <w:rFonts w:asciiTheme="minorEastAsia" w:eastAsiaTheme="minorEastAsia" w:hAnsiTheme="minorEastAsia" w:cstheme="minorEastAsia" w:hint="eastAsia"/>
          <w:sz w:val="21"/>
          <w:szCs w:val="21"/>
        </w:rPr>
        <w:t>行政费用，包括：员工\管理人员工资、社保等费用，加班费、节日费等。</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2)</w:t>
      </w:r>
      <w:r>
        <w:rPr>
          <w:rFonts w:asciiTheme="minorEastAsia" w:eastAsiaTheme="minorEastAsia" w:hAnsiTheme="minorEastAsia" w:cstheme="minorEastAsia" w:hint="eastAsia"/>
          <w:sz w:val="21"/>
          <w:szCs w:val="21"/>
        </w:rPr>
        <w:t>清洁材料费。</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3)</w:t>
      </w:r>
      <w:r>
        <w:rPr>
          <w:rFonts w:asciiTheme="minorEastAsia" w:eastAsiaTheme="minorEastAsia" w:hAnsiTheme="minorEastAsia" w:cstheme="minorEastAsia" w:hint="eastAsia"/>
          <w:sz w:val="21"/>
          <w:szCs w:val="21"/>
        </w:rPr>
        <w:t>绿化费。</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4)</w:t>
      </w:r>
      <w:r>
        <w:rPr>
          <w:rFonts w:asciiTheme="minorEastAsia" w:eastAsiaTheme="minorEastAsia" w:hAnsiTheme="minorEastAsia" w:cstheme="minorEastAsia" w:hint="eastAsia"/>
          <w:sz w:val="21"/>
          <w:szCs w:val="21"/>
        </w:rPr>
        <w:t>维修材料费。</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5)</w:t>
      </w:r>
      <w:r>
        <w:rPr>
          <w:rFonts w:asciiTheme="minorEastAsia" w:eastAsiaTheme="minorEastAsia" w:hAnsiTheme="minorEastAsia" w:cstheme="minorEastAsia" w:hint="eastAsia"/>
          <w:sz w:val="21"/>
          <w:szCs w:val="21"/>
        </w:rPr>
        <w:t>不可预见费。</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6)</w:t>
      </w:r>
      <w:r>
        <w:rPr>
          <w:rFonts w:asciiTheme="minorEastAsia" w:eastAsiaTheme="minorEastAsia" w:hAnsiTheme="minorEastAsia" w:cstheme="minorEastAsia" w:hint="eastAsia"/>
          <w:sz w:val="21"/>
          <w:szCs w:val="21"/>
        </w:rPr>
        <w:t>法定税费。</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7)</w:t>
      </w:r>
      <w:r>
        <w:rPr>
          <w:rFonts w:asciiTheme="minorEastAsia" w:eastAsiaTheme="minorEastAsia" w:hAnsiTheme="minorEastAsia" w:cstheme="minorEastAsia" w:hint="eastAsia"/>
          <w:sz w:val="21"/>
          <w:szCs w:val="21"/>
        </w:rPr>
        <w:t>物业管理佣金等。</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8)</w:t>
      </w:r>
      <w:r>
        <w:rPr>
          <w:rFonts w:asciiTheme="minorEastAsia" w:eastAsiaTheme="minorEastAsia" w:hAnsiTheme="minorEastAsia" w:cstheme="minorEastAsia" w:hint="eastAsia"/>
          <w:sz w:val="21"/>
          <w:szCs w:val="21"/>
        </w:rPr>
        <w:t xml:space="preserve">招标范围有关项目内容要求所列的各项指定费用。 </w:t>
      </w:r>
    </w:p>
    <w:p>
      <w:pPr>
        <w:pageBreakBefore w:val="0"/>
        <w:kinsoku/>
        <w:wordWrap/>
        <w:overflowPunct/>
        <w:autoSpaceDE/>
        <w:autoSpaceDN/>
        <w:bidi w:val="0"/>
        <w:adjustRightInd w:val="0"/>
        <w:snapToGrid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（3）员工劳动保障要求：</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1)</w:t>
      </w:r>
      <w:r>
        <w:rPr>
          <w:rFonts w:asciiTheme="minorEastAsia" w:eastAsiaTheme="minorEastAsia" w:hAnsiTheme="minorEastAsia" w:cstheme="minorEastAsia" w:hint="eastAsia"/>
          <w:sz w:val="21"/>
          <w:szCs w:val="21"/>
        </w:rPr>
        <w:t xml:space="preserve">中标单位依法与员工签订书面劳动合同或劳务合同，并全部承担与合同相关的责任和义务。 </w:t>
      </w:r>
    </w:p>
    <w:p>
      <w:pPr>
        <w:pStyle w:val="ListParagraph"/>
        <w:pageBreakBefore w:val="0"/>
        <w:numPr>
          <w:ilvl w:val="0"/>
          <w:numId w:val="0"/>
        </w:numPr>
        <w:tabs>
          <w:tab w:val="left" w:pos="0"/>
        </w:tabs>
        <w:kinsoku/>
        <w:wordWrap/>
        <w:overflowPunct/>
        <w:autoSpaceDE/>
        <w:autoSpaceDN/>
        <w:bidi w:val="0"/>
        <w:spacing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2"/>
          <w:sz w:val="21"/>
          <w:szCs w:val="21"/>
          <w:lang w:val="en-US" w:eastAsia="zh-CN" w:bidi="ar-SA"/>
        </w:rPr>
        <w:t>2)</w:t>
      </w:r>
      <w:r>
        <w:rPr>
          <w:rFonts w:asciiTheme="minorEastAsia" w:eastAsiaTheme="minorEastAsia" w:hAnsiTheme="minorEastAsia" w:cstheme="minorEastAsia" w:hint="eastAsia"/>
          <w:sz w:val="21"/>
          <w:szCs w:val="21"/>
        </w:rPr>
        <w:t>保障员工正常休息时间。</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（4）投标人应根据本企业的成本自行决定报价，但不以低于其企业成本的报价投标。</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（5）投标人的投标报价不超过财政预算限额。</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（6）投标人的投标报价，应是本项目招标范围和招标文件及合同条款上所列的各项内容中所述的全部，不以任何理由予以重复，并以投标人在投标文件中提出的综合单价或总价为依据。</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（7）投标人不通过索赔等方式获取补偿，否则，除可能遭到拒绝外，还可能将被作为不良行为记录在案，并可能影响其以后参加政府采购的项目投标。各投标人在投标报价时，应充分考虑投标报价的风险。</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（8）中标单位根据有关物业管理法规、招投标文件、与采购人签订的物业管理委托合同，对该物业实行统一管理，综合服务，自主经营，自负盈亏。</w:t>
      </w:r>
    </w:p>
    <w:p>
      <w:pPr>
        <w:pStyle w:val="Heading2"/>
        <w:pageBreakBefore w:val="0"/>
        <w:numPr>
          <w:ilvl w:val="0"/>
          <w:numId w:val="0"/>
        </w:numPr>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（四）物业服务履约验收及考核</w:t>
      </w: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1.</w:t>
      </w:r>
      <w:r>
        <w:rPr>
          <w:rFonts w:asciiTheme="minorEastAsia" w:eastAsiaTheme="minorEastAsia" w:hAnsiTheme="minorEastAsia" w:cstheme="minorEastAsia" w:hint="eastAsia"/>
          <w:sz w:val="21"/>
          <w:szCs w:val="21"/>
        </w:rPr>
        <w:t>履约验收方案</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采购人按照招投标文件和合同规定的标准和方法，及时组织验收并出具验收报告：</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（1）采购人成立履约验收小组，由归口管理科室实际执行；</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（2）履约验收时间：进场验收为中标单位进场服务一个月内；每次支付款项时进行阶段性履约验收（考核）；</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（3）履约验收方式：收集资料、现场核查；</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（4）履约验收程序：验收小组集中通过查验资料、现场核查进行验收；</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（5）履约验收内容：岗位安排明细及服务质量；</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（6）履约验收标准：见下表（以采购人最新版本为准，采购人</w:t>
      </w:r>
      <w:r>
        <w:rPr>
          <w:rFonts w:asciiTheme="minorEastAsia" w:eastAsiaTheme="minorEastAsia" w:hAnsiTheme="minorEastAsia" w:cstheme="minorEastAsia" w:hint="eastAsia"/>
          <w:sz w:val="21"/>
          <w:szCs w:val="21"/>
          <w:shd w:val="clear" w:color="auto" w:fill="FFFFFF"/>
        </w:rPr>
        <w:t>有权根据医院管理需求及发展情况适时修订）。</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履约验收结果按照年度考核情况及临床满意度情况综合评估，按照年度考核得分*50%+[本合同期内已完成的季度满意度调查得分（按照环境美化、秩序维护、工程管理、医疗辅助满意度调查得分的算术平均计算）的算术平均值] *50%核算的分数结果对履约验收结果分级：</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151"/>
        <w:gridCol w:w="415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3"/>
        </w:trPr>
        <w:tc>
          <w:tcPr>
            <w:tcW w:w="4151"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履约验收结果</w:t>
            </w:r>
          </w:p>
        </w:tc>
        <w:tc>
          <w:tcPr>
            <w:tcW w:w="4152"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分级情况</w:t>
            </w:r>
          </w:p>
        </w:tc>
      </w:tr>
      <w:tr>
        <w:tblPrEx>
          <w:tblW w:w="0" w:type="auto"/>
          <w:tblInd w:w="0" w:type="dxa"/>
          <w:tblCellMar>
            <w:top w:w="0" w:type="dxa"/>
            <w:left w:w="108" w:type="dxa"/>
            <w:bottom w:w="0" w:type="dxa"/>
            <w:right w:w="108" w:type="dxa"/>
          </w:tblCellMar>
        </w:tblPrEx>
        <w:trPr>
          <w:trHeight w:val="23"/>
        </w:trPr>
        <w:tc>
          <w:tcPr>
            <w:tcW w:w="4151"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大于或等于90分</w:t>
            </w:r>
          </w:p>
        </w:tc>
        <w:tc>
          <w:tcPr>
            <w:tcW w:w="4152"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优</w:t>
            </w:r>
          </w:p>
        </w:tc>
      </w:tr>
      <w:tr>
        <w:tblPrEx>
          <w:tblW w:w="0" w:type="auto"/>
          <w:tblInd w:w="0" w:type="dxa"/>
          <w:tblCellMar>
            <w:top w:w="0" w:type="dxa"/>
            <w:left w:w="108" w:type="dxa"/>
            <w:bottom w:w="0" w:type="dxa"/>
            <w:right w:w="108" w:type="dxa"/>
          </w:tblCellMar>
        </w:tblPrEx>
        <w:trPr>
          <w:trHeight w:val="23"/>
        </w:trPr>
        <w:tc>
          <w:tcPr>
            <w:tcW w:w="4151"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小于90分，大于或等于80分</w:t>
            </w:r>
          </w:p>
        </w:tc>
        <w:tc>
          <w:tcPr>
            <w:tcW w:w="4152"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良好</w:t>
            </w:r>
          </w:p>
        </w:tc>
      </w:tr>
      <w:tr>
        <w:tblPrEx>
          <w:tblW w:w="0" w:type="auto"/>
          <w:tblInd w:w="0" w:type="dxa"/>
          <w:tblCellMar>
            <w:top w:w="0" w:type="dxa"/>
            <w:left w:w="108" w:type="dxa"/>
            <w:bottom w:w="0" w:type="dxa"/>
            <w:right w:w="108" w:type="dxa"/>
          </w:tblCellMar>
        </w:tblPrEx>
        <w:trPr>
          <w:trHeight w:val="23"/>
        </w:trPr>
        <w:tc>
          <w:tcPr>
            <w:tcW w:w="4151"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小于80分</w:t>
            </w:r>
          </w:p>
        </w:tc>
        <w:tc>
          <w:tcPr>
            <w:tcW w:w="4152" w:type="dxa"/>
            <w:vAlign w:val="top"/>
          </w:tcPr>
          <w:p>
            <w:pPr>
              <w:pageBreakBefore w:val="0"/>
              <w:widowControl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差</w:t>
            </w:r>
          </w:p>
        </w:tc>
      </w:tr>
    </w:tbl>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2.</w:t>
      </w:r>
      <w:r>
        <w:rPr>
          <w:rFonts w:asciiTheme="minorEastAsia" w:eastAsiaTheme="minorEastAsia" w:hAnsiTheme="minorEastAsia" w:cstheme="minorEastAsia" w:hint="eastAsia"/>
          <w:sz w:val="21"/>
          <w:szCs w:val="21"/>
        </w:rPr>
        <w:t>物业服务考核说明</w:t>
      </w:r>
    </w:p>
    <w:p>
      <w:pPr>
        <w:pageBreakBefore w:val="0"/>
        <w:tabs>
          <w:tab w:val="left" w:pos="1440"/>
        </w:tabs>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中标单位在合同执行期间接受采购人管理部门和采购人的监管。物业管理费的最终付款根据月度考核、年度考核、不定期检查（含上级部门检查、通报）、考勤、临床满意度调查等情况确定。</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lang w:eastAsia="zh-CN"/>
        </w:rPr>
        <w:t>（</w:t>
      </w:r>
      <w:r>
        <w:rPr>
          <w:rFonts w:asciiTheme="minorEastAsia" w:eastAsiaTheme="minorEastAsia" w:hAnsiTheme="minorEastAsia" w:cstheme="minorEastAsia" w:hint="eastAsia"/>
          <w:b/>
          <w:bCs/>
          <w:sz w:val="21"/>
          <w:szCs w:val="21"/>
          <w:lang w:val="en-US" w:eastAsia="zh-CN"/>
        </w:rPr>
        <w:t>1</w:t>
      </w:r>
      <w:r>
        <w:rPr>
          <w:rFonts w:asciiTheme="minorEastAsia" w:eastAsiaTheme="minorEastAsia" w:hAnsiTheme="minorEastAsia" w:cstheme="minorEastAsia" w:hint="eastAsia"/>
          <w:b/>
          <w:bCs/>
          <w:sz w:val="21"/>
          <w:szCs w:val="21"/>
          <w:lang w:eastAsia="zh-CN"/>
        </w:rPr>
        <w:t>）</w:t>
      </w:r>
      <w:r>
        <w:rPr>
          <w:rFonts w:asciiTheme="minorEastAsia" w:eastAsiaTheme="minorEastAsia" w:hAnsiTheme="minorEastAsia" w:cstheme="minorEastAsia" w:hint="eastAsia"/>
          <w:b/>
          <w:bCs/>
          <w:sz w:val="21"/>
          <w:szCs w:val="21"/>
        </w:rPr>
        <w:t>进场考核：</w:t>
      </w:r>
      <w:r>
        <w:rPr>
          <w:rFonts w:asciiTheme="minorEastAsia" w:eastAsiaTheme="minorEastAsia" w:hAnsiTheme="minorEastAsia" w:cstheme="minorEastAsia" w:hint="eastAsia"/>
          <w:sz w:val="21"/>
          <w:szCs w:val="21"/>
        </w:rPr>
        <w:t>供应商需根据投标文件，提供相应的投标文件中的证明资料，经采购人审核完成后方可进场。</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lang w:eastAsia="zh-CN"/>
        </w:rPr>
        <w:t>（</w:t>
      </w:r>
      <w:r>
        <w:rPr>
          <w:rFonts w:asciiTheme="minorEastAsia" w:eastAsiaTheme="minorEastAsia" w:hAnsiTheme="minorEastAsia" w:cstheme="minorEastAsia" w:hint="eastAsia"/>
          <w:b/>
          <w:bCs/>
          <w:sz w:val="21"/>
          <w:szCs w:val="21"/>
          <w:lang w:val="en-US" w:eastAsia="zh-CN"/>
        </w:rPr>
        <w:t>2</w:t>
      </w:r>
      <w:r>
        <w:rPr>
          <w:rFonts w:asciiTheme="minorEastAsia" w:eastAsiaTheme="minorEastAsia" w:hAnsiTheme="minorEastAsia" w:cstheme="minorEastAsia" w:hint="eastAsia"/>
          <w:b/>
          <w:bCs/>
          <w:sz w:val="21"/>
          <w:szCs w:val="21"/>
          <w:lang w:eastAsia="zh-CN"/>
        </w:rPr>
        <w:t>）</w:t>
      </w:r>
      <w:r>
        <w:rPr>
          <w:rFonts w:asciiTheme="minorEastAsia" w:eastAsiaTheme="minorEastAsia" w:hAnsiTheme="minorEastAsia" w:cstheme="minorEastAsia" w:hint="eastAsia"/>
          <w:b/>
          <w:bCs/>
          <w:sz w:val="21"/>
          <w:szCs w:val="21"/>
        </w:rPr>
        <w:t xml:space="preserve">月度考核: </w:t>
      </w:r>
      <w:r>
        <w:rPr>
          <w:rFonts w:asciiTheme="minorEastAsia" w:eastAsiaTheme="minorEastAsia" w:hAnsiTheme="minorEastAsia" w:cstheme="minorEastAsia" w:hint="eastAsia"/>
          <w:sz w:val="21"/>
          <w:szCs w:val="21"/>
        </w:rPr>
        <w:t>采购人每月对中标单位服务情况进行考评，依据《物业管理服务考核标准》（以下均简称《标准》），见附件1，每月绩效考核按该标准执行。以下《标准》并非最终版本，医院有权根据实际管理要求及时修正《标准》，中标单位无条件服从。每月于当月10日前完成上月考核，考核结果将与物业管理公司管理费直接挂钩，扣罚金额从当月应付物业管理服务公司的管理费用中扣除。</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lang w:eastAsia="zh-CN"/>
        </w:rPr>
        <w:t>（</w:t>
      </w:r>
      <w:r>
        <w:rPr>
          <w:rFonts w:asciiTheme="minorEastAsia" w:eastAsiaTheme="minorEastAsia" w:hAnsiTheme="minorEastAsia" w:cstheme="minorEastAsia" w:hint="eastAsia"/>
          <w:b/>
          <w:bCs/>
          <w:sz w:val="21"/>
          <w:szCs w:val="21"/>
          <w:lang w:val="en-US" w:eastAsia="zh-CN"/>
        </w:rPr>
        <w:t>3）</w:t>
      </w:r>
      <w:r>
        <w:rPr>
          <w:rFonts w:asciiTheme="minorEastAsia" w:eastAsiaTheme="minorEastAsia" w:hAnsiTheme="minorEastAsia" w:cstheme="minorEastAsia" w:hint="eastAsia"/>
          <w:b/>
          <w:bCs/>
          <w:sz w:val="21"/>
          <w:szCs w:val="21"/>
        </w:rPr>
        <w:t>年度考核:</w:t>
      </w:r>
      <w:r>
        <w:rPr>
          <w:rFonts w:asciiTheme="minorEastAsia" w:eastAsiaTheme="minorEastAsia" w:hAnsiTheme="minorEastAsia" w:cstheme="minorEastAsia" w:hint="eastAsia"/>
          <w:sz w:val="21"/>
          <w:szCs w:val="21"/>
        </w:rPr>
        <w:t>年度考核以月度考核结果为依据,对已完成的本合同期内月度考核的综合评分数据进行汇总统计，依据每月综合得分的算术平均值作为供应商年度考核得分。年度考核将作为供应商履约评价中服务质量内容依据。考核完成后，由采购人对相关供应商档案(包括基础资料、交易记录和考核资料等)进行建立、收集、整理和归档，以备日后查阅。</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lang w:val="en-US" w:eastAsia="zh-CN"/>
        </w:rPr>
        <w:t>4</w:t>
      </w: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rPr>
        <w:t>因中标单位的过错或管理不善，给院方在社会上造成负面影响的，院方将对物业公司进行经济处罚：区级罚金30000元/次，市级50000元/次，省级或省级以上100000元/次，扣罚金额均从当月物业管理费中扣罚。</w:t>
      </w:r>
    </w:p>
    <w:p>
      <w:pPr>
        <w:pStyle w:val="ListParagraph"/>
        <w:pageBreakBefore w:val="0"/>
        <w:numPr>
          <w:ilvl w:val="255"/>
          <w:numId w:val="0"/>
        </w:numPr>
        <w:tabs>
          <w:tab w:val="left" w:pos="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lang w:val="en-US" w:eastAsia="zh-CN"/>
        </w:rPr>
        <w:t>5</w:t>
      </w: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rPr>
        <w:t>因中标单位的过错，造成政府部门检查（包括但不限于环保、反恐、消防、医院评审检查等）不合格，对采购人造成重大影响的，采购人有权解除合同。</w:t>
      </w: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lang w:val="en-US" w:eastAsia="zh-CN"/>
        </w:rPr>
      </w:pP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3.</w:t>
      </w:r>
      <w:r>
        <w:rPr>
          <w:rFonts w:asciiTheme="minorEastAsia" w:eastAsiaTheme="minorEastAsia" w:hAnsiTheme="minorEastAsia" w:cstheme="minorEastAsia" w:hint="eastAsia"/>
          <w:sz w:val="21"/>
          <w:szCs w:val="21"/>
        </w:rPr>
        <w:t>月度考核</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月度考核采用百分制（100分），考核标准及对应措施如下：</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114"/>
        <w:gridCol w:w="518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3"/>
        </w:trPr>
        <w:tc>
          <w:tcPr>
            <w:tcW w:w="3114"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考核分数</w:t>
            </w:r>
          </w:p>
        </w:tc>
        <w:tc>
          <w:tcPr>
            <w:tcW w:w="5189"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分级标准及对应措施</w:t>
            </w:r>
          </w:p>
        </w:tc>
      </w:tr>
      <w:tr>
        <w:tblPrEx>
          <w:tblW w:w="0" w:type="auto"/>
          <w:tblInd w:w="0" w:type="dxa"/>
          <w:tblCellMar>
            <w:top w:w="0" w:type="dxa"/>
            <w:left w:w="108" w:type="dxa"/>
            <w:bottom w:w="0" w:type="dxa"/>
            <w:right w:w="108" w:type="dxa"/>
          </w:tblCellMar>
        </w:tblPrEx>
        <w:trPr>
          <w:trHeight w:val="23"/>
        </w:trPr>
        <w:tc>
          <w:tcPr>
            <w:tcW w:w="3114"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大于或等于90分</w:t>
            </w:r>
          </w:p>
        </w:tc>
        <w:tc>
          <w:tcPr>
            <w:tcW w:w="5189"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达到标准；</w:t>
            </w:r>
          </w:p>
        </w:tc>
      </w:tr>
      <w:tr>
        <w:tblPrEx>
          <w:tblW w:w="0" w:type="auto"/>
          <w:tblInd w:w="0" w:type="dxa"/>
          <w:tblCellMar>
            <w:top w:w="0" w:type="dxa"/>
            <w:left w:w="108" w:type="dxa"/>
            <w:bottom w:w="0" w:type="dxa"/>
            <w:right w:w="108" w:type="dxa"/>
          </w:tblCellMar>
        </w:tblPrEx>
        <w:trPr>
          <w:trHeight w:val="23"/>
        </w:trPr>
        <w:tc>
          <w:tcPr>
            <w:tcW w:w="3114" w:type="dxa"/>
            <w:vMerge w:val="restart"/>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小于90分</w:t>
            </w:r>
          </w:p>
        </w:tc>
        <w:tc>
          <w:tcPr>
            <w:tcW w:w="5189"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按10000元/分（即1000元／0.1分）扣罚</w:t>
            </w:r>
          </w:p>
        </w:tc>
      </w:tr>
      <w:tr>
        <w:tblPrEx>
          <w:tblW w:w="0" w:type="auto"/>
          <w:tblInd w:w="0" w:type="dxa"/>
          <w:tblCellMar>
            <w:top w:w="0" w:type="dxa"/>
            <w:left w:w="108" w:type="dxa"/>
            <w:bottom w:w="0" w:type="dxa"/>
            <w:right w:w="108" w:type="dxa"/>
          </w:tblCellMar>
        </w:tblPrEx>
        <w:trPr>
          <w:trHeight w:val="23"/>
        </w:trPr>
        <w:tc>
          <w:tcPr>
            <w:tcW w:w="3114" w:type="dxa"/>
            <w:vMerge/>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p>
        </w:tc>
        <w:tc>
          <w:tcPr>
            <w:tcW w:w="5189"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当月得分在90分以下，由采购人约谈物业项目经理；</w:t>
            </w:r>
          </w:p>
        </w:tc>
      </w:tr>
      <w:tr>
        <w:tblPrEx>
          <w:tblW w:w="0" w:type="auto"/>
          <w:tblInd w:w="0" w:type="dxa"/>
          <w:tblCellMar>
            <w:top w:w="0" w:type="dxa"/>
            <w:left w:w="108" w:type="dxa"/>
            <w:bottom w:w="0" w:type="dxa"/>
            <w:right w:w="108" w:type="dxa"/>
          </w:tblCellMar>
        </w:tblPrEx>
        <w:trPr>
          <w:trHeight w:val="23"/>
        </w:trPr>
        <w:tc>
          <w:tcPr>
            <w:tcW w:w="3114" w:type="dxa"/>
            <w:vMerge/>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p>
        </w:tc>
        <w:tc>
          <w:tcPr>
            <w:tcW w:w="5189"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连续3个月得分在90分以下，由采购人约谈物业公司法人，采购人可要求撤换当届</w:t>
            </w:r>
            <w:r>
              <w:rPr>
                <w:rFonts w:asciiTheme="minorEastAsia" w:eastAsiaTheme="minorEastAsia" w:hAnsiTheme="minorEastAsia" w:cstheme="minorEastAsia" w:hint="eastAsia"/>
                <w:sz w:val="21"/>
                <w:szCs w:val="21"/>
                <w:lang w:eastAsia="zh-CN"/>
              </w:rPr>
              <w:t>任职</w:t>
            </w:r>
            <w:r>
              <w:rPr>
                <w:rFonts w:asciiTheme="minorEastAsia" w:eastAsiaTheme="minorEastAsia" w:hAnsiTheme="minorEastAsia" w:cstheme="minorEastAsia" w:hint="eastAsia"/>
                <w:sz w:val="21"/>
                <w:szCs w:val="21"/>
              </w:rPr>
              <w:t>的项目经理，且不允许其在本项目中继续担任其他职务，服务供应商应无条件遵守；</w:t>
            </w:r>
          </w:p>
        </w:tc>
      </w:tr>
      <w:tr>
        <w:tblPrEx>
          <w:tblW w:w="0" w:type="auto"/>
          <w:tblInd w:w="0" w:type="dxa"/>
          <w:tblCellMar>
            <w:top w:w="0" w:type="dxa"/>
            <w:left w:w="108" w:type="dxa"/>
            <w:bottom w:w="0" w:type="dxa"/>
            <w:right w:w="108" w:type="dxa"/>
          </w:tblCellMar>
        </w:tblPrEx>
        <w:trPr>
          <w:trHeight w:val="23"/>
        </w:trPr>
        <w:tc>
          <w:tcPr>
            <w:tcW w:w="3114"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合同期内连续2个月或累计3月在80分（不含80分）以下</w:t>
            </w:r>
          </w:p>
        </w:tc>
        <w:tc>
          <w:tcPr>
            <w:tcW w:w="5189"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采购人有权于三个月内终止合同。</w:t>
            </w:r>
          </w:p>
        </w:tc>
      </w:tr>
    </w:tbl>
    <w:p>
      <w:pPr>
        <w:pageBreakBefore w:val="0"/>
        <w:tabs>
          <w:tab w:val="left" w:pos="144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shd w:val="clear" w:color="auto" w:fill="FFFFFF"/>
        </w:rPr>
      </w:pPr>
      <w:r>
        <w:rPr>
          <w:rFonts w:asciiTheme="minorEastAsia" w:eastAsiaTheme="minorEastAsia" w:hAnsiTheme="minorEastAsia" w:cstheme="minorEastAsia" w:hint="eastAsia"/>
          <w:sz w:val="21"/>
          <w:szCs w:val="21"/>
        </w:rPr>
        <w:t>注：</w:t>
      </w:r>
      <w:r>
        <w:rPr>
          <w:rFonts w:asciiTheme="minorEastAsia" w:eastAsiaTheme="minorEastAsia" w:hAnsiTheme="minorEastAsia" w:cstheme="minorEastAsia" w:hint="eastAsia"/>
          <w:sz w:val="21"/>
          <w:szCs w:val="21"/>
          <w:shd w:val="clear" w:color="auto" w:fill="FFFFFF"/>
        </w:rPr>
        <w:t>对未达到标准的事项，</w:t>
      </w:r>
      <w:r>
        <w:rPr>
          <w:rFonts w:asciiTheme="minorEastAsia" w:eastAsiaTheme="minorEastAsia" w:hAnsiTheme="minorEastAsia" w:cstheme="minorEastAsia" w:hint="eastAsia"/>
          <w:sz w:val="21"/>
          <w:szCs w:val="21"/>
        </w:rPr>
        <w:t>采购人</w:t>
      </w:r>
      <w:r>
        <w:rPr>
          <w:rFonts w:asciiTheme="minorEastAsia" w:eastAsiaTheme="minorEastAsia" w:hAnsiTheme="minorEastAsia" w:cstheme="minorEastAsia" w:hint="eastAsia"/>
          <w:sz w:val="21"/>
          <w:szCs w:val="21"/>
          <w:shd w:val="clear" w:color="auto" w:fill="FFFFFF"/>
        </w:rPr>
        <w:t>有权要求</w:t>
      </w:r>
      <w:r>
        <w:rPr>
          <w:rFonts w:asciiTheme="minorEastAsia" w:eastAsiaTheme="minorEastAsia" w:hAnsiTheme="minorEastAsia" w:cstheme="minorEastAsia" w:hint="eastAsia"/>
          <w:sz w:val="21"/>
          <w:szCs w:val="21"/>
        </w:rPr>
        <w:t>中标单位</w:t>
      </w:r>
      <w:r>
        <w:rPr>
          <w:rFonts w:asciiTheme="minorEastAsia" w:eastAsiaTheme="minorEastAsia" w:hAnsiTheme="minorEastAsia" w:cstheme="minorEastAsia" w:hint="eastAsia"/>
          <w:sz w:val="21"/>
          <w:szCs w:val="21"/>
          <w:shd w:val="clear" w:color="auto" w:fill="FFFFFF"/>
        </w:rPr>
        <w:t>限期整改。若</w:t>
      </w:r>
      <w:r>
        <w:rPr>
          <w:rFonts w:asciiTheme="minorEastAsia" w:eastAsiaTheme="minorEastAsia" w:hAnsiTheme="minorEastAsia" w:cstheme="minorEastAsia" w:hint="eastAsia"/>
          <w:sz w:val="21"/>
          <w:szCs w:val="21"/>
        </w:rPr>
        <w:t>中标单位</w:t>
      </w:r>
      <w:r>
        <w:rPr>
          <w:rFonts w:asciiTheme="minorEastAsia" w:eastAsiaTheme="minorEastAsia" w:hAnsiTheme="minorEastAsia" w:cstheme="minorEastAsia" w:hint="eastAsia"/>
          <w:sz w:val="21"/>
          <w:szCs w:val="21"/>
          <w:shd w:val="clear" w:color="auto" w:fill="FFFFFF"/>
        </w:rPr>
        <w:t>未按时完成整改或整改不到位，</w:t>
      </w:r>
      <w:r>
        <w:rPr>
          <w:rFonts w:asciiTheme="minorEastAsia" w:eastAsiaTheme="minorEastAsia" w:hAnsiTheme="minorEastAsia" w:cstheme="minorEastAsia" w:hint="eastAsia"/>
          <w:sz w:val="21"/>
          <w:szCs w:val="21"/>
        </w:rPr>
        <w:t>采购人</w:t>
      </w:r>
      <w:r>
        <w:rPr>
          <w:rFonts w:asciiTheme="minorEastAsia" w:eastAsiaTheme="minorEastAsia" w:hAnsiTheme="minorEastAsia" w:cstheme="minorEastAsia" w:hint="eastAsia"/>
          <w:sz w:val="21"/>
          <w:szCs w:val="21"/>
          <w:shd w:val="clear" w:color="auto" w:fill="FFFFFF"/>
        </w:rPr>
        <w:t>将根据问题的严重程度及影响范围，对</w:t>
      </w:r>
      <w:r>
        <w:rPr>
          <w:rFonts w:asciiTheme="minorEastAsia" w:eastAsiaTheme="minorEastAsia" w:hAnsiTheme="minorEastAsia" w:cstheme="minorEastAsia" w:hint="eastAsia"/>
          <w:sz w:val="21"/>
          <w:szCs w:val="21"/>
        </w:rPr>
        <w:t>中标单位</w:t>
      </w:r>
      <w:r>
        <w:rPr>
          <w:rFonts w:asciiTheme="minorEastAsia" w:eastAsiaTheme="minorEastAsia" w:hAnsiTheme="minorEastAsia" w:cstheme="minorEastAsia" w:hint="eastAsia"/>
          <w:sz w:val="21"/>
          <w:szCs w:val="21"/>
          <w:shd w:val="clear" w:color="auto" w:fill="FFFFFF"/>
        </w:rPr>
        <w:t>实施相应的经济处罚，并纳入下个月度考核扣分项。</w:t>
      </w: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lang w:val="en-US" w:eastAsia="zh-CN"/>
        </w:rPr>
      </w:pP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4.</w:t>
      </w:r>
      <w:r>
        <w:rPr>
          <w:rFonts w:asciiTheme="minorEastAsia" w:eastAsiaTheme="minorEastAsia" w:hAnsiTheme="minorEastAsia" w:cstheme="minorEastAsia" w:hint="eastAsia"/>
          <w:sz w:val="21"/>
          <w:szCs w:val="21"/>
        </w:rPr>
        <w:t>不定期检查</w:t>
      </w:r>
    </w:p>
    <w:p>
      <w:pPr>
        <w:pageBreakBefore w:val="0"/>
        <w:tabs>
          <w:tab w:val="left" w:pos="1440"/>
        </w:tabs>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针对上级部门的不定期检查，将依据《物业管理服务考核标准》，对物业工作进行考评，考评结果将与物业管理公司管理费直接挂钩，扣罚金额从当月应付物业管理服务公司的管理费用中扣除。考核标准及对应措施如下：</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128"/>
        <w:gridCol w:w="517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128"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考核分数</w:t>
            </w:r>
          </w:p>
        </w:tc>
        <w:tc>
          <w:tcPr>
            <w:tcW w:w="5175"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分级标准及对应措施</w:t>
            </w:r>
          </w:p>
        </w:tc>
      </w:tr>
      <w:tr>
        <w:tblPrEx>
          <w:tblW w:w="0" w:type="auto"/>
          <w:tblInd w:w="0" w:type="dxa"/>
          <w:tblCellMar>
            <w:top w:w="0" w:type="dxa"/>
            <w:left w:w="108" w:type="dxa"/>
            <w:bottom w:w="0" w:type="dxa"/>
            <w:right w:w="108" w:type="dxa"/>
          </w:tblCellMar>
        </w:tblPrEx>
        <w:tc>
          <w:tcPr>
            <w:tcW w:w="3128"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大于或等于90分</w:t>
            </w:r>
          </w:p>
        </w:tc>
        <w:tc>
          <w:tcPr>
            <w:tcW w:w="5175"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达到标准；</w:t>
            </w:r>
          </w:p>
        </w:tc>
      </w:tr>
      <w:tr>
        <w:tblPrEx>
          <w:tblW w:w="0" w:type="auto"/>
          <w:tblInd w:w="0" w:type="dxa"/>
          <w:tblCellMar>
            <w:top w:w="0" w:type="dxa"/>
            <w:left w:w="108" w:type="dxa"/>
            <w:bottom w:w="0" w:type="dxa"/>
            <w:right w:w="108" w:type="dxa"/>
          </w:tblCellMar>
        </w:tblPrEx>
        <w:tc>
          <w:tcPr>
            <w:tcW w:w="3128" w:type="dxa"/>
            <w:vAlign w:val="center"/>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小于90分</w:t>
            </w:r>
          </w:p>
        </w:tc>
        <w:tc>
          <w:tcPr>
            <w:tcW w:w="5175"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按20000元/分（即2000元／0.1分）扣罚</w:t>
            </w:r>
          </w:p>
        </w:tc>
      </w:tr>
      <w:tr>
        <w:tblPrEx>
          <w:tblW w:w="0" w:type="auto"/>
          <w:tblInd w:w="0" w:type="dxa"/>
          <w:tblCellMar>
            <w:top w:w="0" w:type="dxa"/>
            <w:left w:w="108" w:type="dxa"/>
            <w:bottom w:w="0" w:type="dxa"/>
            <w:right w:w="108" w:type="dxa"/>
          </w:tblCellMar>
        </w:tblPrEx>
        <w:tc>
          <w:tcPr>
            <w:tcW w:w="3128" w:type="dxa"/>
          </w:tcPr>
          <w:p>
            <w:pPr>
              <w:pageBreakBefore w:val="0"/>
              <w:widowControl w:val="0"/>
              <w:kinsoku/>
              <w:wordWrap/>
              <w:overflowPunct/>
              <w:autoSpaceDE/>
              <w:autoSpaceDN/>
              <w:bidi w:val="0"/>
              <w:spacing w:line="360" w:lineRule="auto"/>
              <w:ind w:left="0" w:firstLine="0" w:leftChars="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在80分（不含80分）以下</w:t>
            </w:r>
          </w:p>
        </w:tc>
        <w:tc>
          <w:tcPr>
            <w:tcW w:w="5175" w:type="dxa"/>
          </w:tcPr>
          <w:p>
            <w:pPr>
              <w:pageBreakBefore w:val="0"/>
              <w:widowControl w:val="0"/>
              <w:tabs>
                <w:tab w:val="left" w:pos="1440"/>
              </w:tabs>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采购人有权于三个月内终止合同。</w:t>
            </w:r>
          </w:p>
        </w:tc>
      </w:tr>
    </w:tbl>
    <w:p>
      <w:pPr>
        <w:pageBreakBefore w:val="0"/>
        <w:kinsoku/>
        <w:wordWrap/>
        <w:overflowPunct/>
        <w:autoSpaceDE/>
        <w:autoSpaceDN/>
        <w:bidi w:val="0"/>
        <w:spacing w:line="360" w:lineRule="auto"/>
        <w:ind w:left="0" w:firstLine="0" w:leftChars="0" w:firstLineChars="0"/>
        <w:rPr>
          <w:rFonts w:asciiTheme="minorEastAsia" w:eastAsiaTheme="minorEastAsia" w:hAnsiTheme="minorEastAsia" w:cstheme="minorEastAsia" w:hint="eastAsia"/>
          <w:sz w:val="21"/>
          <w:szCs w:val="21"/>
        </w:rPr>
      </w:pP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5.</w:t>
      </w:r>
      <w:r>
        <w:rPr>
          <w:rFonts w:asciiTheme="minorEastAsia" w:eastAsiaTheme="minorEastAsia" w:hAnsiTheme="minorEastAsia" w:cstheme="minorEastAsia" w:hint="eastAsia"/>
          <w:sz w:val="21"/>
          <w:szCs w:val="21"/>
        </w:rPr>
        <w:t>考勤管理</w:t>
      </w:r>
    </w:p>
    <w:p>
      <w:pPr>
        <w:pStyle w:val="ListParagraph"/>
        <w:pageBreakBefore w:val="0"/>
        <w:numPr>
          <w:ilvl w:val="0"/>
          <w:numId w:val="22"/>
        </w:numPr>
        <w:tabs>
          <w:tab w:val="left" w:pos="0"/>
          <w:tab w:val="left" w:pos="1440"/>
        </w:tabs>
        <w:kinsoku/>
        <w:wordWrap/>
        <w:overflowPunct/>
        <w:autoSpaceDE/>
        <w:autoSpaceDN/>
        <w:bidi w:val="0"/>
        <w:spacing w:line="360" w:lineRule="auto"/>
        <w:ind w:left="0"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中标单位需对员工进行考勤管理，应保证员工排班准确性，所有员工入职时需将身份信息录入系统，并开放考勤系统予采购人进行实时监督、查验，考勤记录汇总的岗位出勤数据将作为每月管理费用支付的重要依据。</w:t>
      </w:r>
    </w:p>
    <w:p>
      <w:pPr>
        <w:pStyle w:val="ListParagraph"/>
        <w:pageBreakBefore w:val="0"/>
        <w:numPr>
          <w:ilvl w:val="0"/>
          <w:numId w:val="22"/>
        </w:numPr>
        <w:tabs>
          <w:tab w:val="left" w:pos="0"/>
          <w:tab w:val="left" w:pos="1440"/>
        </w:tabs>
        <w:kinsoku/>
        <w:wordWrap/>
        <w:overflowPunct/>
        <w:autoSpaceDE/>
        <w:autoSpaceDN/>
        <w:bidi w:val="0"/>
        <w:spacing w:line="360" w:lineRule="auto"/>
        <w:ind w:left="0"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采购人将定期或不定期核查在岗人员情况，如采购人在检查、抽查发现未按约定配备岗位，或因员工休假、请假、辞退或撤换等原因导致岗位空缺，中标单位应在</w:t>
      </w:r>
      <w:r>
        <w:rPr>
          <w:rFonts w:asciiTheme="minorEastAsia" w:eastAsiaTheme="minorEastAsia" w:hAnsiTheme="minorEastAsia" w:cstheme="minorEastAsia" w:hint="eastAsia"/>
          <w:b/>
          <w:bCs/>
          <w:sz w:val="21"/>
          <w:szCs w:val="21"/>
        </w:rPr>
        <w:t>7个工作日内</w:t>
      </w:r>
      <w:r>
        <w:rPr>
          <w:rFonts w:asciiTheme="minorEastAsia" w:eastAsiaTheme="minorEastAsia" w:hAnsiTheme="minorEastAsia" w:cstheme="minorEastAsia" w:hint="eastAsia"/>
          <w:sz w:val="21"/>
          <w:szCs w:val="21"/>
        </w:rPr>
        <w:t>补充到位，每出现一次空岗情况将扣罚物业管理费10000元。</w:t>
      </w:r>
    </w:p>
    <w:p>
      <w:pPr>
        <w:pStyle w:val="ListParagraph"/>
        <w:pageBreakBefore w:val="0"/>
        <w:numPr>
          <w:ilvl w:val="255"/>
          <w:numId w:val="0"/>
        </w:numPr>
        <w:tabs>
          <w:tab w:val="left" w:pos="0"/>
          <w:tab w:val="left" w:pos="1440"/>
        </w:tabs>
        <w:kinsoku/>
        <w:wordWrap/>
        <w:overflowPunct/>
        <w:autoSpaceDE/>
        <w:autoSpaceDN/>
        <w:bidi w:val="0"/>
        <w:spacing w:line="360" w:lineRule="auto"/>
        <w:ind w:left="0"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3)</w:t>
      </w:r>
      <w:r>
        <w:rPr>
          <w:rFonts w:asciiTheme="minorEastAsia" w:eastAsiaTheme="minorEastAsia" w:hAnsiTheme="minorEastAsia" w:cstheme="minorEastAsia" w:hint="eastAsia"/>
          <w:sz w:val="21"/>
          <w:szCs w:val="21"/>
        </w:rPr>
        <w:t>在抽查过程中，出现以下情况，按照10000元/次进行扣罚，扣罚金额从当月物业管理费中扣罚：</w:t>
      </w:r>
    </w:p>
    <w:p>
      <w:pPr>
        <w:pStyle w:val="ListParagraph"/>
        <w:pageBreakBefore w:val="0"/>
        <w:numPr>
          <w:ilvl w:val="255"/>
          <w:numId w:val="0"/>
        </w:numPr>
        <w:tabs>
          <w:tab w:val="left" w:pos="0"/>
          <w:tab w:val="left" w:pos="144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A.</w:t>
      </w:r>
      <w:r>
        <w:rPr>
          <w:rFonts w:asciiTheme="minorEastAsia" w:eastAsiaTheme="minorEastAsia" w:hAnsiTheme="minorEastAsia" w:cstheme="minorEastAsia" w:hint="eastAsia"/>
          <w:sz w:val="21"/>
          <w:szCs w:val="21"/>
        </w:rPr>
        <w:t>出现空岗、缺岗及未经医院同意将我院物业人员调离至其他项目；</w:t>
      </w:r>
    </w:p>
    <w:p>
      <w:pPr>
        <w:pStyle w:val="ListParagraph"/>
        <w:pageBreakBefore w:val="0"/>
        <w:numPr>
          <w:ilvl w:val="255"/>
          <w:numId w:val="0"/>
        </w:numPr>
        <w:tabs>
          <w:tab w:val="left" w:pos="0"/>
          <w:tab w:val="left" w:pos="1440"/>
        </w:tabs>
        <w:kinsoku/>
        <w:wordWrap/>
        <w:overflowPunct/>
        <w:autoSpaceDE/>
        <w:autoSpaceDN/>
        <w:bidi w:val="0"/>
        <w:spacing w:line="360" w:lineRule="auto"/>
        <w:ind w:left="0"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B.</w:t>
      </w:r>
      <w:r>
        <w:rPr>
          <w:rFonts w:asciiTheme="minorEastAsia" w:eastAsiaTheme="minorEastAsia" w:hAnsiTheme="minorEastAsia" w:cstheme="minorEastAsia" w:hint="eastAsia"/>
          <w:sz w:val="21"/>
          <w:szCs w:val="21"/>
        </w:rPr>
        <w:t>特殊岗位未满足24小时工作要求，如消防控制室、安保应急分队、机电工、视频监控等；</w:t>
      </w:r>
    </w:p>
    <w:p>
      <w:pPr>
        <w:pStyle w:val="ListParagraph"/>
        <w:pageBreakBefore w:val="0"/>
        <w:numPr>
          <w:ilvl w:val="255"/>
          <w:numId w:val="0"/>
        </w:numPr>
        <w:tabs>
          <w:tab w:val="left" w:pos="0"/>
          <w:tab w:val="left" w:pos="144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C.</w:t>
      </w:r>
      <w:r>
        <w:rPr>
          <w:rFonts w:asciiTheme="minorEastAsia" w:eastAsiaTheme="minorEastAsia" w:hAnsiTheme="minorEastAsia" w:cstheme="minorEastAsia" w:hint="eastAsia"/>
          <w:sz w:val="21"/>
          <w:szCs w:val="21"/>
        </w:rPr>
        <w:t>未取得上岗证或未按合同约定配备有相关专业资质人员；</w:t>
      </w:r>
    </w:p>
    <w:p>
      <w:pPr>
        <w:pStyle w:val="ListParagraph"/>
        <w:pageBreakBefore w:val="0"/>
        <w:numPr>
          <w:ilvl w:val="255"/>
          <w:numId w:val="0"/>
        </w:numPr>
        <w:tabs>
          <w:tab w:val="left" w:pos="0"/>
          <w:tab w:val="left" w:pos="1440"/>
        </w:tabs>
        <w:kinsoku/>
        <w:wordWrap/>
        <w:overflowPunct/>
        <w:autoSpaceDE/>
        <w:autoSpaceDN/>
        <w:bidi w:val="0"/>
        <w:spacing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D.</w:t>
      </w:r>
      <w:r>
        <w:rPr>
          <w:rFonts w:asciiTheme="minorEastAsia" w:eastAsiaTheme="minorEastAsia" w:hAnsiTheme="minorEastAsia" w:cstheme="minorEastAsia" w:hint="eastAsia"/>
          <w:sz w:val="21"/>
          <w:szCs w:val="21"/>
        </w:rPr>
        <w:t>虚报考勤等情况。</w:t>
      </w:r>
    </w:p>
    <w:p>
      <w:pPr>
        <w:pStyle w:val="ListParagraph"/>
        <w:pageBreakBefore w:val="0"/>
        <w:numPr>
          <w:ilvl w:val="255"/>
          <w:numId w:val="0"/>
        </w:numPr>
        <w:tabs>
          <w:tab w:val="left" w:pos="0"/>
          <w:tab w:val="left" w:pos="1440"/>
        </w:tabs>
        <w:kinsoku/>
        <w:wordWrap/>
        <w:overflowPunct/>
        <w:autoSpaceDE/>
        <w:autoSpaceDN/>
        <w:bidi w:val="0"/>
        <w:spacing w:line="360" w:lineRule="auto"/>
        <w:ind w:left="0"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4)</w:t>
      </w:r>
      <w:r>
        <w:rPr>
          <w:rFonts w:asciiTheme="minorEastAsia" w:eastAsiaTheme="minorEastAsia" w:hAnsiTheme="minorEastAsia" w:cstheme="minorEastAsia" w:hint="eastAsia"/>
          <w:sz w:val="21"/>
          <w:szCs w:val="21"/>
        </w:rPr>
        <w:t>对于调离或离职人员，中标单位安排接替人员提前进行岗位跟班培训，培训时长视工作复杂程度而定，使得工作无缝衔接。</w:t>
      </w: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lang w:val="en-US" w:eastAsia="zh-CN"/>
        </w:rPr>
      </w:pPr>
    </w:p>
    <w:p>
      <w:pPr>
        <w:pStyle w:val="Heading3"/>
        <w:pageBreakBefore w:val="0"/>
        <w:numPr>
          <w:ilvl w:val="255"/>
          <w:numId w:val="0"/>
        </w:numPr>
        <w:kinsoku/>
        <w:wordWrap/>
        <w:overflowPunct/>
        <w:autoSpaceDE/>
        <w:autoSpaceDN/>
        <w:bidi w:val="0"/>
        <w:spacing w:before="0" w:after="0" w:line="360" w:lineRule="auto"/>
        <w:ind w:left="0"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val="en-US" w:eastAsia="zh-CN"/>
        </w:rPr>
        <w:t>6.</w:t>
      </w:r>
      <w:r>
        <w:rPr>
          <w:rFonts w:asciiTheme="minorEastAsia" w:eastAsiaTheme="minorEastAsia" w:hAnsiTheme="minorEastAsia" w:cstheme="minorEastAsia" w:hint="eastAsia"/>
          <w:sz w:val="21"/>
          <w:szCs w:val="21"/>
        </w:rPr>
        <w:t>临床满意度调查</w:t>
      </w:r>
    </w:p>
    <w:p>
      <w:pPr>
        <w:pageBreakBefore w:val="0"/>
        <w:kinsoku/>
        <w:wordWrap/>
        <w:overflowPunct/>
        <w:autoSpaceDE/>
        <w:autoSpaceDN/>
        <w:bidi w:val="0"/>
        <w:spacing w:line="360" w:lineRule="auto"/>
        <w:ind w:left="0" w:firstLine="420" w:leftChars="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采购人每季度对物业管理服务进行满意度调查，调查结果将与物业管理公司管理费直接挂钩，扣罚金额从当月应付物业管理服务公司的管理费用中扣除。满意度调查的内容、评价情况及扣罚标准详见附件2。</w:t>
      </w:r>
    </w:p>
    <w:p>
      <w:pPr>
        <w:pStyle w:val="Heading3"/>
        <w:pageBreakBefore w:val="0"/>
        <w:numPr>
          <w:ilvl w:val="0"/>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sz w:val="21"/>
          <w:szCs w:val="21"/>
          <w:shd w:val="clear" w:color="auto" w:fill="FFFFFF"/>
        </w:rPr>
      </w:pPr>
      <w:r>
        <w:rPr>
          <w:rFonts w:asciiTheme="minorEastAsia" w:eastAsiaTheme="minorEastAsia" w:hAnsiTheme="minorEastAsia" w:cstheme="minorEastAsia" w:hint="eastAsia"/>
          <w:sz w:val="21"/>
          <w:szCs w:val="21"/>
          <w:shd w:val="clear" w:color="auto" w:fill="FFFFFF"/>
        </w:rPr>
        <w:t>附件1：物业管理服务考核标准</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shd w:val="clear" w:color="auto" w:fill="FFFFFF"/>
        </w:rPr>
      </w:pPr>
      <w:r>
        <w:rPr>
          <w:rFonts w:asciiTheme="minorEastAsia" w:eastAsiaTheme="minorEastAsia" w:hAnsiTheme="minorEastAsia" w:cstheme="minorEastAsia" w:hint="eastAsia"/>
          <w:sz w:val="21"/>
          <w:szCs w:val="21"/>
        </w:rPr>
        <w:t>《龙岗人民医院物业管理服务考核标准》以采购人最新版本为准，采购人</w:t>
      </w:r>
      <w:r>
        <w:rPr>
          <w:rFonts w:asciiTheme="minorEastAsia" w:eastAsiaTheme="minorEastAsia" w:hAnsiTheme="minorEastAsia" w:cstheme="minorEastAsia" w:hint="eastAsia"/>
          <w:sz w:val="21"/>
          <w:szCs w:val="21"/>
          <w:shd w:val="clear" w:color="auto" w:fill="FFFFFF"/>
        </w:rPr>
        <w:t>有权根据医院管理需求及发展情况适时修订，修订后的标准将书面通知</w:t>
      </w:r>
      <w:r>
        <w:rPr>
          <w:rFonts w:asciiTheme="minorEastAsia" w:eastAsiaTheme="minorEastAsia" w:hAnsiTheme="minorEastAsia" w:cstheme="minorEastAsia" w:hint="eastAsia"/>
          <w:sz w:val="21"/>
          <w:szCs w:val="21"/>
        </w:rPr>
        <w:t>中标单位</w:t>
      </w:r>
      <w:r>
        <w:rPr>
          <w:rFonts w:asciiTheme="minorEastAsia" w:eastAsiaTheme="minorEastAsia" w:hAnsiTheme="minorEastAsia" w:cstheme="minorEastAsia" w:hint="eastAsia"/>
          <w:sz w:val="21"/>
          <w:szCs w:val="21"/>
          <w:shd w:val="clear" w:color="auto" w:fill="FFFFFF"/>
        </w:rPr>
        <w:t>并作为后续考核依据。</w:t>
      </w:r>
    </w:p>
    <w:tbl>
      <w:tblPr>
        <w:tblStyle w:val="TableNormal"/>
        <w:tblW w:w="8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06"/>
        <w:gridCol w:w="4039"/>
        <w:gridCol w:w="820"/>
        <w:gridCol w:w="2978"/>
      </w:tblGrid>
      <w:tr>
        <w:tblPrEx>
          <w:tblW w:w="8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50"/>
          <w:jc w:val="center"/>
        </w:trPr>
        <w:tc>
          <w:tcPr>
            <w:tcW w:w="806"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项目</w:t>
            </w:r>
          </w:p>
        </w:tc>
        <w:tc>
          <w:tcPr>
            <w:tcW w:w="4039"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考核标准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分值</w:t>
            </w:r>
          </w:p>
        </w:tc>
        <w:tc>
          <w:tcPr>
            <w:tcW w:w="2978"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考核要点</w:t>
            </w:r>
          </w:p>
        </w:tc>
      </w:tr>
      <w:tr>
        <w:tblPrEx>
          <w:tblW w:w="8643" w:type="dxa"/>
          <w:jc w:val="center"/>
          <w:tblLayout w:type="fixed"/>
          <w:tblCellMar>
            <w:top w:w="0" w:type="dxa"/>
            <w:left w:w="108" w:type="dxa"/>
            <w:bottom w:w="0" w:type="dxa"/>
            <w:right w:w="108" w:type="dxa"/>
          </w:tblCellMar>
        </w:tblPrEx>
        <w:trPr>
          <w:trHeight w:val="1895"/>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基</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础</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5</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基</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础</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5</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对医院后勤管理建立健全各项管理制度，各岗位工作标准，并制定具体的落实措施和考核办法；按要求配备各岗位工作人员，所有人员统一着装，佩戴工卡，礼貌服务，无投诉，严格岗位职责，按时上下班；按要求为员工购买医社保；定期进行体格检查，员工身体健康，形象良好；管理处服务人员的配备符合规定标准；建立培训计划和培训制度定期组织培训、考核。</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一项不符合要求的扣0.2分。发现与物业员工责任相关投诉属实，每次扣0.5分和视情况，并按照后勤即时处罚管理制度扣罚。</w:t>
            </w:r>
          </w:p>
        </w:tc>
      </w:tr>
      <w:tr>
        <w:tblPrEx>
          <w:tblW w:w="8643" w:type="dxa"/>
          <w:jc w:val="center"/>
          <w:tblLayout w:type="fixed"/>
          <w:tblCellMar>
            <w:top w:w="0" w:type="dxa"/>
            <w:left w:w="108" w:type="dxa"/>
            <w:bottom w:w="0" w:type="dxa"/>
            <w:right w:w="108" w:type="dxa"/>
          </w:tblCellMar>
        </w:tblPrEx>
        <w:trPr>
          <w:trHeight w:val="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（2）每月10日前上交当月排班表及上月各部门考勤表、排班表、签到表、花名册等复印件盖章版至总务办留底。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trike/>
                <w:sz w:val="21"/>
                <w:szCs w:val="21"/>
              </w:rPr>
            </w:pPr>
            <w:r>
              <w:rPr>
                <w:rFonts w:asciiTheme="minorEastAsia" w:eastAsiaTheme="minorEastAsia" w:hAnsiTheme="minorEastAsia" w:cstheme="minorEastAsia" w:hint="eastAsia"/>
                <w:sz w:val="21"/>
                <w:szCs w:val="21"/>
              </w:rPr>
              <w:t>未按要求的扣0.2分。</w:t>
            </w:r>
          </w:p>
        </w:tc>
      </w:tr>
      <w:tr>
        <w:tblPrEx>
          <w:tblW w:w="8643" w:type="dxa"/>
          <w:jc w:val="center"/>
          <w:tblLayout w:type="fixed"/>
          <w:tblCellMar>
            <w:top w:w="0" w:type="dxa"/>
            <w:left w:w="108" w:type="dxa"/>
            <w:bottom w:w="0" w:type="dxa"/>
            <w:right w:w="108" w:type="dxa"/>
          </w:tblCellMar>
        </w:tblPrEx>
        <w:trPr>
          <w:trHeight w:val="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（3）合同约定的相关工种人员应做到持证上岗，员工统一着装，佩戴明显标志，工作规范、作风严谨。</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每发现1个特殊工种人员无相应的上岗操作证书扣0.2分；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发现超过5次无证上岗后，每发现一次在扣分的基础上加罚1000元。着装及标准一项不符合扣0.1分。</w:t>
            </w:r>
          </w:p>
        </w:tc>
      </w:tr>
      <w:tr>
        <w:tblPrEx>
          <w:tblW w:w="8643" w:type="dxa"/>
          <w:jc w:val="center"/>
          <w:tblLayout w:type="fixed"/>
          <w:tblCellMar>
            <w:top w:w="0" w:type="dxa"/>
            <w:left w:w="108" w:type="dxa"/>
            <w:bottom w:w="0" w:type="dxa"/>
            <w:right w:w="108" w:type="dxa"/>
          </w:tblCellMar>
        </w:tblPrEx>
        <w:trPr>
          <w:trHeight w:val="1277"/>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（4）建立24小时值班制度,设立服务电话,接受医务人员或患者对后勤服务的求助、建议、问询、质疑、投诉等，建立相应的回访制度，并能提供相应的处理记录。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不礼貌接待和处理投诉、态度不好，扣0.2分，受理后没有回访记录、信息反馈，每次扣0.1分受理后处理不及时造成事故，扣0.2分，并追究责任。</w:t>
            </w:r>
          </w:p>
        </w:tc>
      </w:tr>
      <w:tr>
        <w:tblPrEx>
          <w:tblW w:w="8643" w:type="dxa"/>
          <w:jc w:val="center"/>
          <w:tblLayout w:type="fixed"/>
          <w:tblCellMar>
            <w:top w:w="0" w:type="dxa"/>
            <w:left w:w="108" w:type="dxa"/>
            <w:bottom w:w="0" w:type="dxa"/>
            <w:right w:w="108" w:type="dxa"/>
          </w:tblCellMar>
        </w:tblPrEx>
        <w:trPr>
          <w:trHeight w:val="718"/>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（5）各类后勤管理机电设施设备档案资料标识明确，分类成册，形成档案，管理完善，查阅方便。</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公用设施设备大中修记录、保养记录，公用设施设备的设计安装图纸资料和台账。文件脏乱,每发现一处扣0.2分。</w:t>
            </w:r>
          </w:p>
        </w:tc>
      </w:tr>
      <w:tr>
        <w:tblPrEx>
          <w:tblW w:w="8643" w:type="dxa"/>
          <w:jc w:val="center"/>
          <w:tblLayout w:type="fixed"/>
          <w:tblCellMar>
            <w:top w:w="0" w:type="dxa"/>
            <w:left w:w="108" w:type="dxa"/>
            <w:bottom w:w="0" w:type="dxa"/>
            <w:right w:w="108" w:type="dxa"/>
          </w:tblCellMar>
        </w:tblPrEx>
        <w:trPr>
          <w:trHeight w:val="929"/>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安全管理：有无安全保障制度；有无安全生产责任制；有无安全生产目标；有无安全生产措施；有无安全检查制度；有无安全管理三级教育制度；有无坚持事故处理“三不放过”原则；有无制定安全管理应急预案。</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无制度、计划、方案扣0.1分，未按制度、规程操作扣0.1分。</w:t>
            </w:r>
          </w:p>
        </w:tc>
      </w:tr>
      <w:tr>
        <w:tblPrEx>
          <w:tblW w:w="8643" w:type="dxa"/>
          <w:jc w:val="center"/>
          <w:tblLayout w:type="fixed"/>
          <w:tblCellMar>
            <w:top w:w="0" w:type="dxa"/>
            <w:left w:w="108" w:type="dxa"/>
            <w:bottom w:w="0" w:type="dxa"/>
            <w:right w:w="108" w:type="dxa"/>
          </w:tblCellMar>
        </w:tblPrEx>
        <w:trPr>
          <w:trHeight w:val="18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会议室管理：会议接待文员，年龄符合合同要求，五官端正，熟练掌握会议室各种设备、设施的使用和管理，做好会前、会中、会后服务，包括会议桌椅摆放、保证绿植鲜活、座位牌制作、欢迎词及横幅内容输出、茶水及茶歇准备，及时安排好其他会务需求，进入会场服务时听到的会议内容不对他人传播。</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一项不符合要求扣0.1分，传播会议内容扣0.1分。</w:t>
            </w:r>
          </w:p>
        </w:tc>
      </w:tr>
      <w:tr>
        <w:tblPrEx>
          <w:tblW w:w="8643" w:type="dxa"/>
          <w:jc w:val="center"/>
          <w:tblLayout w:type="fixed"/>
          <w:tblCellMar>
            <w:top w:w="0" w:type="dxa"/>
            <w:left w:w="108" w:type="dxa"/>
            <w:bottom w:w="0" w:type="dxa"/>
            <w:right w:w="108" w:type="dxa"/>
          </w:tblCellMar>
        </w:tblPrEx>
        <w:trPr>
          <w:trHeight w:val="1367"/>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（8）实行首问负责制，与医院有关的突发事件，应及时上报医院部门或领导。并立即对事件进行处理。对院方安排的有关事务的处理，应及时地做好跟踪、落实及反馈。</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在能力范围之内没有立即处理、报告扣0.1分，并视情追究责任。对院方下发的文件、通知（含口头）和任务，没有及时传达、通知到位，每项次扣0.1分，任务没完成或质量达不到标准，扣0.1分。</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2、</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环</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境</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卫</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生</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服</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30</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2、</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环</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境</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卫</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生</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服</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30</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7837" w:type="dxa"/>
            <w:gridSpan w:val="3"/>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一、基础要求（0.6分）</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（1）员工统一着装、佩戴工牌，仪容仪表规范</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发现一处不规范扣0.05分，扣完为止。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numPr>
                <w:ilvl w:val="0"/>
                <w:numId w:val="23"/>
              </w:numPr>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 xml:space="preserve"> 使用文明用语，态度友善</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发现一次态度欠佳扣0.05分，扣完为止。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numPr>
                <w:ilvl w:val="0"/>
                <w:numId w:val="23"/>
              </w:numPr>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遵守工作</w:t>
            </w:r>
            <w:r>
              <w:rPr>
                <w:rFonts w:asciiTheme="minorEastAsia" w:eastAsiaTheme="minorEastAsia" w:hAnsiTheme="minorEastAsia" w:cstheme="minorEastAsia" w:hint="eastAsia"/>
                <w:color w:val="000000"/>
                <w:kern w:val="0"/>
                <w:sz w:val="21"/>
                <w:szCs w:val="21"/>
                <w:lang w:eastAsia="zh-CN"/>
              </w:rPr>
              <w:t>纪</w:t>
            </w:r>
            <w:r>
              <w:rPr>
                <w:rFonts w:asciiTheme="minorEastAsia" w:eastAsiaTheme="minorEastAsia" w:hAnsiTheme="minorEastAsia" w:cstheme="minorEastAsia" w:hint="eastAsia"/>
                <w:color w:val="000000"/>
                <w:kern w:val="0"/>
                <w:sz w:val="21"/>
                <w:szCs w:val="21"/>
              </w:rPr>
              <w:t>律，不能迟到早退</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发现一次迟到早退扣0.05分，扣完为止。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7837" w:type="dxa"/>
            <w:gridSpan w:val="3"/>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sz w:val="21"/>
                <w:szCs w:val="21"/>
              </w:rPr>
              <w:t>二、制度管理（0.6分）</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（1）设置环境卫生管理制度，明确岗位职责。</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发现一处缺项或不完善扣0.1分，扣完为止。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（2）制定年度、月度工作计划并落实，形成工作总结。</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工作无总结扣0.1分，无落实扣0.2分，无计划扣0.3分，扣完为止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7837" w:type="dxa"/>
            <w:gridSpan w:val="3"/>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三、人员管理（1分）</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（1）制定年度、月度培训计划并落实，培训记录成册留存。</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计划未落实扣0.1分，培训无计划扣0.2分，扣完为止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CommentText"/>
              <w:pageBreakBefore w:val="0"/>
              <w:kinsoku/>
              <w:wordWrap/>
              <w:overflowPunct/>
              <w:autoSpaceDE/>
              <w:autoSpaceDN/>
              <w:bidi w:val="0"/>
              <w:adjustRightInd/>
              <w:spacing w:line="360" w:lineRule="auto"/>
              <w:ind w:firstLine="0" w:firstLineChars="0"/>
              <w:jc w:val="both"/>
              <w:textAlignment w:val="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sz w:val="21"/>
                <w:szCs w:val="21"/>
              </w:rPr>
              <w:t>（2）人员未按照招投标文件配置</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0.8</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发现一处缺岗或少岗扣0.2分，扣完为止。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tabs>
                <w:tab w:val="left" w:pos="1047"/>
              </w:tabs>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四、设备设施（1.2分）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4039" w:type="dxa"/>
            <w:vAlign w:val="center"/>
          </w:tcPr>
          <w:p>
            <w:pPr>
              <w:pStyle w:val="ListParagraph"/>
              <w:pageBreakBefore w:val="0"/>
              <w:numPr>
                <w:ilvl w:val="0"/>
                <w:numId w:val="2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环卫设施齐全，配置固定的清洁清扫工具。</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每发现一项配备不齐扣0.05分，扣完为止。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地巾布巾配置数量满足临床使用需求。</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发现一处不满足扣0.1分，扣完为止。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基本设备齐全，与投标文件清单一致。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发现一处配置不齐扣0.1分，扣完为止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制定并完善设施设备台账，登记清晰并及时更新。</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未建立台账扣0.4分，有台账不完善扣0.2分。</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7837" w:type="dxa"/>
            <w:gridSpan w:val="3"/>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五、医疗区域（2.8分）</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地面、墙壁等建筑无灰尘、污渍、蜘蛛网，无乱张贴。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标识标牌等指示设施无灰尘、破损、翘边，干净整洁，无乱张贴。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病床、桌子、椅子等设施设备无污渍、灰尘、垃圾。</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洗手间无积水、异味，马桶无堵塞或堵塞及时处理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tblHeade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污物间内无积水，无灰尘、无晾晒、干净整洁、清洁用具摆放整齐。</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垃圾桶外表干净，每日清倒，污物量不能超过桶体2/3，无破损。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医疗废物按规定分类、收集、登记。</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六、行政区域（3.5分）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地面、墙壁等建筑无灰尘、污渍、蜘蛛网，无乱张贴。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标识标牌等指示设施无灰尘、破损、翘边，干净整洁，无乱张贴。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管井、各种开关、照明灯罩等公共设施设备无污渍、灰尘、手印、蜘蛛网。</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办公设施及家具无灰尘、无污迹、无破损。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垃圾桶外表干净，每日清倒，污物量不能超过桶体2/3，无破损。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洗手间无积水、异味，马桶无堵塞或堵塞及时处理，无乱张贴。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6"/>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电梯厅门、门框无污渍、灰尘。轿厢壁板无污渍、灰尘，无乱张贴。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七、公共洗手间（3.5分）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地面、墙壁等建筑无灰尘、污渍、蜘蛛网，无乱张贴。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镜子、水龙头等设施设备无污渍、灰尘、水印，无损坏。</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小便器无尿碱、水锈印迹（黄渍）、无污垢，喷水嘴应洁净，除臭球每周更换一次。</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大便器内外洁净，无大便痕迹，无污垢黄渍。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垃圾桶外表干净，每日清倒，污物量不能超过桶体2/3，无破损。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清洁用具（清洁剂、清扫工具）按指定位置分类放置。</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7"/>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标识标牌等指示设施无灰尘、破损、翘边，干净整洁，无乱张贴。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八、室内公共区域（3.5分）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地面、墙壁等公共建筑无灰尘、污迹、烟头、垃圾，无乱张贴。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标识标牌等指示设施无灰尘、破损、翘边，干净整洁，无乱张贴。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桌子、椅子等公共设施设备无污渍、灰尘、垃圾，无乱张贴。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电梯厅门、门框无污渍、灰尘。轿厢壁板无污渍、灰尘，无乱张贴。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停车场内无污渍、垃圾、烟头、无破损，排水井无杂物。</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垃圾桶外表干净，每日清倒，污物量不能超过桶体2/3，无破损，且生活垃圾和可回收垃圾桶成对出现。</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8"/>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阴雨天气或拖地时，防滑措施到位。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九、室外公共区域（4.5分）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地面、墙壁、雨棚、屋面（天台）等公共建筑无灰尘、污迹、烟头、垃圾，无乱张贴。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草坪、灌木等绿化区域无烟头、垃圾、无积水。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垃圾桶外表干净，每日清倒，污物量不能超过桶体2/3，无破损。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标识标牌等指示设施无灰尘、破损、翘边，干净整洁，无乱张贴。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管井、各种开关、照明灯罩等公共设施设备无污渍、灰尘、手印、蜘蛛网。</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雨水管道等设施无杂物、无堵塞，保持畅通。</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停车场内无污渍、垃圾、烟头、无破损，排水井无杂物。</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阴雨天气或拖地后，防滑措施到位。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29"/>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污水井、雨水井及时疏通清理，每月至少进行一次化粪池压榨清掏并消毒处理，作业符合环保要求。</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十、</w:t>
            </w:r>
            <w:r>
              <w:rPr>
                <w:rFonts w:asciiTheme="minorEastAsia" w:eastAsiaTheme="minorEastAsia" w:hAnsiTheme="minorEastAsia" w:cstheme="minorEastAsia" w:hint="eastAsia"/>
                <w:b/>
                <w:bCs/>
                <w:color w:val="000000"/>
                <w:kern w:val="0"/>
                <w:sz w:val="21"/>
                <w:szCs w:val="21"/>
              </w:rPr>
              <w:t>宿舍卫生（含值班房、专家房）（1分）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0"/>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房间地板、窗台台面、卫生间等地方干净无水渍，无可见垃圾。衣柜门等</w:t>
            </w:r>
            <w:r>
              <w:rPr>
                <w:rFonts w:asciiTheme="minorEastAsia" w:eastAsiaTheme="minorEastAsia" w:hAnsiTheme="minorEastAsia" w:cstheme="minorEastAsia" w:hint="eastAsia"/>
                <w:color w:val="000000"/>
                <w:kern w:val="0"/>
                <w:sz w:val="21"/>
                <w:szCs w:val="21"/>
                <w:lang w:eastAsia="zh-CN"/>
              </w:rPr>
              <w:t>室</w:t>
            </w:r>
            <w:r>
              <w:rPr>
                <w:rFonts w:asciiTheme="minorEastAsia" w:eastAsiaTheme="minorEastAsia" w:hAnsiTheme="minorEastAsia" w:cstheme="minorEastAsia" w:hint="eastAsia"/>
                <w:color w:val="000000"/>
                <w:kern w:val="0"/>
                <w:sz w:val="21"/>
                <w:szCs w:val="21"/>
              </w:rPr>
              <w:t>内设施无污渍或明显灰尘，物品摆放整齐。</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0"/>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为值班房、专家房、进修人员宿舍、特殊午休房（如有）更换床上用品，检查和补充物资，发现设施损坏需报告总务科。</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0"/>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完成总务科提出的相关工作，如新增或撤销午休房。</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十一、搬运服务（1分）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color w:val="000000"/>
                <w:kern w:val="0"/>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1"/>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有计划及时响应搬运任务，服从安排。</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1"/>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搬运过程中物品碰撞或损坏严重。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1"/>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物品搬运后摆放整齐，清洁干净。</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color w:val="000000"/>
                <w:kern w:val="0"/>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十一、</w:t>
            </w:r>
            <w:r>
              <w:rPr>
                <w:rFonts w:asciiTheme="minorEastAsia" w:eastAsiaTheme="minorEastAsia" w:hAnsiTheme="minorEastAsia" w:cstheme="minorEastAsia" w:hint="eastAsia"/>
                <w:b/>
                <w:bCs/>
                <w:color w:val="000000"/>
                <w:kern w:val="0"/>
                <w:sz w:val="21"/>
                <w:szCs w:val="21"/>
              </w:rPr>
              <w:t>垃圾暂存点（1.8分）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2"/>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物品摆放整齐，</w:t>
            </w:r>
            <w:r>
              <w:rPr>
                <w:rFonts w:asciiTheme="minorEastAsia" w:eastAsiaTheme="minorEastAsia" w:hAnsiTheme="minorEastAsia" w:cstheme="minorEastAsia" w:hint="eastAsia"/>
                <w:color w:val="000000"/>
                <w:kern w:val="0"/>
                <w:sz w:val="21"/>
                <w:szCs w:val="21"/>
                <w:lang w:eastAsia="zh-CN"/>
              </w:rPr>
              <w:t>室</w:t>
            </w:r>
            <w:r>
              <w:rPr>
                <w:rFonts w:asciiTheme="minorEastAsia" w:eastAsiaTheme="minorEastAsia" w:hAnsiTheme="minorEastAsia" w:cstheme="minorEastAsia" w:hint="eastAsia"/>
                <w:color w:val="000000"/>
                <w:kern w:val="0"/>
                <w:sz w:val="21"/>
                <w:szCs w:val="21"/>
              </w:rPr>
              <w:t>内干净无垃圾附着物、无积水、无异味，做到每日清洗。</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2"/>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标识标牌等指示设施无灰尘、破损、翘边，干净整洁，无乱张贴。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2"/>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做好交接，医废48小时内转运，厨余及生活垃圾24小时内转运，相关资料登记清楚，保存完整。</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2"/>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设施设备完好，无损坏。</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2"/>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做好防蚊、防鼠、防螂等措施。</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2"/>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注意垃圾处理方式方法，避免噪音产生。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十一、地巾清洗中心（0.8）</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3"/>
              </w:numPr>
              <w:tabs>
                <w:tab w:val="left" w:pos="0"/>
              </w:tabs>
              <w:kinsoku/>
              <w:wordWrap/>
              <w:overflowPunct/>
              <w:autoSpaceDE/>
              <w:autoSpaceDN/>
              <w:bidi w:val="0"/>
              <w:spacing w:line="360" w:lineRule="auto"/>
              <w:ind w:left="0"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室内环境干净，按时清洁消毒，无积灰污垢等；</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3"/>
              </w:numPr>
              <w:tabs>
                <w:tab w:val="left" w:pos="0"/>
              </w:tabs>
              <w:kinsoku/>
              <w:wordWrap/>
              <w:overflowPunct/>
              <w:autoSpaceDE/>
              <w:autoSpaceDN/>
              <w:bidi w:val="0"/>
              <w:spacing w:line="360" w:lineRule="auto"/>
              <w:ind w:left="0"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符合院感要求，季度抽查合格（物体表面及手卫生）。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十二、</w:t>
            </w:r>
            <w:r>
              <w:rPr>
                <w:rFonts w:asciiTheme="minorEastAsia" w:eastAsiaTheme="minorEastAsia" w:hAnsiTheme="minorEastAsia" w:cstheme="minorEastAsia" w:hint="eastAsia"/>
                <w:b/>
                <w:bCs/>
                <w:color w:val="000000"/>
                <w:kern w:val="0"/>
                <w:sz w:val="21"/>
                <w:szCs w:val="21"/>
              </w:rPr>
              <w:t>病媒生物防治（1.2分）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按规定和院方要求做好消杀工作，查看消杀记录。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消杀人员具备相应资质，符合上级部门检查要求。</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使用的消杀药物符合上级最新文件规定。</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4"/>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消杀药物配置浓度符合要求。</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0.3</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十三、绿化养护（3分）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草坪及景观树木修剪定期修剪（至少每季度一次）。</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绿植花卉摆放有序，无残花落叶，干净美观，长势良好。</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主要出入口等重点区域美化布置，季节性和观赏性强。</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绿植花卉定期除害及养护。</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院内区域无黄土裸露或大面积绿植干枯。</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Style w:val="ListParagraph"/>
              <w:pageBreakBefore w:val="0"/>
              <w:numPr>
                <w:ilvl w:val="0"/>
                <w:numId w:val="35"/>
              </w:numPr>
              <w:tabs>
                <w:tab w:val="left" w:pos="0"/>
              </w:tabs>
              <w:kinsoku/>
              <w:wordWrap/>
              <w:overflowPunct/>
              <w:autoSpaceDE/>
              <w:autoSpaceDN/>
              <w:bidi w:val="0"/>
              <w:spacing w:line="360" w:lineRule="auto"/>
              <w:ind w:left="0"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绿化垃圾及时转运处理。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color w:val="000000"/>
                <w:kern w:val="0"/>
                <w:sz w:val="21"/>
                <w:szCs w:val="21"/>
              </w:rPr>
              <w:t>发现一处不合格扣0.1分，扣完为止。</w:t>
            </w:r>
          </w:p>
        </w:tc>
      </w:tr>
      <w:tr>
        <w:tblPrEx>
          <w:tblW w:w="8643" w:type="dxa"/>
          <w:jc w:val="center"/>
          <w:tblLayout w:type="fixed"/>
          <w:tblCellMar>
            <w:top w:w="0" w:type="dxa"/>
            <w:left w:w="108" w:type="dxa"/>
            <w:bottom w:w="0" w:type="dxa"/>
            <w:right w:w="108" w:type="dxa"/>
          </w:tblCellMar>
        </w:tblPrEx>
        <w:trPr>
          <w:trHeight w:val="365"/>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3、</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机</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电</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工</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程</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16</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3、</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机</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电</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工</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程</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16</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3、</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机</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电</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工</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程</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16</w:t>
            </w: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一、综合要求（2分）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2978" w:type="dxa"/>
            <w:vAlign w:val="center"/>
          </w:tcPr>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b/>
                <w:sz w:val="21"/>
                <w:szCs w:val="21"/>
              </w:rPr>
            </w:pPr>
          </w:p>
        </w:tc>
      </w:tr>
      <w:tr>
        <w:tblPrEx>
          <w:tblW w:w="8643" w:type="dxa"/>
          <w:jc w:val="center"/>
          <w:tblLayout w:type="fixed"/>
          <w:tblCellMar>
            <w:top w:w="0" w:type="dxa"/>
            <w:left w:w="108" w:type="dxa"/>
            <w:bottom w:w="0" w:type="dxa"/>
            <w:right w:w="108" w:type="dxa"/>
          </w:tblCellMar>
        </w:tblPrEx>
        <w:trPr>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机电部员工应按规定技术要求聘用，各工种和岗位严格按医院标准定员定岗。班组人员搭配，要按高、中低技术等级合理搭配，不同的技术工种有不同技术人员，各种专业人员都有国家颁发的上岗证，坚决杜绝无证上岗。</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0.4</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机电员工技术水平达不到工作要求扣0.2分，不能按合同要求进行定员定岗，每例扣0.2分，部门运作制度、方案、程序不全每项扣0.1分，各项检查、维修、保养记录不全扣0.2分。达不到规定的人数和标准缺一人扣0.2分，发现无证操作每人次扣0.1分，直至本项扣完，并追究当事人和领导责任。</w:t>
            </w:r>
          </w:p>
        </w:tc>
      </w:tr>
      <w:tr>
        <w:tblPrEx>
          <w:tblW w:w="8643" w:type="dxa"/>
          <w:jc w:val="center"/>
          <w:tblLayout w:type="fixed"/>
          <w:tblCellMar>
            <w:top w:w="0" w:type="dxa"/>
            <w:left w:w="108" w:type="dxa"/>
            <w:bottom w:w="0" w:type="dxa"/>
            <w:right w:w="108" w:type="dxa"/>
          </w:tblCellMar>
        </w:tblPrEx>
        <w:trPr>
          <w:trHeight w:val="18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（2）制定设备安全运行操作规程和管理方案，实施岗位责任制，建立并执行维修档案管理制度，现场实行文明生产管理。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维护保养无计划方案、无巡查、巡查无记录，每项扣0.2分，机电保障、维修问题得不到及时处理扣0.2分，设备、机房等处有杂物、灰尘、污渍、渗水、油，环境卫生不符合标准，发现一处扣0.2分，无责任人，扣0.2分。</w:t>
            </w:r>
          </w:p>
        </w:tc>
      </w:tr>
      <w:tr>
        <w:tblPrEx>
          <w:tblW w:w="8643" w:type="dxa"/>
          <w:jc w:val="center"/>
          <w:tblLayout w:type="fixed"/>
          <w:tblCellMar>
            <w:top w:w="0" w:type="dxa"/>
            <w:left w:w="108" w:type="dxa"/>
            <w:bottom w:w="0" w:type="dxa"/>
            <w:right w:w="108" w:type="dxa"/>
          </w:tblCellMar>
        </w:tblPrEx>
        <w:trPr>
          <w:trHeight w:val="82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（4）严密组织对机电设备的运行状态巡查，记录齐全。对设备维护、保养做到有计划、有措施，设备能完好，正常运行。</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一项不符合扣0.2分。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5）对临床科室的各种报修及时维修。建立健全维修制度和程序，对各种报修及时准确地修复。社康中心各种报修24小时内响应。值班员接到报修任务后，3分钟内通知维修部门，确认报修完成时间。对维修进行跟踪、督办、及时反馈。对重大报修和紧急报修，立即通知抢修，并报告领导。 </w:t>
            </w:r>
            <w:r>
              <w:rPr>
                <w:rFonts w:asciiTheme="minorEastAsia" w:eastAsiaTheme="minorEastAsia" w:hAnsiTheme="minorEastAsia" w:cstheme="minorEastAsia" w:hint="eastAsia"/>
                <w:kern w:val="0"/>
                <w:sz w:val="21"/>
                <w:szCs w:val="21"/>
              </w:rPr>
              <w:t xml:space="preserve"> </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维修有记录但没有修复，影响正常工作，情况属实，每处扣0.2分。维修每超一次响应时限扣0.2分。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（6）机电人员严格遵守操作规程，各值班岗位严格遵守值班规定，遵守劳动纪律。现场符合安全生产和文明行为要求。保持设备及机房环境整洁，无杂物、无鼠虫害发生。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发现一次违反规定扣0.2分，不听从监管员合理的管理指挥扣0.2分，因玩忽职守造成后果，扣0.2分，并追究责任。</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（7）有应急处理机电故障和临时停送电工作方案、应急措施；医院无故障停电。全年无管理责任事故发生。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机电负责人、值班员不了解院内设备的运行状态扣0.2分，随意停电或故障停电查不出原因每次扣0.2分，因此导致后果视情节轻重另行处罚。发生责任事故，追究责任。</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（8）经常组织员工进行培训，提高技术水平，根据工作业务量变化配置人员，定期向院管理科室上报机电设备的运行状况和参数。</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年度有培训计划、成立技术攻关小组，一项不符合扣0.2分，机电部技术力量满足不了医院工作需要扣0.2分，引发后果要追究责任。各种上报材料参数不准确、不及时，每项扣0.2分。</w:t>
            </w:r>
          </w:p>
        </w:tc>
      </w:tr>
      <w:tr>
        <w:tblPrEx>
          <w:tblW w:w="8643" w:type="dxa"/>
          <w:jc w:val="center"/>
          <w:tblLayout w:type="fixed"/>
          <w:tblCellMar>
            <w:top w:w="0" w:type="dxa"/>
            <w:left w:w="108" w:type="dxa"/>
            <w:bottom w:w="0" w:type="dxa"/>
            <w:right w:w="108" w:type="dxa"/>
          </w:tblCellMar>
        </w:tblPrEx>
        <w:trPr>
          <w:trHeight w:val="208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9）提供高质量设施、设备维修服务，不能解决的故障要立即向上级部门汇报，严禁隐瞒不报。对低压配电柜、控制柜、干式变压器、发电机（停、送电）、配电房、空调、给排水系统等处的管理有各自的工作制度、工作职责、工作程序、流程图、应急方案。</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维修质量达不到标准，维修不及时，扣0.2分，工作规定、程序不健全，扣0.2分，隐瞒故障、整改不力每项扣0.1分，并追究责任。对全院机电每个系统、部门、不同的库站均应有制度、职能、程序或流程图健全并上墙，不符合每处扣0.2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（10）日常维修单个、单价300元（含300元）以下耗材费用由物业公司负责，物业公司提供目录清单，每月按要求配齐目录内清单，并将上月各科室确认的单个、单价300元（含300元）以下耗材费用清单报备总务办。</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0.2</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发现未配备齐全的或未做好台账记录的，每次扣0.2分。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二、</w:t>
            </w:r>
            <w:r>
              <w:rPr>
                <w:rFonts w:asciiTheme="minorEastAsia" w:eastAsiaTheme="minorEastAsia" w:hAnsiTheme="minorEastAsia" w:cstheme="minorEastAsia" w:hint="eastAsia"/>
                <w:b/>
                <w:bCs/>
                <w:sz w:val="21"/>
                <w:szCs w:val="21"/>
              </w:rPr>
              <w:t>供电系统（5.5分）</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（1）保证正常供电，对停电有明确的审批权限并按规定时间通知到位。</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（2）制定临时用电管理措施与停电应急处理措施并严格执行。</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无计划的突发停电，电工应在5分内赶到现场处理。无特殊情况超过5分钟后每5分钟扣罚500元，没有停电应急措施扣0.5分。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（3）高低压供配电设备、柴油发电机系统的维护，按计划完成巡检（日检、月检、年检），高压设备预防性试验、柴油发电机空载/带载测试等频次符合要求，并记录完整</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（4）备用应急发电机可随时启用，电缆沟盖板无损坏，沟内无长期积水，供电正常，经常维护，杜绝线路故障。</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（5）做好供配电设备的日常保养，所有计划外停电要求10分钟内恢复。</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出现一次扣1分。</w:t>
            </w:r>
          </w:p>
        </w:tc>
      </w:tr>
      <w:tr>
        <w:tblPrEx>
          <w:tblW w:w="8643" w:type="dxa"/>
          <w:jc w:val="center"/>
          <w:tblLayout w:type="fixed"/>
          <w:tblCellMar>
            <w:top w:w="0" w:type="dxa"/>
            <w:left w:w="108" w:type="dxa"/>
            <w:bottom w:w="0" w:type="dxa"/>
            <w:right w:w="108" w:type="dxa"/>
          </w:tblCellMar>
        </w:tblPrEx>
        <w:trPr>
          <w:trHeight w:val="31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三、给排水系统（2分）</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（1）共同成立用水管理制度，积极协助医院安全合理地用水和制定节水计划，设备、阀门管理正常，无跑冒滴漏。</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numPr>
                <w:ilvl w:val="0"/>
                <w:numId w:val="36"/>
              </w:numPr>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排水系统通畅，汛期道路无积水，地下室、车库、设备房无积水、浸泡发生。雨水管道、化粪池、排水管道无堵塞，水流畅通无阻，无破损等</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每发现一处不符合扣0.5分。</w:t>
            </w:r>
          </w:p>
        </w:tc>
      </w:tr>
      <w:tr>
        <w:tblPrEx>
          <w:tblW w:w="8643" w:type="dxa"/>
          <w:jc w:val="center"/>
          <w:tblLayout w:type="fixed"/>
          <w:tblCellMar>
            <w:top w:w="0" w:type="dxa"/>
            <w:left w:w="108" w:type="dxa"/>
            <w:bottom w:w="0" w:type="dxa"/>
            <w:right w:w="108" w:type="dxa"/>
          </w:tblCellMar>
        </w:tblPrEx>
        <w:trPr>
          <w:trHeight w:val="6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（3）遇有事故，维修人员应立刻进行抢修，无大面积跑水、泛水，长时间停水现象。</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四、太阳能系统(1分)</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太阳能系统正常运行，热水正常供应，太阳能板、管道、存水箱、阀门等无跑冒滴漏现象发生。</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每发生一次不符合扣0.5分。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五、空调管理（2分）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（1）空调维修管理人员实时记录空调运行的各项数据，随机处理当班空调主机发生的故障。</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（2）空调系统出现故障，维修人员及时到达现场维修。</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kern w:val="0"/>
                <w:sz w:val="21"/>
                <w:szCs w:val="21"/>
              </w:rPr>
              <w:t>（3）空调盘管、主机按规定要求清洗,室内过滤网每月清洗1次，冬季做好主机及盘管、空调排水管疏通、维护保养至少1次。做好各项清洗保养数据的记录并存档。</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w:t>
            </w:r>
          </w:p>
        </w:tc>
        <w:tc>
          <w:tcPr>
            <w:tcW w:w="2978" w:type="dxa"/>
            <w:vAlign w:val="center"/>
          </w:tcPr>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无清洗、保养记录等各扣 0.5分。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355"/>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六、分体空调管理（2分）</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（1）面板、过滤网每月清洗擦拭或清洗1次。</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（2）分体空调一般故障维修当天完成,较大故障维修48小时内完成</w:t>
            </w:r>
            <w:r>
              <w:rPr>
                <w:rFonts w:asciiTheme="minorEastAsia" w:eastAsiaTheme="minorEastAsia" w:hAnsiTheme="minorEastAsia" w:cstheme="minorEastAsia" w:hint="eastAsia"/>
                <w:kern w:val="0"/>
                <w:sz w:val="21"/>
                <w:szCs w:val="21"/>
                <w:lang w:eastAsia="zh-CN"/>
              </w:rPr>
              <w:t>。</w:t>
            </w:r>
            <w:r>
              <w:rPr>
                <w:rFonts w:asciiTheme="minorEastAsia" w:eastAsiaTheme="minorEastAsia" w:hAnsiTheme="minorEastAsia" w:cstheme="minorEastAsia" w:hint="eastAsia"/>
                <w:kern w:val="0"/>
                <w:sz w:val="21"/>
                <w:szCs w:val="21"/>
              </w:rPr>
              <w:t>特殊故障视情况而定。</w:t>
            </w:r>
          </w:p>
          <w:p>
            <w:pPr>
              <w:pStyle w:val="BodyText"/>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val="0"/>
                <w:bCs w:val="0"/>
                <w:kern w:val="0"/>
                <w:sz w:val="21"/>
                <w:szCs w:val="21"/>
              </w:rPr>
              <w:t>（3）对影像科机房所有空调排水管进行疏通，并且增加疏通次数，暂定1个月1次。 所有核磁机房1个月2次，每次疏通排水管要求有登记记录。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一项不达标扣 0.5分。无保养记录扣0.5分。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354"/>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七、其他设备维修（2分）</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（1）道路、楼道、大堂、介绍栏、模型框等公共照明完好。灯光照度达到《医疗建筑电气设计规范》（JGJ312-2013）规范要求，射灯无损坏，照明正常，灭蚊灯正常使用。</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各种照明设施得不到及时维修更换每项扣0.1分，灯柱生锈、油漆脱落、断折扣0.1分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（2）各病区候诊椅、室外排椅定期检修和保养，椅子无损坏现象。</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损坏未及时维修继续使用的,扣除0.5分。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（3）院区围墙护栏无生锈、无断裂、变形。</w:t>
            </w:r>
          </w:p>
        </w:tc>
        <w:tc>
          <w:tcPr>
            <w:tcW w:w="820" w:type="dxa"/>
            <w:tcBorders>
              <w:bottom w:val="single" w:sz="4" w:space="0" w:color="auto"/>
            </w:tcBorders>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tcBorders>
              <w:bottom w:val="single" w:sz="4" w:space="0" w:color="auto"/>
            </w:tcBorders>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（4）院内车棚无渗漏和结构损坏现象。</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lang w:val="en-US" w:eastAsia="zh-CN"/>
              </w:rPr>
            </w:pPr>
            <w:r>
              <w:rPr>
                <w:rFonts w:asciiTheme="minorEastAsia" w:eastAsiaTheme="minorEastAsia" w:hAnsiTheme="minorEastAsia" w:cstheme="minorEastAsia" w:hint="eastAsia"/>
                <w:b/>
                <w:sz w:val="21"/>
                <w:szCs w:val="21"/>
              </w:rPr>
              <w:t>4</w:t>
            </w:r>
            <w:r>
              <w:rPr>
                <w:rFonts w:asciiTheme="minorEastAsia" w:eastAsiaTheme="minorEastAsia" w:hAnsiTheme="minorEastAsia" w:cstheme="minorEastAsia" w:hint="eastAsia"/>
                <w:b/>
                <w:sz w:val="21"/>
                <w:szCs w:val="21"/>
                <w:lang w:val="en-US" w:eastAsia="zh-CN"/>
              </w:rPr>
              <w:t>.</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房</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屋</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5</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（1）每天对所负责区域房屋进行巡查，并做好记录，发现问题及时上报。</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tabs>
                <w:tab w:val="left" w:pos="15"/>
                <w:tab w:val="center" w:pos="1380"/>
              </w:tabs>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trike/>
                <w:sz w:val="21"/>
                <w:szCs w:val="21"/>
              </w:rPr>
            </w:pPr>
            <w:r>
              <w:rPr>
                <w:rFonts w:asciiTheme="minorEastAsia" w:eastAsiaTheme="minorEastAsia" w:hAnsiTheme="minorEastAsia" w:cstheme="minorEastAsia" w:hint="eastAsia"/>
                <w:sz w:val="21"/>
                <w:szCs w:val="21"/>
              </w:rPr>
              <w:t>（2）监督外委单位安装施工、装修、装饰等应符合国家建筑安全、电气安全等的有关法规和规范要求，无擅自用电、用水现象。</w:t>
            </w:r>
          </w:p>
        </w:tc>
        <w:tc>
          <w:tcPr>
            <w:tcW w:w="820" w:type="dxa"/>
            <w:vAlign w:val="center"/>
          </w:tcPr>
          <w:p>
            <w:pPr>
              <w:pageBreakBefore w:val="0"/>
              <w:tabs>
                <w:tab w:val="left" w:pos="15"/>
                <w:tab w:val="center" w:pos="1380"/>
              </w:tabs>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tabs>
                <w:tab w:val="left" w:pos="15"/>
                <w:tab w:val="center" w:pos="1380"/>
              </w:tabs>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（3）对房屋装饰装修进行监督管理，未发现危险及房屋结构安全及拆改管线现象以及无擅自用水电和违反消防安全的现象发生，防盗门、门窗完好无缺。</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（4）房屋顶棚、雨棚等干净无垃圾、无破损、无杂草；雨天渗漏要及时处理。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（5）房屋墙面、楼梯间、楼面、扶手无破损、无污迹，定期清洁。</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（6）屋面避雷设施、水箱水池性能完好。</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（7）院内道路通畅，路面平坦，保持干净，发现地面损坏及时更换地砖、维修。</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（8）根据医院的要求，制定照明计划，加强夜间巡查，针对未落实节能管理的科室做好登记，督促落实整改。</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有规定和计划，但未按要求落实巡查扣0.5分。</w:t>
            </w:r>
          </w:p>
        </w:tc>
      </w:tr>
      <w:tr>
        <w:tblPrEx>
          <w:tblW w:w="8643" w:type="dxa"/>
          <w:jc w:val="center"/>
          <w:tblLayout w:type="fixed"/>
          <w:tblCellMar>
            <w:top w:w="0" w:type="dxa"/>
            <w:left w:w="108" w:type="dxa"/>
            <w:bottom w:w="0" w:type="dxa"/>
            <w:right w:w="108" w:type="dxa"/>
          </w:tblCellMar>
        </w:tblPrEx>
        <w:trPr>
          <w:trHeight w:val="380"/>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lang w:val="en-US" w:eastAsia="zh-CN"/>
              </w:rPr>
            </w:pPr>
            <w:r>
              <w:rPr>
                <w:rFonts w:asciiTheme="minorEastAsia" w:eastAsiaTheme="minorEastAsia" w:hAnsiTheme="minorEastAsia" w:cstheme="minorEastAsia" w:hint="eastAsia"/>
                <w:b/>
                <w:sz w:val="21"/>
                <w:szCs w:val="21"/>
              </w:rPr>
              <w:t>5</w:t>
            </w:r>
            <w:r>
              <w:rPr>
                <w:rFonts w:asciiTheme="minorEastAsia" w:eastAsiaTheme="minorEastAsia" w:hAnsiTheme="minorEastAsia" w:cstheme="minorEastAsia" w:hint="eastAsia"/>
                <w:b/>
                <w:sz w:val="21"/>
                <w:szCs w:val="21"/>
                <w:lang w:val="en-US" w:eastAsia="zh-CN"/>
              </w:rPr>
              <w:t>.</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医</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疗</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辅</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19</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5</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医</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疗</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辅</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19</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5、</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医</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疗</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辅</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19</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一、综合管理(8分)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（1）五官端正，熟悉医院流程布局。</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（2）员工仪表端正、着工装、正面佩戴工卡。热情服务，严格遵守劳动纪律，做好班前准备，在岗在位，文明礼貌，言谈举止符合规范要求，遵守保密协议。</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未按规定着装、仪表不符合要求，一次一项扣0.2分，违反劳动纪律、规章制度要求一次扣0.2分。未按标准定岗定员每例扣0.2，直至本项扣完。</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（3）部门职责明确，各项管理服务制度健全，内容印制上墙。</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制度不明确、制度不健全扣0.5分，制度未上墙一处扣0.5分。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（4）各岗位员工工作内容、操作流程符合规定要求，工作规范，作风严谨，并严格按规范标准要求进行操作。</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岗位内容不全，操作流程不规范未按规范标准操作一次一项扣1分。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（5）有完善的员工培训计划</w:t>
            </w:r>
            <w:r>
              <w:rPr>
                <w:rFonts w:asciiTheme="minorEastAsia" w:eastAsiaTheme="minorEastAsia" w:hAnsiTheme="minorEastAsia" w:cstheme="minorEastAsia" w:hint="eastAsia"/>
                <w:b/>
                <w:sz w:val="21"/>
                <w:szCs w:val="21"/>
              </w:rPr>
              <w:t>，</w:t>
            </w:r>
            <w:r>
              <w:rPr>
                <w:rFonts w:asciiTheme="minorEastAsia" w:eastAsiaTheme="minorEastAsia" w:hAnsiTheme="minorEastAsia" w:cstheme="minorEastAsia" w:hint="eastAsia"/>
                <w:kern w:val="0"/>
                <w:sz w:val="21"/>
                <w:szCs w:val="21"/>
              </w:rPr>
              <w:t>员工接受严格的岗前培训与考核，经病区护士长认可后方可上岗。定期接受培训，年度培训时数达到10小时以上。</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无员工培训计划扣0.5分，未组织培训扣0.5分，培训数不达标扣0.5分。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（6）对不同岗位的医辅人员要服从科室主任及护士长的管理，尊重医生、护士和患者，认真做好本职工作。</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不服从正当管理扣0.5分，无理与科室人员发生矛盾冲突扣0.5分，并视责任方进行处理，在能力所及的范围内消极怠工、工作质量不高扣2分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（7）安全隐患及防范措施：全方位实施现场安全管理，现场安全处理，制定和实施现场安全预防措施。</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违反一次一处扣1.5分。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二、运送管理（12分）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2713"/>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（1）严格执行“三查七对”制度，防止差错发生。</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（2）严格执行感染控制要求和消毒隔离制度，防止交叉感染。</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kern w:val="0"/>
                <w:sz w:val="21"/>
                <w:szCs w:val="21"/>
              </w:rPr>
              <w:t>服务满足医疗服务规范要求,满足医疗服务应急需要，提供夜间服务。</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kern w:val="0"/>
                <w:sz w:val="21"/>
                <w:szCs w:val="21"/>
              </w:rPr>
              <w:t>（4）配备现代化的通讯工具和调度设备，采取集中调配的运送调度工作模式。</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sz w:val="21"/>
                <w:szCs w:val="21"/>
              </w:rPr>
              <w:t>1.5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详见各科室消毒隔离制度；未执行制度要求，违规一次扣0.2分；院感办每月采集物体表面进行细菌培养，一份不合格扣0.2分。由于调度原因延误运送，夜间服务不及时，视情节轻重，每项、次扣0.2分。未配备现代化的通讯工具和调度设备扣0.2分;运送未采取集中调配的工作模式扣0.2分。</w:t>
            </w:r>
          </w:p>
        </w:tc>
      </w:tr>
      <w:tr>
        <w:tblPrEx>
          <w:tblW w:w="8643" w:type="dxa"/>
          <w:jc w:val="center"/>
          <w:tblLayout w:type="fixed"/>
          <w:tblCellMar>
            <w:top w:w="0" w:type="dxa"/>
            <w:left w:w="108" w:type="dxa"/>
            <w:bottom w:w="0" w:type="dxa"/>
            <w:right w:w="108" w:type="dxa"/>
          </w:tblCellMar>
        </w:tblPrEx>
        <w:trPr>
          <w:trHeight w:val="21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（6）标本与报告单：</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a.</w:t>
            </w:r>
            <w:r>
              <w:rPr>
                <w:rFonts w:asciiTheme="minorEastAsia" w:eastAsiaTheme="minorEastAsia" w:hAnsiTheme="minorEastAsia" w:cstheme="minorEastAsia" w:hint="eastAsia"/>
                <w:sz w:val="21"/>
                <w:szCs w:val="21"/>
              </w:rPr>
              <w:t>按时收集各科室各种标本（含常规、急诊、平诊、体检），发放各类报告单。</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b.</w:t>
            </w:r>
            <w:r>
              <w:rPr>
                <w:rFonts w:asciiTheme="minorEastAsia" w:eastAsiaTheme="minorEastAsia" w:hAnsiTheme="minorEastAsia" w:cstheme="minorEastAsia" w:hint="eastAsia"/>
                <w:sz w:val="21"/>
                <w:szCs w:val="21"/>
              </w:rPr>
              <w:t>认真查对清单与条码要相符；</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c.</w:t>
            </w:r>
            <w:r>
              <w:rPr>
                <w:rFonts w:asciiTheme="minorEastAsia" w:eastAsiaTheme="minorEastAsia" w:hAnsiTheme="minorEastAsia" w:cstheme="minorEastAsia" w:hint="eastAsia"/>
                <w:sz w:val="21"/>
                <w:szCs w:val="21"/>
              </w:rPr>
              <w:t>执行急、平、常规及体检科标本的收集流程并跟踪报告单，特别是急查要及时跟踪到位；</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d.</w:t>
            </w:r>
            <w:r>
              <w:rPr>
                <w:rFonts w:asciiTheme="minorEastAsia" w:eastAsiaTheme="minorEastAsia" w:hAnsiTheme="minorEastAsia" w:cstheme="minorEastAsia" w:hint="eastAsia"/>
                <w:sz w:val="21"/>
                <w:szCs w:val="21"/>
              </w:rPr>
              <w:t>各类标本与报告单的运送要做好交接登记、签收，做到准确、及时；</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e.</w:t>
            </w:r>
            <w:r>
              <w:rPr>
                <w:rFonts w:asciiTheme="minorEastAsia" w:eastAsiaTheme="minorEastAsia" w:hAnsiTheme="minorEastAsia" w:cstheme="minorEastAsia" w:hint="eastAsia"/>
                <w:sz w:val="21"/>
                <w:szCs w:val="21"/>
              </w:rPr>
              <w:t>急诊标本应答后≤20分钟内送到位。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Cs/>
                <w:sz w:val="21"/>
                <w:szCs w:val="21"/>
              </w:rPr>
              <w:t>1.5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延迟急诊标本运送扣0.5分/例。</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报告单遗失扣0.2分/例。</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标本遗失扣0.2分/例</w:t>
            </w:r>
            <w:r>
              <w:rPr>
                <w:rFonts w:asciiTheme="minorEastAsia" w:eastAsiaTheme="minorEastAsia" w:hAnsiTheme="minorEastAsia" w:cstheme="minorEastAsia" w:hint="eastAsia"/>
                <w:sz w:val="21"/>
                <w:szCs w:val="21"/>
                <w:lang w:eastAsia="zh-CN"/>
              </w:rPr>
              <w:t>。</w:t>
            </w:r>
          </w:p>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1316"/>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（7）领物、送物：</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a.</w:t>
            </w:r>
            <w:r>
              <w:rPr>
                <w:rFonts w:asciiTheme="minorEastAsia" w:eastAsiaTheme="minorEastAsia" w:hAnsiTheme="minorEastAsia" w:cstheme="minorEastAsia" w:hint="eastAsia"/>
                <w:sz w:val="21"/>
                <w:szCs w:val="21"/>
              </w:rPr>
              <w:t>按照《物资请领计划》规定</w:t>
            </w:r>
            <w:r>
              <w:rPr>
                <w:rFonts w:asciiTheme="minorEastAsia" w:eastAsiaTheme="minorEastAsia" w:hAnsiTheme="minorEastAsia" w:cstheme="minorEastAsia" w:hint="eastAsia"/>
                <w:kern w:val="0"/>
                <w:sz w:val="21"/>
                <w:szCs w:val="21"/>
              </w:rPr>
              <w:t>负责为各科室到总务库、设备库、药剂库请领各种医疗用品；</w:t>
            </w:r>
            <w:r>
              <w:rPr>
                <w:rFonts w:asciiTheme="minorEastAsia" w:eastAsiaTheme="minorEastAsia" w:hAnsiTheme="minorEastAsia" w:cstheme="minorEastAsia" w:hint="eastAsia"/>
                <w:sz w:val="21"/>
                <w:szCs w:val="21"/>
              </w:rPr>
              <w:t>计划性领物要提前交计划单，按时间规定请领物品；</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sz w:val="21"/>
                <w:szCs w:val="21"/>
                <w:lang w:eastAsia="zh-CN"/>
              </w:rPr>
              <w:t>b.</w:t>
            </w:r>
            <w:r>
              <w:rPr>
                <w:rFonts w:asciiTheme="minorEastAsia" w:eastAsiaTheme="minorEastAsia" w:hAnsiTheme="minorEastAsia" w:cstheme="minorEastAsia" w:hint="eastAsia"/>
                <w:kern w:val="0"/>
                <w:sz w:val="21"/>
                <w:szCs w:val="21"/>
              </w:rPr>
              <w:t>负责床边检查仪器的运送；</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lang w:eastAsia="zh-CN"/>
              </w:rPr>
              <w:t>c.</w:t>
            </w:r>
            <w:r>
              <w:rPr>
                <w:rFonts w:asciiTheme="minorEastAsia" w:eastAsiaTheme="minorEastAsia" w:hAnsiTheme="minorEastAsia" w:cstheme="minorEastAsia" w:hint="eastAsia"/>
                <w:kern w:val="0"/>
                <w:sz w:val="21"/>
                <w:szCs w:val="21"/>
              </w:rPr>
              <w:t>负责收集运送各科室专科消毒物品（含敷料打包、污器械清理送消等）</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lang w:eastAsia="zh-CN"/>
              </w:rPr>
              <w:t>d.</w:t>
            </w:r>
            <w:r>
              <w:rPr>
                <w:rFonts w:asciiTheme="minorEastAsia" w:eastAsiaTheme="minorEastAsia" w:hAnsiTheme="minorEastAsia" w:cstheme="minorEastAsia" w:hint="eastAsia"/>
                <w:kern w:val="0"/>
                <w:sz w:val="21"/>
                <w:szCs w:val="21"/>
              </w:rPr>
              <w:t>负责取送设备、医疗仪器、病床等器械的维修（含科内、科间仪器、器械搬迁调整及学术会议所需设备与桌椅的搬运等）；</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kern w:val="0"/>
                <w:sz w:val="21"/>
                <w:szCs w:val="21"/>
              </w:rPr>
              <w:t>e</w:t>
            </w:r>
            <w:r>
              <w:rPr>
                <w:rFonts w:asciiTheme="minorEastAsia" w:eastAsiaTheme="minorEastAsia" w:hAnsiTheme="minorEastAsia" w:cstheme="minorEastAsia" w:hint="eastAsia"/>
                <w:kern w:val="0"/>
                <w:sz w:val="21"/>
                <w:szCs w:val="21"/>
                <w:lang w:eastAsia="zh-CN"/>
              </w:rPr>
              <w:t>.</w:t>
            </w:r>
            <w:r>
              <w:rPr>
                <w:rFonts w:asciiTheme="minorEastAsia" w:eastAsiaTheme="minorEastAsia" w:hAnsiTheme="minorEastAsia" w:cstheme="minorEastAsia" w:hint="eastAsia"/>
                <w:kern w:val="0"/>
                <w:sz w:val="21"/>
                <w:szCs w:val="21"/>
              </w:rPr>
              <w:t>负责领送各类试管、血培养皿、分泌物培养皿、空气培养皿及回收空血袋等；</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f.</w:t>
            </w:r>
            <w:r>
              <w:rPr>
                <w:rFonts w:asciiTheme="minorEastAsia" w:eastAsiaTheme="minorEastAsia" w:hAnsiTheme="minorEastAsia" w:cstheme="minorEastAsia" w:hint="eastAsia"/>
                <w:sz w:val="21"/>
                <w:szCs w:val="21"/>
              </w:rPr>
              <w:t>科室急用物资应保证20分钟内送到，总务、设备与药剂科临时物资保证1小时内送到；</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g.</w:t>
            </w:r>
            <w:r>
              <w:rPr>
                <w:rFonts w:asciiTheme="minorEastAsia" w:eastAsiaTheme="minorEastAsia" w:hAnsiTheme="minorEastAsia" w:cstheme="minorEastAsia" w:hint="eastAsia"/>
                <w:sz w:val="21"/>
                <w:szCs w:val="21"/>
              </w:rPr>
              <w:t>要与科室对接签收，无物品丢失或数目不清。</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bCs/>
                <w:sz w:val="21"/>
                <w:szCs w:val="21"/>
              </w:rPr>
              <w:t>1.5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由于调度原因延误运送，视情节轻重每项、次扣1分。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运送途中因工作人员失误导致患者坠床或摔伤扣0.5分/例。并视情节轻重追究责任，必要时予以赔偿。</w:t>
            </w:r>
          </w:p>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（8）文书 ：</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lang w:val="en-US" w:eastAsia="zh-CN"/>
              </w:rPr>
              <w:t>.</w:t>
            </w:r>
            <w:r>
              <w:rPr>
                <w:rFonts w:asciiTheme="minorEastAsia" w:eastAsiaTheme="minorEastAsia" w:hAnsiTheme="minorEastAsia" w:cstheme="minorEastAsia" w:hint="eastAsia"/>
                <w:kern w:val="0"/>
                <w:sz w:val="21"/>
                <w:szCs w:val="21"/>
              </w:rPr>
              <w:t>负责取送手术通知单、会诊单、各类检查预约单；</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kern w:val="0"/>
                <w:sz w:val="21"/>
                <w:szCs w:val="21"/>
              </w:rPr>
            </w:pPr>
            <w:r>
              <w:rPr>
                <w:rFonts w:asciiTheme="minorEastAsia" w:eastAsiaTheme="minorEastAsia" w:hAnsiTheme="minorEastAsia" w:cstheme="minorEastAsia" w:hint="eastAsia"/>
                <w:kern w:val="0"/>
                <w:sz w:val="21"/>
                <w:szCs w:val="21"/>
              </w:rPr>
              <w:t>b</w:t>
            </w:r>
            <w:r>
              <w:rPr>
                <w:rFonts w:asciiTheme="minorEastAsia" w:eastAsiaTheme="minorEastAsia" w:hAnsiTheme="minorEastAsia" w:cstheme="minorEastAsia" w:hint="eastAsia"/>
                <w:kern w:val="0"/>
                <w:sz w:val="21"/>
                <w:szCs w:val="21"/>
                <w:lang w:val="en-US" w:eastAsia="zh-CN"/>
              </w:rPr>
              <w:t>.</w:t>
            </w:r>
            <w:r>
              <w:rPr>
                <w:rFonts w:asciiTheme="minorEastAsia" w:eastAsiaTheme="minorEastAsia" w:hAnsiTheme="minorEastAsia" w:cstheme="minorEastAsia" w:hint="eastAsia"/>
                <w:kern w:val="0"/>
                <w:sz w:val="21"/>
                <w:szCs w:val="21"/>
              </w:rPr>
              <w:t>负责取送各类病历、处方划价、通知、各种工作手册及报表等;</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kern w:val="0"/>
                <w:sz w:val="21"/>
                <w:szCs w:val="21"/>
              </w:rPr>
              <w:t>c</w:t>
            </w:r>
            <w:r>
              <w:rPr>
                <w:rFonts w:asciiTheme="minorEastAsia" w:eastAsiaTheme="minorEastAsia" w:hAnsiTheme="minorEastAsia" w:cstheme="minorEastAsia" w:hint="eastAsia"/>
                <w:kern w:val="0"/>
                <w:sz w:val="21"/>
                <w:szCs w:val="21"/>
                <w:lang w:val="en-US" w:eastAsia="zh-CN"/>
              </w:rPr>
              <w:t>.</w:t>
            </w:r>
            <w:r>
              <w:rPr>
                <w:rFonts w:asciiTheme="minorEastAsia" w:eastAsiaTheme="minorEastAsia" w:hAnsiTheme="minorEastAsia" w:cstheme="minorEastAsia" w:hint="eastAsia"/>
                <w:sz w:val="21"/>
                <w:szCs w:val="21"/>
              </w:rPr>
              <w:t>按要求、流程收集各科室的文书、资料，注意查对取，送科室的名称，取送日期与时间，按文件（急、缓程度</w:t>
            </w:r>
            <w:r>
              <w:rPr>
                <w:rFonts w:asciiTheme="minorEastAsia" w:eastAsiaTheme="minorEastAsia" w:hAnsiTheme="minorEastAsia" w:cstheme="minorEastAsia" w:hint="eastAsia"/>
                <w:b/>
                <w:sz w:val="21"/>
                <w:szCs w:val="21"/>
              </w:rPr>
              <w:t>）</w:t>
            </w:r>
            <w:r>
              <w:rPr>
                <w:rFonts w:asciiTheme="minorEastAsia" w:eastAsiaTheme="minorEastAsia" w:hAnsiTheme="minorEastAsia" w:cstheme="minorEastAsia" w:hint="eastAsia"/>
                <w:sz w:val="21"/>
                <w:szCs w:val="21"/>
              </w:rPr>
              <w:t>及时送到相应的部门；</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d.</w:t>
            </w:r>
            <w:r>
              <w:rPr>
                <w:rFonts w:asciiTheme="minorEastAsia" w:eastAsiaTheme="minorEastAsia" w:hAnsiTheme="minorEastAsia" w:cstheme="minorEastAsia" w:hint="eastAsia"/>
                <w:sz w:val="21"/>
                <w:szCs w:val="21"/>
              </w:rPr>
              <w:t>做好记录和签名。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bCs/>
                <w:sz w:val="21"/>
                <w:szCs w:val="21"/>
              </w:rPr>
              <w:t>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文件或资料丢失视情节轻重扣1分/例，病历丢失扣1分/例。</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（9）接送手术：</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a.</w:t>
            </w:r>
            <w:r>
              <w:rPr>
                <w:rFonts w:asciiTheme="minorEastAsia" w:eastAsiaTheme="minorEastAsia" w:hAnsiTheme="minorEastAsia" w:cstheme="minorEastAsia" w:hint="eastAsia"/>
                <w:sz w:val="21"/>
                <w:szCs w:val="21"/>
              </w:rPr>
              <w:t>接手术通知单按规定时间到相应科室接病人；</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b.</w:t>
            </w:r>
            <w:r>
              <w:rPr>
                <w:rFonts w:asciiTheme="minorEastAsia" w:eastAsiaTheme="minorEastAsia" w:hAnsiTheme="minorEastAsia" w:cstheme="minorEastAsia" w:hint="eastAsia"/>
                <w:sz w:val="21"/>
                <w:szCs w:val="21"/>
              </w:rPr>
              <w:t>向当班护士了解术前准备及需带的资料；</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c.</w:t>
            </w:r>
            <w:r>
              <w:rPr>
                <w:rFonts w:asciiTheme="minorEastAsia" w:eastAsiaTheme="minorEastAsia" w:hAnsiTheme="minorEastAsia" w:cstheme="minorEastAsia" w:hint="eastAsia"/>
                <w:sz w:val="21"/>
                <w:szCs w:val="21"/>
              </w:rPr>
              <w:t>到病房查对病人床号、姓名、诊断等项目；</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d.</w:t>
            </w:r>
            <w:r>
              <w:rPr>
                <w:rFonts w:asciiTheme="minorEastAsia" w:eastAsiaTheme="minorEastAsia" w:hAnsiTheme="minorEastAsia" w:cstheme="minorEastAsia" w:hint="eastAsia"/>
                <w:sz w:val="21"/>
                <w:szCs w:val="21"/>
              </w:rPr>
              <w:t>准确无误后送到手术室，与手术室护士交接；</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e.</w:t>
            </w:r>
            <w:r>
              <w:rPr>
                <w:rFonts w:asciiTheme="minorEastAsia" w:eastAsiaTheme="minorEastAsia" w:hAnsiTheme="minorEastAsia" w:cstheme="minorEastAsia" w:hint="eastAsia"/>
                <w:sz w:val="21"/>
                <w:szCs w:val="21"/>
              </w:rPr>
              <w:t>术后病人有医护人员陪同送回病房，无医护人员陪同，运输护工有权拒绝，要保证病人安全。</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bCs/>
                <w:sz w:val="21"/>
                <w:szCs w:val="21"/>
              </w:rPr>
              <w:t>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一项不符合扣1分。运送途中因工作人员失误导致患者坠床或摔伤扣1分/例。视情节轻重追究责任，必要时予以赔偿。</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（10）取送无菌物品：核对科室、名称、消毒、日期、干燥情况、数量、有效日期等。</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bCs/>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（11）大型输液：</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a.</w:t>
            </w:r>
            <w:r>
              <w:rPr>
                <w:rFonts w:asciiTheme="minorEastAsia" w:eastAsiaTheme="minorEastAsia" w:hAnsiTheme="minorEastAsia" w:cstheme="minorEastAsia" w:hint="eastAsia"/>
                <w:sz w:val="21"/>
                <w:szCs w:val="21"/>
              </w:rPr>
              <w:t>按医院要求请领科室的大型输液，与药房核对清楚；</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b.</w:t>
            </w:r>
            <w:r>
              <w:rPr>
                <w:rFonts w:asciiTheme="minorEastAsia" w:eastAsiaTheme="minorEastAsia" w:hAnsiTheme="minorEastAsia" w:cstheme="minorEastAsia" w:hint="eastAsia"/>
                <w:sz w:val="21"/>
                <w:szCs w:val="21"/>
              </w:rPr>
              <w:t>送到相关科室要进行必要的核对、签收；</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c.</w:t>
            </w:r>
            <w:r>
              <w:rPr>
                <w:rFonts w:asciiTheme="minorEastAsia" w:eastAsiaTheme="minorEastAsia" w:hAnsiTheme="minorEastAsia" w:cstheme="minorEastAsia" w:hint="eastAsia"/>
                <w:sz w:val="21"/>
                <w:szCs w:val="21"/>
              </w:rPr>
              <w:t>针对运送大型输液药品要注意包装，运送途中要防止碰撞、避免破损、丢失。</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lang w:eastAsia="zh-CN"/>
              </w:rPr>
              <w:t>d.</w:t>
            </w:r>
            <w:r>
              <w:rPr>
                <w:rFonts w:asciiTheme="minorEastAsia" w:eastAsiaTheme="minorEastAsia" w:hAnsiTheme="minorEastAsia" w:cstheme="minorEastAsia" w:hint="eastAsia"/>
                <w:sz w:val="21"/>
                <w:szCs w:val="21"/>
              </w:rPr>
              <w:t>到各个病区收取空瓶。</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bCs/>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大型输液被损扣0.5分/件.</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丢失大型输液扣0.5分/件</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并视情节轻重给予赔偿.</w:t>
            </w:r>
          </w:p>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（12）遗体、死胎、残肢等使用专用转运工具，做好交接登记、清洁消毒和信息保密、廉洁等工作</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bCs/>
                <w:sz w:val="21"/>
                <w:szCs w:val="21"/>
              </w:rPr>
              <w:t>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发生遗体、死胎等丢失、侮辱遗体、信息泄露等违法违规行为，不得分，追究物业公司责任，移交医院纪委处理。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6、</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医</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疗</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废</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5</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（1）五官端正，熟悉医院流程布局，身体健康。</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jc w:val="both"/>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（2）根据《医疗废物管理条例</w:t>
            </w: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rPr>
              <w:t>医疗卫生机构废物管理办法》《医疗废物分类目录》《医疗废物专用包装物、容器标准和警示标识规定》《医疗废物管理行政处罚办法》有关规定，要求严格按照我院相关的规定执行。</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（3）根据医院的相关规定对医疗废物进行处置，符合医院管理要求。</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根据我院《医疗废物收集工作流程</w:t>
            </w: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rPr>
              <w:t>医疗废物院内运输管理制度</w:t>
            </w: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rPr>
              <w:t>医疗废物分类收集、运送、暂时储存过程中有关人员的职业卫生安全防护措施</w:t>
            </w:r>
            <w:r>
              <w:rPr>
                <w:rFonts w:asciiTheme="minorEastAsia" w:eastAsiaTheme="minorEastAsia" w:hAnsiTheme="minorEastAsia" w:cstheme="minorEastAsia" w:hint="eastAsia"/>
                <w:sz w:val="21"/>
                <w:szCs w:val="21"/>
                <w:lang w:eastAsia="zh-CN"/>
              </w:rPr>
              <w:t>》《</w:t>
            </w:r>
            <w:r>
              <w:rPr>
                <w:rFonts w:asciiTheme="minorEastAsia" w:eastAsiaTheme="minorEastAsia" w:hAnsiTheme="minorEastAsia" w:cstheme="minorEastAsia" w:hint="eastAsia"/>
                <w:sz w:val="21"/>
                <w:szCs w:val="21"/>
              </w:rPr>
              <w:t>医疗废物暂存室、运输工具的清洁和消毒制度》，违反一项一人次扣0.5分；市区CDC季度检查，一处不合格扣2分。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（4）医疗废物的分类收集、运送、转存、移交要严格遵守国家法律法规进行登记。</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一项不符合扣1分。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（5）建立专人收集、专车运送。</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未设专人、专车收送扣0.5分。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（6）做好个人卫生及防护措施，每年进行一次体检，进行免疫接种。员工对医疗废物管理操作和防护知识的培训。</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（7）盛装的医疗废物达到包装袋或者容器的3/4时，应当使用有效的封口方式，使包装或者容器的封口紧实、严密。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380"/>
          <w:jc w:val="center"/>
        </w:trPr>
        <w:tc>
          <w:tcPr>
            <w:tcW w:w="806" w:type="dxa"/>
            <w:vMerge w:val="restart"/>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7、</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序</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维</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护</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20</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7、</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序</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维</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护</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20</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Style w:val="BodyText"/>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7、</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秩</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序</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维</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护</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管</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20</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分</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（扣完</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b/>
                <w:sz w:val="21"/>
                <w:szCs w:val="21"/>
              </w:rPr>
            </w:pPr>
            <w:r>
              <w:rPr>
                <w:rFonts w:asciiTheme="minorEastAsia" w:eastAsiaTheme="minorEastAsia" w:hAnsiTheme="minorEastAsia" w:cstheme="minorEastAsia" w:hint="eastAsia"/>
                <w:b/>
                <w:sz w:val="21"/>
                <w:szCs w:val="21"/>
              </w:rPr>
              <w:t>为止）</w:t>
            </w: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一、治安管理（8分）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（1）持证上岗，五官端正，熟悉医院流程布局，身体健康，肯吃苦耐劳。</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（2）结合医院特点制订安全防范措施及各项管理制度、规定、突发事件的应急措施、方案并不断完善。医院无重大治安刑事案件发生，保持良好的医疗秩序。做好火灾防患工作，落实无烟医院管理到位。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制度、措施、方案不健全，每项扣0.5分，岗位管理不到位每次扣0.5分。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（3）有专业保安队伍，实行24小时值班及巡逻制度；重点部位应每2小时巡查一次，并做好巡查记录。岗位人员不能与医院职工、患者及外来人员发生冲突。</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值班及巡逻记录不规范每次扣0.5分。与他人发生冲突扣0.5分，并追究责任。凡因为现场无人管理或管理不当，造成设施及建筑物（地面）损坏或人身伤害一次扣0.5分。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（4）根据医院安全保卫特点定岗，布局合理。结构合理，无缺岗缺位，响应及时、行动迅速。保安员月流动率不超过5%。</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不按规定定岗，缺岗扣2分；人员流动率超过一个百分点扣0.5分，超过两个百分点扣2分。 </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（5）针对医院的重点区域（如急诊科、门诊、住院部的儿科、妇产科等）保安员时刻在位并有相应的安全措施。</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对特殊的部位要有相应的防范措施，每发现一处无防范措施扣0.5分，执勤保安员严禁脱岗，24小时人员在岗在位，因擅离职守扣0.5分，造成后果视情况另行处理，发现物品被盗及其他事故案件扣1分，并追究责任。</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（6）做好重大活动、会议、接待的保卫工作，建立各级安全警戒方案保障安全稳定，并能圆满完成院方交代的其它任务。</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达不到安全要求，无安全工作方案，每次（项）扣0.5分，造成不良影响扣1分并视情进行处理。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（7）定期组织安全教育，整改各类隐患，保护医院和病人财产安全和人身安全，及时制止和平息纠纷，并做好打击“医托”工作、提醒就诊患者防范。</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发生打劫、偷盗、辱骂、殴打医护人员及“医托”事件时，保安员没有及时制止，每次扣0.5分，接到与保安责任相关投诉属实，每次扣0.5分，情况严重的追究责任。发生内部人员自盗、扣1分，并追究领导责任。</w:t>
            </w:r>
          </w:p>
        </w:tc>
      </w:tr>
      <w:tr>
        <w:tblPrEx>
          <w:tblW w:w="8643" w:type="dxa"/>
          <w:jc w:val="center"/>
          <w:tblLayout w:type="fixed"/>
          <w:tblCellMar>
            <w:top w:w="0" w:type="dxa"/>
            <w:left w:w="108" w:type="dxa"/>
            <w:bottom w:w="0" w:type="dxa"/>
            <w:right w:w="108" w:type="dxa"/>
          </w:tblCellMar>
        </w:tblPrEx>
        <w:trPr>
          <w:trHeight w:val="918"/>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（8）无重大治安案件，一般治安案件每月不超过两起。如遇突发事件，协助政府执法部门维护医院的正常医疗秩序。</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发生重大案件扣0.5分，一般案件超过一起扣0.5分。未履行职责一次扣1分。</w:t>
            </w:r>
          </w:p>
        </w:tc>
      </w:tr>
      <w:tr>
        <w:tblPrEx>
          <w:tblW w:w="8643" w:type="dxa"/>
          <w:jc w:val="center"/>
          <w:tblLayout w:type="fixed"/>
          <w:tblCellMar>
            <w:top w:w="0" w:type="dxa"/>
            <w:left w:w="108" w:type="dxa"/>
            <w:bottom w:w="0" w:type="dxa"/>
            <w:right w:w="108" w:type="dxa"/>
          </w:tblCellMar>
        </w:tblPrEx>
        <w:trPr>
          <w:trHeight w:val="9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9）对进入院内的商贩、派发宣传单、名片、张贴、刻印小广告、送餐等无关人员，发现后应及时驱赶并做好登记。对于乱散发、乱张贴的代孕、“两非”广告小卡片、宣传单等人员管控，发现后应移交公安部门处理，做好台账记录，并将此类人员纳入医院黑名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每发现一次不符各扣0.5分。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1528"/>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（10）加强闭路监控室的管理，24小时值班制，做好各种记录，密切观察重点部位。</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发现脱岗、离岗、睡觉，每项各扣0.2分。因工作失误发生被盗扣0.3分，重大事故追究其责任。</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numPr>
                <w:ilvl w:val="255"/>
                <w:numId w:val="0"/>
              </w:numPr>
              <w:kinsoku/>
              <w:wordWrap/>
              <w:overflowPunct/>
              <w:autoSpaceDE/>
              <w:autoSpaceDN/>
              <w:bidi w:val="0"/>
              <w:spacing w:line="360" w:lineRule="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（11）收费处岗位严格执勤，维护收费秩序，无插队等不文明行为，机动灵活处理纠纷。防止发生病人钱财及其他物品被盗。防止和果断处理病患与收费员发生的冲突。</w:t>
            </w:r>
          </w:p>
          <w:p>
            <w:pPr>
              <w:pageBreakBefore w:val="0"/>
              <w:numPr>
                <w:ilvl w:val="255"/>
                <w:numId w:val="0"/>
              </w:numPr>
              <w:kinsoku/>
              <w:wordWrap/>
              <w:overflowPunct/>
              <w:autoSpaceDE/>
              <w:autoSpaceDN/>
              <w:bidi w:val="0"/>
              <w:spacing w:line="360" w:lineRule="auto"/>
              <w:rPr>
                <w:rFonts w:asciiTheme="minorEastAsia" w:eastAsiaTheme="minorEastAsia" w:hAnsiTheme="minorEastAsia" w:cstheme="minorEastAsia" w:hint="eastAsia"/>
                <w:sz w:val="21"/>
                <w:szCs w:val="21"/>
              </w:rPr>
            </w:pP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因管理不力，收费、挂号处人员丢失物品。挂号秩序混乱，或因插队等不文明现象引发病人之间发生冲突，得不到及时制止（医患之间发生冲突），影响正常秩序，均扣0.5分。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（12）加强主要出入口安检管理，24小时值班制，每班女安检员不少于1人，逢包必检，对查获的危险品做好记录、暂存保管</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发现离岗、漏检、未妥善处理查获的物品，遇异常情况未采取有效的应急措施等，每项各扣0.2分；因人为操作失误造成物品损坏，每项扣0.3分；重大事故追究责任。</w:t>
            </w:r>
          </w:p>
        </w:tc>
      </w:tr>
      <w:tr>
        <w:tblPrEx>
          <w:tblW w:w="8643" w:type="dxa"/>
          <w:jc w:val="center"/>
          <w:tblLayout w:type="fixed"/>
          <w:tblCellMar>
            <w:top w:w="0" w:type="dxa"/>
            <w:left w:w="108" w:type="dxa"/>
            <w:bottom w:w="0" w:type="dxa"/>
            <w:right w:w="108" w:type="dxa"/>
          </w:tblCellMar>
        </w:tblPrEx>
        <w:trPr>
          <w:trHeight w:val="317"/>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bCs/>
                <w:sz w:val="21"/>
                <w:szCs w:val="21"/>
              </w:rPr>
              <w:t>二、交通管理（4分）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（1）院停车场（地面、地下库）有专人管理，并按市发改委文件规定的标准收取停车费，日现金收入由物业专管人员定期存入</w:t>
            </w:r>
            <w:r>
              <w:rPr>
                <w:rFonts w:asciiTheme="minorEastAsia" w:eastAsiaTheme="minorEastAsia" w:hAnsiTheme="minorEastAsia" w:cstheme="minorEastAsia" w:hint="eastAsia"/>
                <w:sz w:val="21"/>
                <w:szCs w:val="21"/>
                <w:lang w:eastAsia="zh-CN"/>
              </w:rPr>
              <w:t>指</w:t>
            </w:r>
            <w:r>
              <w:rPr>
                <w:rFonts w:asciiTheme="minorEastAsia" w:eastAsiaTheme="minorEastAsia" w:hAnsiTheme="minorEastAsia" w:cstheme="minorEastAsia" w:hint="eastAsia"/>
                <w:sz w:val="21"/>
                <w:szCs w:val="21"/>
              </w:rPr>
              <w:t>定账户，维护好停车秩序。</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一项不符合扣0.5分，不按标准收费、违规放行、收费不给正规票据每发现一次扣0.5分。 </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（2）收费处岗位严格执勤，维护收费秩序，无插队等不文明行为，机动灵活处理纠纷。防止发生病人钱财及其他物品被盗。防止和果断处理病患与收费员发生的冲突。</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因管理不力，收费、挂号处人员丢失物品。挂号秩序混乱，或因插队等不文明现象引发病人之间发生冲突，得不到及时制止（医患之间发生冲突），影响正常秩序，均扣1分。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（3）非机动车辆集中停放，管理制度落实，停放整齐，场地整洁，严防损坏丢失。</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一项不符合扣0.5分。承担造成的事故责任。</w:t>
            </w:r>
          </w:p>
        </w:tc>
      </w:tr>
      <w:tr>
        <w:tblPrEx>
          <w:tblW w:w="8643" w:type="dxa"/>
          <w:jc w:val="center"/>
          <w:tblLayout w:type="fixed"/>
          <w:tblCellMar>
            <w:top w:w="0" w:type="dxa"/>
            <w:left w:w="108" w:type="dxa"/>
            <w:bottom w:w="0" w:type="dxa"/>
            <w:right w:w="108" w:type="dxa"/>
          </w:tblCellMar>
        </w:tblPrEx>
        <w:trPr>
          <w:trHeight w:val="1333"/>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（4）正确疏导进出医院各种车辆，泊车安全整齐，认真办理出入场手续，巡查提醒车主关好车窗、锁好车门防止发生车辆碰撞、被盗、堵塞通道事故。</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消防通道及严禁停车的区段发现停车，每辆次扣0.5分，因指挥不力车辆逆行造成堵车每次扣0.5分。 </w:t>
            </w:r>
          </w:p>
        </w:tc>
      </w:tr>
      <w:tr>
        <w:tblPrEx>
          <w:tblW w:w="8643" w:type="dxa"/>
          <w:jc w:val="center"/>
          <w:tblLayout w:type="fixed"/>
          <w:tblCellMar>
            <w:top w:w="0" w:type="dxa"/>
            <w:left w:w="108" w:type="dxa"/>
            <w:bottom w:w="0" w:type="dxa"/>
            <w:right w:w="108" w:type="dxa"/>
          </w:tblCellMar>
        </w:tblPrEx>
        <w:trPr>
          <w:trHeight w:val="515"/>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（5）做好门诊前“即停即走”车辆的管理，疏导东门出口堵塞现象，以及东、西门两边电单车有序摆放；并对院内车辆实行安全有序分流，发现逆行、抢</w:t>
            </w:r>
            <w:r>
              <w:rPr>
                <w:rFonts w:asciiTheme="minorEastAsia" w:eastAsiaTheme="minorEastAsia" w:hAnsiTheme="minorEastAsia" w:cstheme="minorEastAsia" w:hint="eastAsia"/>
                <w:sz w:val="21"/>
                <w:szCs w:val="21"/>
                <w:lang w:eastAsia="zh-CN"/>
              </w:rPr>
              <w:t>道</w:t>
            </w:r>
            <w:r>
              <w:rPr>
                <w:rFonts w:asciiTheme="minorEastAsia" w:eastAsiaTheme="minorEastAsia" w:hAnsiTheme="minorEastAsia" w:cstheme="minorEastAsia" w:hint="eastAsia"/>
                <w:sz w:val="21"/>
                <w:szCs w:val="21"/>
              </w:rPr>
              <w:t>、院内车辆堵塞不动超5分钟。</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发现混乱一次扣0.2分；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发现其他情况，每次扣0.1分</w:t>
            </w:r>
          </w:p>
        </w:tc>
      </w:tr>
      <w:tr>
        <w:tblPrEx>
          <w:tblW w:w="8643" w:type="dxa"/>
          <w:jc w:val="center"/>
          <w:tblLayout w:type="fixed"/>
          <w:tblCellMar>
            <w:top w:w="0" w:type="dxa"/>
            <w:left w:w="108" w:type="dxa"/>
            <w:bottom w:w="0" w:type="dxa"/>
            <w:right w:w="108" w:type="dxa"/>
          </w:tblCellMar>
        </w:tblPrEx>
        <w:trPr>
          <w:trHeight w:val="696"/>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（6）积极引导公众文明有序停车，遇高峰期应及时梳理，高峰期停车位空置率不超过2%,不无故封闭出入口。</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无故封闭出入口一次扣0.5分，车辆发生拥挤堵塞现象，一次扣0.5分。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lang w:eastAsia="zh-CN"/>
              </w:rPr>
            </w:pPr>
            <w:r>
              <w:rPr>
                <w:rFonts w:asciiTheme="minorEastAsia" w:eastAsiaTheme="minorEastAsia" w:hAnsiTheme="minorEastAsia" w:cstheme="minorEastAsia" w:hint="eastAsia"/>
                <w:sz w:val="21"/>
                <w:szCs w:val="21"/>
              </w:rPr>
              <w:t>（7）对院内车辆实行安全有序分流，发现逆行、抢道、院内车辆堵塞不动超5分钟</w:t>
            </w:r>
            <w:r>
              <w:rPr>
                <w:rFonts w:asciiTheme="minorEastAsia" w:eastAsiaTheme="minorEastAsia" w:hAnsiTheme="minorEastAsia" w:cstheme="minorEastAsia" w:hint="eastAsia"/>
                <w:sz w:val="21"/>
                <w:szCs w:val="21"/>
                <w:lang w:eastAsia="zh-CN"/>
              </w:rPr>
              <w:t>。</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发现一次扣0.5分</w:t>
            </w:r>
          </w:p>
        </w:tc>
      </w:tr>
      <w:tr>
        <w:tblPrEx>
          <w:tblW w:w="8643" w:type="dxa"/>
          <w:jc w:val="center"/>
          <w:tblLayout w:type="fixed"/>
          <w:tblCellMar>
            <w:top w:w="0" w:type="dxa"/>
            <w:left w:w="108" w:type="dxa"/>
            <w:bottom w:w="0" w:type="dxa"/>
            <w:right w:w="108" w:type="dxa"/>
          </w:tblCellMar>
        </w:tblPrEx>
        <w:trPr>
          <w:trHeight w:val="322"/>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b/>
                <w:sz w:val="21"/>
                <w:szCs w:val="21"/>
              </w:rPr>
              <w:t>三、消防管理（8分）</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（1）每年至少一次组织开展消防法规及消防知识宣传教育，明确各区域防火责任人。每月一次消防例会，并做好记录。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责任人不明确一处扣0.5分。员工不了解安全防火应知应会，每人次扣0.5分。消防例会记录不全，一次扣0.5分。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成立义务消防队，有组织，有规章制度，每年组织安保人员至少组织2次消防演练，消防演练应制订计划、方案，并以文字、图片、影像资料形式进行记录，每月应开展一次消防安全教育培训；每半年应组织消防控制室操作人员开展一次消防安全教育培训，新入职员工接受消防安全培训并完善消防档案。</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未成立义务消防队扣0.5分，无灭火应急演练，扣0.5分。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（3）年度有消防培训计划、灭火应急演练方案，有落实措施，并建立健全消防档案。</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消防培训计划、方案、措施不全，每项扣0.5分，消防档案不完善扣0.5分。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对全院的消防系统、器材，严格按规定进行检查，如实填写工作记录，耗材消耗情况清楚，工作制度、规定、程序健全、有各种险情应急方案，系统状态保持良好。每日巡查全院各消防通道、管道井等，发现有违规现象，及时通知所在科室限时整改。</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制度、应急方案不健全每项扣0.5分，记录不准确、检查不准时均扣0.5分，值班人员不按规定履行职责，每次扣0.5分，因值班人员责任心不强导致故障点的发生，未发现故障点或不能排除故障点而产生消防隐患，损坏的器材没有及时向医院有关部门汇报并进行更换，每项扣1分，并追究责任。发现消防违规现象未及时处理上报的，每次扣0.5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消防控制中心24小时值班，按消防管理要求保证持证上岗，消防系统技术状态符合安全要求，设施设备齐全，完好无损，可随时启用。消防控制室每天要填写值班记录表，发现的问题应及时处理，当场不能处置的要填报《建筑消防设施故障处理记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发现无证上岗每人扣0.5分，少一天值班记录扣0.5分，发现问题未及时处理，未填报《建筑消防设施故障处理记录》扣1分。</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（6）管理人员掌握消防设施设备的使用方法并能及时处理各种问题。消防主管人员能正确果断处理各种火险、火灾以及协调指挥、救护、调度。</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不符合每处扣0.5分，因人为原因发生火警（火险隐患）每处扣0.5分。消防管理员和主管人员不能正确履行职责的扣1分。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（7）有突发火灾的应急方案，有消防疏散示意图，照明设施、引路标志完好，紧急疏散通道畅通。</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无应急方案扣0.5分，违反各种消防设施不规范每项扣1分，</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（8）严格执行消防工作管理制度，积极巡查，及时正确处理出现的问题。安全生产无事故、无火灾。</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每发现一处安全隐患扣0.5分。发生火灾扣1分，并追究责任。</w:t>
            </w:r>
          </w:p>
        </w:tc>
      </w:tr>
      <w:tr>
        <w:tblPrEx>
          <w:tblW w:w="8643" w:type="dxa"/>
          <w:jc w:val="center"/>
          <w:tblLayout w:type="fixed"/>
          <w:tblCellMar>
            <w:top w:w="0" w:type="dxa"/>
            <w:left w:w="108" w:type="dxa"/>
            <w:bottom w:w="0" w:type="dxa"/>
            <w:right w:w="108" w:type="dxa"/>
          </w:tblCellMar>
        </w:tblPrEx>
        <w:trPr>
          <w:trHeight w:val="450"/>
          <w:jc w:val="center"/>
        </w:trPr>
        <w:tc>
          <w:tcPr>
            <w:tcW w:w="806" w:type="dxa"/>
            <w:vMerge/>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（9）每个法定节假日前组织对高压消毒、高压氧舱、油库、仓库、酒精库、中心供氧等重点部门及各社康中心进行安全检查。</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少检查一次扣0.5分，拖延时间检查扣1分，无检查记录一次扣1分。</w:t>
            </w:r>
          </w:p>
        </w:tc>
      </w:tr>
      <w:tr>
        <w:tblPrEx>
          <w:tblW w:w="8643" w:type="dxa"/>
          <w:jc w:val="center"/>
          <w:tblLayout w:type="fixed"/>
          <w:tblCellMar>
            <w:top w:w="0" w:type="dxa"/>
            <w:left w:w="108" w:type="dxa"/>
            <w:bottom w:w="0" w:type="dxa"/>
            <w:right w:w="108" w:type="dxa"/>
          </w:tblCellMar>
        </w:tblPrEx>
        <w:trPr>
          <w:trHeight w:val="561"/>
          <w:jc w:val="center"/>
        </w:trPr>
        <w:tc>
          <w:tcPr>
            <w:tcW w:w="806" w:type="dxa"/>
            <w:vMerge/>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p>
        </w:tc>
        <w:tc>
          <w:tcPr>
            <w:tcW w:w="4039"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（10）按上级消防主管部门要求，每月及时上报消防检查、巡查、测试等记录。</w:t>
            </w:r>
          </w:p>
        </w:tc>
        <w:tc>
          <w:tcPr>
            <w:tcW w:w="820" w:type="dxa"/>
            <w:vAlign w:val="center"/>
          </w:tcPr>
          <w:p>
            <w:pPr>
              <w:pageBreakBefore w:val="0"/>
              <w:kinsoku/>
              <w:wordWrap/>
              <w:overflowPunct/>
              <w:autoSpaceDE/>
              <w:autoSpaceDN/>
              <w:bidi w:val="0"/>
              <w:spacing w:line="360" w:lineRule="auto"/>
              <w:ind w:firstLine="0" w:firstLineChars="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0.5</w:t>
            </w:r>
          </w:p>
        </w:tc>
        <w:tc>
          <w:tcPr>
            <w:tcW w:w="2978" w:type="dxa"/>
            <w:vAlign w:val="center"/>
          </w:tcPr>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少报、漏报一次扣0.5分。</w:t>
            </w:r>
          </w:p>
        </w:tc>
      </w:tr>
    </w:tbl>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b/>
          <w:bCs/>
          <w:kern w:val="0"/>
          <w:sz w:val="21"/>
          <w:szCs w:val="21"/>
        </w:rPr>
      </w:pPr>
      <w:r>
        <w:rPr>
          <w:rFonts w:asciiTheme="minorEastAsia" w:eastAsiaTheme="minorEastAsia" w:hAnsiTheme="minorEastAsia" w:cstheme="minorEastAsia" w:hint="eastAsia"/>
          <w:sz w:val="21"/>
          <w:szCs w:val="21"/>
        </w:rPr>
        <w:br w:type="page"/>
      </w:r>
    </w:p>
    <w:p>
      <w:pPr>
        <w:pStyle w:val="Heading3"/>
        <w:pageBreakBefore w:val="0"/>
        <w:numPr>
          <w:ilvl w:val="0"/>
          <w:numId w:val="0"/>
        </w:numPr>
        <w:kinsoku/>
        <w:wordWrap/>
        <w:overflowPunct/>
        <w:autoSpaceDE/>
        <w:autoSpaceDN/>
        <w:bidi w:val="0"/>
        <w:spacing w:before="0" w:after="0"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附件2 ：医院物业服务季度满意度调查表</w:t>
      </w:r>
    </w:p>
    <w:p>
      <w:pPr>
        <w:pageBreakBefore w:val="0"/>
        <w:kinsoku/>
        <w:wordWrap/>
        <w:overflowPunct/>
        <w:autoSpaceDE/>
        <w:autoSpaceDN/>
        <w:bidi w:val="0"/>
        <w:spacing w:line="360" w:lineRule="auto"/>
        <w:ind w:firstLine="0"/>
        <w:jc w:val="center"/>
        <w:rPr>
          <w:rFonts w:asciiTheme="minorEastAsia" w:eastAsiaTheme="minorEastAsia" w:hAnsiTheme="minorEastAsia" w:cstheme="minorEastAsia" w:hint="eastAsia"/>
          <w:b/>
          <w:bCs/>
          <w:sz w:val="21"/>
          <w:szCs w:val="21"/>
        </w:rPr>
      </w:pPr>
    </w:p>
    <w:p>
      <w:pPr>
        <w:pageBreakBefore w:val="0"/>
        <w:kinsoku/>
        <w:wordWrap/>
        <w:overflowPunct/>
        <w:autoSpaceDE/>
        <w:autoSpaceDN/>
        <w:bidi w:val="0"/>
        <w:spacing w:line="360" w:lineRule="auto"/>
        <w:ind w:firstLine="0"/>
        <w:jc w:val="center"/>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医院物业服务季度满意度调查表（环境美化）</w:t>
      </w:r>
    </w:p>
    <w:p>
      <w:pPr>
        <w:pageBreakBefore w:val="0"/>
        <w:kinsoku/>
        <w:wordWrap/>
        <w:overflowPunct/>
        <w:autoSpaceDE/>
        <w:autoSpaceDN/>
        <w:bidi w:val="0"/>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为进一步改进就医环境，改善服务态度，提升我们的物业服务管理水平，以便我们在今后的工作中能扬长避短，请您根据实际情况如实填写，感谢您的帮助和鼓励！</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填写人员：□ 患者  □ 医生  □ 护士  □ 行政         填写日期：   年    月   日</w:t>
      </w:r>
    </w:p>
    <w:tbl>
      <w:tblPr>
        <w:tblStyle w:val="TableGrid"/>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541"/>
        <w:gridCol w:w="5985"/>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15"/>
          <w:jc w:val="center"/>
        </w:trPr>
        <w:tc>
          <w:tcPr>
            <w:tcW w:w="1490"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评价内容</w:t>
            </w:r>
          </w:p>
        </w:tc>
        <w:tc>
          <w:tcPr>
            <w:tcW w:w="3509"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评价情况</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1.您认为保洁人员在工作中的仪容仪表和服务态度如何？</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2.您对本科室室内（含医生办公室、病房区域等）卫生是否满意？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3.您对公共区域（大厅、走廊、楼梯、通道）清洁频次、质量是否满意？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6.你对病房卫生间、工作区域有无积水、有无防滑措施是否满意？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4.您对卫生间的清洁频次、质量是否满意？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5.您对医院消毒消杀工作是否满意？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7.您对医院道路、绿化带环境卫生是否满意？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8.您对医院垃圾分类、垃圾及时处理是否满意？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9.您对保洁、绿化人员的工作责任心是否满意？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10.您对医院环境卫生整体工作是否满意？</w:t>
            </w:r>
          </w:p>
        </w:tc>
        <w:tc>
          <w:tcPr>
            <w:tcW w:w="3509"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非常满意(10分)  □ 较为满意(8分)  □ 一般满意(6分)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不太满意(4分)   □ 非常不满意(0分）</w:t>
            </w:r>
          </w:p>
        </w:tc>
      </w:tr>
      <w:tr>
        <w:tblPrEx>
          <w:tblW w:w="4998" w:type="pct"/>
          <w:jc w:val="center"/>
          <w:tblCellMar>
            <w:top w:w="0" w:type="dxa"/>
            <w:left w:w="108" w:type="dxa"/>
            <w:bottom w:w="0" w:type="dxa"/>
            <w:right w:w="108" w:type="dxa"/>
          </w:tblCellMar>
        </w:tblPrEx>
        <w:trPr>
          <w:trHeight w:val="907"/>
          <w:jc w:val="center"/>
        </w:trPr>
        <w:tc>
          <w:tcPr>
            <w:tcW w:w="1490"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11.您对医院环境卫生整体工作有何建议？</w:t>
            </w:r>
          </w:p>
        </w:tc>
        <w:tc>
          <w:tcPr>
            <w:tcW w:w="3509"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p>
        </w:tc>
      </w:tr>
      <w:tr>
        <w:tblPrEx>
          <w:tblW w:w="4998" w:type="pct"/>
          <w:jc w:val="center"/>
          <w:tblCellMar>
            <w:top w:w="0" w:type="dxa"/>
            <w:left w:w="108" w:type="dxa"/>
            <w:bottom w:w="0" w:type="dxa"/>
            <w:right w:w="108" w:type="dxa"/>
          </w:tblCellMar>
        </w:tblPrEx>
        <w:trPr>
          <w:trHeight w:val="624"/>
          <w:jc w:val="center"/>
        </w:trPr>
        <w:tc>
          <w:tcPr>
            <w:tcW w:w="5000" w:type="pct"/>
            <w:gridSpan w:val="2"/>
          </w:tcPr>
          <w:p>
            <w:pPr>
              <w:pageBreakBefore w:val="0"/>
              <w:widowControl w:val="0"/>
              <w:tabs>
                <w:tab w:val="left" w:pos="1839"/>
              </w:tabs>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备注：根据每季度满意度调查情况，整体满意度达到90分以上则不扣费用，每少5分扣罚1000元，以此类推，低于80分扣罚5000元并需提供整改报告。</w:t>
            </w:r>
          </w:p>
        </w:tc>
      </w:tr>
    </w:tbl>
    <w:p>
      <w:pPr>
        <w:pageBreakBefore w:val="0"/>
        <w:kinsoku/>
        <w:wordWrap/>
        <w:overflowPunct/>
        <w:autoSpaceDE/>
        <w:autoSpaceDN/>
        <w:bidi w:val="0"/>
        <w:spacing w:line="240" w:lineRule="auto"/>
        <w:ind w:firstLine="422"/>
        <w:jc w:val="center"/>
        <w:rPr>
          <w:rFonts w:asciiTheme="minorEastAsia" w:eastAsiaTheme="minorEastAsia" w:hAnsiTheme="minorEastAsia" w:cstheme="minorEastAsia" w:hint="eastAsia"/>
          <w:b/>
          <w:bCs/>
          <w:sz w:val="21"/>
          <w:szCs w:val="21"/>
        </w:rPr>
      </w:pPr>
    </w:p>
    <w:p>
      <w:pPr>
        <w:pageBreakBefore w:val="0"/>
        <w:kinsoku/>
        <w:wordWrap/>
        <w:overflowPunct/>
        <w:autoSpaceDE/>
        <w:autoSpaceDN/>
        <w:bidi w:val="0"/>
        <w:spacing w:line="360" w:lineRule="auto"/>
        <w:ind w:firstLine="422"/>
        <w:jc w:val="center"/>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医院物业服务季度满意度调查表（秩序维护）</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为进一步改进就医环境，改善服务态度，提升我们的物业服务管理水平，以便我们在今后的工作中能扬长避短，请您根据实际情况如实填写，感谢您的帮助和鼓励！</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填写人员：□ 患者  □ 医生  □ 护士  □ 行政         填写日期：   年    月   日</w:t>
      </w:r>
    </w:p>
    <w:tbl>
      <w:tblPr>
        <w:tblStyle w:val="TableGrid"/>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406"/>
        <w:gridCol w:w="6120"/>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15"/>
          <w:jc w:val="center"/>
        </w:trPr>
        <w:tc>
          <w:tcPr>
            <w:tcW w:w="1411"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评价内容</w:t>
            </w:r>
          </w:p>
        </w:tc>
        <w:tc>
          <w:tcPr>
            <w:tcW w:w="3588"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评价情况</w:t>
            </w:r>
          </w:p>
        </w:tc>
      </w:tr>
      <w:tr>
        <w:tblPrEx>
          <w:tblW w:w="4998" w:type="pct"/>
          <w:jc w:val="center"/>
          <w:tblCellMar>
            <w:top w:w="0" w:type="dxa"/>
            <w:left w:w="108" w:type="dxa"/>
            <w:bottom w:w="0" w:type="dxa"/>
            <w:right w:w="108" w:type="dxa"/>
          </w:tblCellMar>
        </w:tblPrEx>
        <w:trPr>
          <w:trHeight w:val="907"/>
          <w:jc w:val="center"/>
        </w:trPr>
        <w:tc>
          <w:tcPr>
            <w:tcW w:w="1411"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1.您认为安管人员在工作中的仪容仪表和服务态度如何？</w:t>
            </w:r>
          </w:p>
        </w:tc>
        <w:tc>
          <w:tcPr>
            <w:tcW w:w="3588"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411"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2.您认为安管人员在工作中的响应速度如何？</w:t>
            </w:r>
          </w:p>
        </w:tc>
        <w:tc>
          <w:tcPr>
            <w:tcW w:w="3588"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411"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3.您认为安管人员在工作中的服务技能如何？</w:t>
            </w:r>
          </w:p>
        </w:tc>
        <w:tc>
          <w:tcPr>
            <w:tcW w:w="3588"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411"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4.您对安管人员的工作责任心是否满意？</w:t>
            </w:r>
          </w:p>
        </w:tc>
        <w:tc>
          <w:tcPr>
            <w:tcW w:w="3588"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411"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5.您对医院秩序维护整体工作是否满意？</w:t>
            </w:r>
          </w:p>
        </w:tc>
        <w:tc>
          <w:tcPr>
            <w:tcW w:w="3588"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411"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6.您对医院秩序维护整体工作有何建议？</w:t>
            </w:r>
          </w:p>
        </w:tc>
        <w:tc>
          <w:tcPr>
            <w:tcW w:w="3588"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p>
        </w:tc>
      </w:tr>
      <w:tr>
        <w:tblPrEx>
          <w:tblW w:w="4998" w:type="pct"/>
          <w:jc w:val="center"/>
          <w:tblCellMar>
            <w:top w:w="0" w:type="dxa"/>
            <w:left w:w="108" w:type="dxa"/>
            <w:bottom w:w="0" w:type="dxa"/>
            <w:right w:w="108" w:type="dxa"/>
          </w:tblCellMar>
        </w:tblPrEx>
        <w:trPr>
          <w:trHeight w:val="624"/>
          <w:jc w:val="center"/>
        </w:trPr>
        <w:tc>
          <w:tcPr>
            <w:tcW w:w="5000" w:type="pct"/>
            <w:gridSpan w:val="2"/>
          </w:tcPr>
          <w:p>
            <w:pPr>
              <w:pageBreakBefore w:val="0"/>
              <w:widowControl w:val="0"/>
              <w:tabs>
                <w:tab w:val="left" w:pos="1839"/>
              </w:tabs>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备注：根据每季度满意度调查情况，整体满意度达到90分以上则不扣费用，每少5分扣罚1000元，以此类推，低于80分扣罚5000元并需提供整改报告。</w:t>
            </w:r>
          </w:p>
        </w:tc>
      </w:tr>
    </w:tbl>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br w:type="page"/>
      </w:r>
    </w:p>
    <w:p>
      <w:pPr>
        <w:pageBreakBefore w:val="0"/>
        <w:kinsoku/>
        <w:wordWrap/>
        <w:overflowPunct/>
        <w:autoSpaceDE/>
        <w:autoSpaceDN/>
        <w:bidi w:val="0"/>
        <w:spacing w:line="360" w:lineRule="auto"/>
        <w:ind w:firstLine="422"/>
        <w:jc w:val="center"/>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医院物业服务季度满意度调查表（工程管理）</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为进一步改进就医环境，改善服务态度，提升我们的物业服务管理水平，以便我们在今后的工作中能扬长避短，请您根据实际情况如实填写，感谢您的帮助和鼓励！</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填写人员：□ 患者  □ 医生  □ 护士  □ 行政         填写日期：   年    月   日</w:t>
      </w:r>
    </w:p>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p>
    <w:tbl>
      <w:tblPr>
        <w:tblStyle w:val="TableGrid"/>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271"/>
        <w:gridCol w:w="6255"/>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15"/>
          <w:jc w:val="center"/>
        </w:trPr>
        <w:tc>
          <w:tcPr>
            <w:tcW w:w="1332"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评价内容</w:t>
            </w:r>
          </w:p>
        </w:tc>
        <w:tc>
          <w:tcPr>
            <w:tcW w:w="3667"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评价情况</w:t>
            </w:r>
          </w:p>
        </w:tc>
      </w:tr>
      <w:tr>
        <w:tblPrEx>
          <w:tblW w:w="4998" w:type="pct"/>
          <w:jc w:val="center"/>
          <w:tblCellMar>
            <w:top w:w="0" w:type="dxa"/>
            <w:left w:w="108" w:type="dxa"/>
            <w:bottom w:w="0" w:type="dxa"/>
            <w:right w:w="108" w:type="dxa"/>
          </w:tblCellMar>
        </w:tblPrEx>
        <w:trPr>
          <w:trHeight w:val="907"/>
          <w:jc w:val="center"/>
        </w:trPr>
        <w:tc>
          <w:tcPr>
            <w:tcW w:w="1332"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1.您认为机电维修人员在工作中的仪容仪表和服务态度如何？</w:t>
            </w:r>
          </w:p>
        </w:tc>
        <w:tc>
          <w:tcPr>
            <w:tcW w:w="3667"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32"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2.您认为机电维修人员在工作中的响应速度如何？</w:t>
            </w:r>
          </w:p>
        </w:tc>
        <w:tc>
          <w:tcPr>
            <w:tcW w:w="3667"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32"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3.您认为机电维修人员在工作中的服务技能如何？</w:t>
            </w:r>
          </w:p>
        </w:tc>
        <w:tc>
          <w:tcPr>
            <w:tcW w:w="3667"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32"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4.您对机电维修人员的工作责任心是否满意？</w:t>
            </w:r>
          </w:p>
        </w:tc>
        <w:tc>
          <w:tcPr>
            <w:tcW w:w="3667"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32"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5.您对医院机电工程整体工作是否满意？</w:t>
            </w:r>
          </w:p>
        </w:tc>
        <w:tc>
          <w:tcPr>
            <w:tcW w:w="3667"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32"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6.您对医院机电工程整体工作有何建议？</w:t>
            </w:r>
          </w:p>
        </w:tc>
        <w:tc>
          <w:tcPr>
            <w:tcW w:w="3667"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p>
        </w:tc>
      </w:tr>
      <w:tr>
        <w:tblPrEx>
          <w:tblW w:w="4998" w:type="pct"/>
          <w:jc w:val="center"/>
          <w:tblCellMar>
            <w:top w:w="0" w:type="dxa"/>
            <w:left w:w="108" w:type="dxa"/>
            <w:bottom w:w="0" w:type="dxa"/>
            <w:right w:w="108" w:type="dxa"/>
          </w:tblCellMar>
        </w:tblPrEx>
        <w:trPr>
          <w:trHeight w:val="624"/>
          <w:jc w:val="center"/>
        </w:trPr>
        <w:tc>
          <w:tcPr>
            <w:tcW w:w="5000" w:type="pct"/>
            <w:gridSpan w:val="2"/>
          </w:tcPr>
          <w:p>
            <w:pPr>
              <w:pageBreakBefore w:val="0"/>
              <w:widowControl w:val="0"/>
              <w:tabs>
                <w:tab w:val="left" w:pos="1839"/>
              </w:tabs>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备注：根据每季度满意度调查情况，整体满意度达到90分以上则不扣费用，每少5分扣罚1000元，以此类推，低于80分扣罚5000元并需提供整改报告。</w:t>
            </w:r>
          </w:p>
        </w:tc>
      </w:tr>
    </w:tbl>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br w:type="page"/>
      </w:r>
    </w:p>
    <w:p>
      <w:pPr>
        <w:pageBreakBefore w:val="0"/>
        <w:kinsoku/>
        <w:wordWrap/>
        <w:overflowPunct/>
        <w:autoSpaceDE/>
        <w:autoSpaceDN/>
        <w:bidi w:val="0"/>
        <w:spacing w:line="360" w:lineRule="auto"/>
        <w:ind w:firstLine="422"/>
        <w:jc w:val="center"/>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医院物业服务季度满意度调查表（医疗辅助）</w:t>
      </w:r>
    </w:p>
    <w:p>
      <w:pPr>
        <w:pageBreakBefore w:val="0"/>
        <w:kinsoku/>
        <w:wordWrap/>
        <w:overflowPunct/>
        <w:autoSpaceDE/>
        <w:autoSpaceDN/>
        <w:bidi w:val="0"/>
        <w:spacing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为进一步改进就医环境，改善服务态度，提升我们的物业服务管理水平，以便我们在今后的工作中能扬长避短，请您根据实际情况如实填写，感谢您的帮助和鼓励！</w:t>
      </w:r>
    </w:p>
    <w:p>
      <w:pPr>
        <w:pageBreakBefore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填写人员：□ 患者  □ 医生  □ 护士  □ 行政         填写日期：   年    月   日</w:t>
      </w:r>
    </w:p>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p>
    <w:tbl>
      <w:tblPr>
        <w:tblStyle w:val="TableGrid"/>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256"/>
        <w:gridCol w:w="6270"/>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15"/>
          <w:jc w:val="center"/>
        </w:trPr>
        <w:tc>
          <w:tcPr>
            <w:tcW w:w="1323"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评价内容</w:t>
            </w:r>
          </w:p>
        </w:tc>
        <w:tc>
          <w:tcPr>
            <w:tcW w:w="3676" w:type="pct"/>
            <w:vAlign w:val="center"/>
          </w:tcPr>
          <w:p>
            <w:pPr>
              <w:pageBreakBefore w:val="0"/>
              <w:widowControl/>
              <w:kinsoku/>
              <w:wordWrap/>
              <w:overflowPunct/>
              <w:autoSpaceDE/>
              <w:autoSpaceDN/>
              <w:bidi w:val="0"/>
              <w:spacing w:line="360" w:lineRule="auto"/>
              <w:ind w:firstLine="420"/>
              <w:jc w:val="center"/>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评价情况</w:t>
            </w:r>
          </w:p>
        </w:tc>
      </w:tr>
      <w:tr>
        <w:tblPrEx>
          <w:tblW w:w="4998" w:type="pct"/>
          <w:jc w:val="center"/>
          <w:tblCellMar>
            <w:top w:w="0" w:type="dxa"/>
            <w:left w:w="108" w:type="dxa"/>
            <w:bottom w:w="0" w:type="dxa"/>
            <w:right w:w="108" w:type="dxa"/>
          </w:tblCellMar>
        </w:tblPrEx>
        <w:trPr>
          <w:trHeight w:val="907"/>
          <w:jc w:val="center"/>
        </w:trPr>
        <w:tc>
          <w:tcPr>
            <w:tcW w:w="1323"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1.您认为医疗辅助人员在工作中的仪容仪表和服务态度如何？</w:t>
            </w:r>
          </w:p>
        </w:tc>
        <w:tc>
          <w:tcPr>
            <w:tcW w:w="3676"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23"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2.您认为医疗辅助人员在工作中的响应速度如何？</w:t>
            </w:r>
          </w:p>
        </w:tc>
        <w:tc>
          <w:tcPr>
            <w:tcW w:w="3676"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23"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3.您认为医疗辅助人员在工作中的服务技能如何？</w:t>
            </w:r>
          </w:p>
        </w:tc>
        <w:tc>
          <w:tcPr>
            <w:tcW w:w="3676"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23"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4.您对医疗辅助人员的工作责任心是否满意？</w:t>
            </w:r>
          </w:p>
        </w:tc>
        <w:tc>
          <w:tcPr>
            <w:tcW w:w="3676"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23"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5.您对医院医疗辅助整体工作是否满意？</w:t>
            </w:r>
          </w:p>
        </w:tc>
        <w:tc>
          <w:tcPr>
            <w:tcW w:w="3676" w:type="pct"/>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 xml:space="preserve">□ 非常满意(20分)  □ 较为满意(16分)  □ 一般满意(12分)   </w:t>
            </w:r>
          </w:p>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 不太满意(8分)   □ 非常不满意(0分）</w:t>
            </w:r>
          </w:p>
        </w:tc>
      </w:tr>
      <w:tr>
        <w:tblPrEx>
          <w:tblW w:w="4998" w:type="pct"/>
          <w:jc w:val="center"/>
          <w:tblCellMar>
            <w:top w:w="0" w:type="dxa"/>
            <w:left w:w="108" w:type="dxa"/>
            <w:bottom w:w="0" w:type="dxa"/>
            <w:right w:w="108" w:type="dxa"/>
          </w:tblCellMar>
        </w:tblPrEx>
        <w:trPr>
          <w:trHeight w:val="907"/>
          <w:jc w:val="center"/>
        </w:trPr>
        <w:tc>
          <w:tcPr>
            <w:tcW w:w="1323"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6.您对医院医疗辅助整体工作有何建议？</w:t>
            </w:r>
          </w:p>
        </w:tc>
        <w:tc>
          <w:tcPr>
            <w:tcW w:w="3676" w:type="pct"/>
            <w:vAlign w:val="center"/>
          </w:tcPr>
          <w:p>
            <w:pPr>
              <w:pageBreakBefore w:val="0"/>
              <w:widowControl w:val="0"/>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p>
        </w:tc>
      </w:tr>
      <w:tr>
        <w:tblPrEx>
          <w:tblW w:w="4998" w:type="pct"/>
          <w:jc w:val="center"/>
          <w:tblCellMar>
            <w:top w:w="0" w:type="dxa"/>
            <w:left w:w="108" w:type="dxa"/>
            <w:bottom w:w="0" w:type="dxa"/>
            <w:right w:w="108" w:type="dxa"/>
          </w:tblCellMar>
        </w:tblPrEx>
        <w:trPr>
          <w:trHeight w:val="624"/>
          <w:jc w:val="center"/>
        </w:trPr>
        <w:tc>
          <w:tcPr>
            <w:tcW w:w="5000" w:type="pct"/>
            <w:gridSpan w:val="2"/>
          </w:tcPr>
          <w:p>
            <w:pPr>
              <w:pageBreakBefore w:val="0"/>
              <w:widowControl w:val="0"/>
              <w:tabs>
                <w:tab w:val="left" w:pos="1839"/>
              </w:tabs>
              <w:kinsoku/>
              <w:wordWrap/>
              <w:overflowPunct/>
              <w:autoSpaceDE/>
              <w:autoSpaceDN/>
              <w:bidi w:val="0"/>
              <w:spacing w:line="360" w:lineRule="auto"/>
              <w:ind w:firstLine="0" w:firstLineChars="0"/>
              <w:rPr>
                <w:rFonts w:asciiTheme="minorEastAsia" w:eastAsiaTheme="minorEastAsia" w:hAnsiTheme="minorEastAsia" w:cstheme="minorEastAsia" w:hint="eastAsia"/>
                <w:bCs/>
                <w:sz w:val="21"/>
                <w:szCs w:val="21"/>
              </w:rPr>
            </w:pPr>
            <w:r>
              <w:rPr>
                <w:rFonts w:asciiTheme="minorEastAsia" w:eastAsiaTheme="minorEastAsia" w:hAnsiTheme="minorEastAsia" w:cstheme="minorEastAsia" w:hint="eastAsia"/>
                <w:sz w:val="21"/>
                <w:szCs w:val="21"/>
              </w:rPr>
              <w:t>备注：根据每季度满意度调查情况，整体满意度达到90分以上则不扣费用，每少5分扣罚1000元，以此类推，低于80分扣罚5000元并需提供整改报告。</w:t>
            </w:r>
          </w:p>
        </w:tc>
      </w:tr>
    </w:tbl>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240" w:lineRule="auto"/>
        <w:ind w:firstLine="420"/>
        <w:rPr>
          <w:rFonts w:asciiTheme="minorEastAsia" w:eastAsiaTheme="minorEastAsia" w:hAnsiTheme="minorEastAsia" w:cstheme="minorEastAsia" w:hint="eastAsia"/>
          <w:sz w:val="21"/>
          <w:szCs w:val="21"/>
        </w:rPr>
      </w:pPr>
    </w:p>
    <w:p>
      <w:pPr>
        <w:pageBreakBefore w:val="0"/>
        <w:kinsoku/>
        <w:wordWrap/>
        <w:overflowPunct/>
        <w:autoSpaceDE/>
        <w:autoSpaceDN/>
        <w:bidi w:val="0"/>
        <w:spacing w:line="240" w:lineRule="auto"/>
        <w:ind w:firstLine="0" w:firstLineChars="0"/>
        <w:rPr>
          <w:rFonts w:asciiTheme="minorEastAsia" w:eastAsiaTheme="minorEastAsia" w:hAnsiTheme="minorEastAsia" w:cstheme="minorEastAsia" w:hint="eastAsia"/>
          <w:kern w:val="0"/>
          <w:sz w:val="21"/>
          <w:szCs w:val="21"/>
          <w:shd w:val="clear" w:color="auto" w:fill="FFFFFF"/>
        </w:rPr>
      </w:pPr>
      <w:r>
        <w:rPr>
          <w:rFonts w:asciiTheme="minorEastAsia" w:eastAsiaTheme="minorEastAsia" w:hAnsiTheme="minorEastAsia" w:cstheme="minorEastAsia" w:hint="eastAsia"/>
          <w:sz w:val="21"/>
          <w:szCs w:val="21"/>
          <w:shd w:val="clear" w:color="auto" w:fill="FFFFFF"/>
        </w:rPr>
        <w:br w:type="page"/>
      </w:r>
    </w:p>
    <w:p>
      <w:pPr>
        <w:pStyle w:val="NormalWeb"/>
        <w:pageBreakBefore w:val="0"/>
        <w:kinsoku/>
        <w:wordWrap/>
        <w:overflowPunct/>
        <w:autoSpaceDE/>
        <w:autoSpaceDN/>
        <w:bidi w:val="0"/>
        <w:spacing w:beforeAutospacing="0" w:afterAutospacing="0" w:line="240" w:lineRule="auto"/>
        <w:ind w:firstLine="420"/>
        <w:rPr>
          <w:rFonts w:asciiTheme="minorEastAsia" w:eastAsiaTheme="minorEastAsia" w:hAnsiTheme="minorEastAsia" w:cstheme="minorEastAsia" w:hint="eastAsia"/>
          <w:sz w:val="21"/>
          <w:szCs w:val="21"/>
          <w:shd w:val="clear" w:color="auto" w:fill="FFFFFF"/>
        </w:rPr>
      </w:pPr>
    </w:p>
    <w:p>
      <w:pPr>
        <w:pStyle w:val="Heading2"/>
        <w:keepNext w:val="0"/>
        <w:keepLines w:val="0"/>
        <w:pageBreakBefore w:val="0"/>
        <w:widowControl/>
        <w:numPr>
          <w:ilvl w:val="0"/>
          <w:numId w:val="0"/>
        </w:numPr>
        <w:kinsoku/>
        <w:wordWrap/>
        <w:overflowPunct/>
        <w:autoSpaceDE/>
        <w:autoSpaceDN/>
        <w:bidi w:val="0"/>
        <w:spacing w:line="360" w:lineRule="auto"/>
        <w:ind w:firstLine="0" w:firstLineChars="0"/>
        <w:textAlignment w:val="auto"/>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（五</w:t>
      </w:r>
      <w:r>
        <w:rPr>
          <w:rFonts w:asciiTheme="minorEastAsia" w:eastAsiaTheme="minorEastAsia" w:hAnsiTheme="minorEastAsia" w:cstheme="minorEastAsia" w:hint="eastAsia"/>
          <w:b/>
          <w:bCs/>
          <w:color w:val="auto"/>
          <w:sz w:val="21"/>
          <w:szCs w:val="21"/>
        </w:rPr>
        <w:t>）违约情形和处理</w:t>
      </w:r>
    </w:p>
    <w:p>
      <w:pPr>
        <w:pageBreakBefore w:val="0"/>
        <w:numPr>
          <w:ilvl w:val="255"/>
          <w:numId w:val="0"/>
        </w:numPr>
        <w:tabs>
          <w:tab w:val="left" w:pos="1440"/>
        </w:tabs>
        <w:kinsoku/>
        <w:wordWrap/>
        <w:overflowPunct/>
        <w:autoSpaceDE/>
        <w:autoSpaceDN/>
        <w:bidi w:val="0"/>
        <w:spacing w:beforeLines="0" w:afterLines="0"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中标单位在合同执行期间有下列行为之一的，采购人有权直接解除合同：</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擅自变更或者中止采购服务合同的；</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在项目服务期间，未经采购人同意，随意变更管理层人员；</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不按采购需求、招投标文件以及服务合同要求全面履约的；</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服务以次充好且不改正的；</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质量出现问题，引起纠纷的；</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造成严重后果或恶劣影响的；</w:t>
      </w:r>
    </w:p>
    <w:p>
      <w:pPr>
        <w:pStyle w:val="ListParagraph"/>
        <w:pageBreakBefore w:val="0"/>
        <w:numPr>
          <w:ilvl w:val="0"/>
          <w:numId w:val="37"/>
        </w:numPr>
        <w:tabs>
          <w:tab w:val="left" w:pos="0"/>
          <w:tab w:val="left" w:pos="1440"/>
        </w:tabs>
        <w:kinsoku/>
        <w:wordWrap/>
        <w:overflowPunct/>
        <w:autoSpaceDE/>
        <w:autoSpaceDN/>
        <w:bidi w:val="0"/>
        <w:spacing w:beforeLines="0" w:afterLines="0" w:line="360" w:lineRule="auto"/>
        <w:ind w:left="0" w:firstLine="420" w:firstLineChars="0"/>
        <w:jc w:val="left"/>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违规进行项目分包或未经采购人同意将项目分包；</w:t>
      </w:r>
    </w:p>
    <w:p>
      <w:pPr>
        <w:pStyle w:val="Heading2"/>
        <w:pageBreakBefore w:val="0"/>
        <w:widowControl/>
        <w:numPr>
          <w:ilvl w:val="0"/>
          <w:numId w:val="0"/>
        </w:numPr>
        <w:kinsoku/>
        <w:wordWrap/>
        <w:overflowPunct/>
        <w:autoSpaceDE/>
        <w:autoSpaceDN/>
        <w:bidi w:val="0"/>
        <w:spacing w:line="360" w:lineRule="auto"/>
        <w:ind w:firstLine="0" w:firstLineChars="0"/>
        <w:textAlignment w:val="auto"/>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（六）特别声明</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1.中标单位按劳动法和有关法律法规为配备的人员支付工资、保险、高温补贴等一切应付费用，并办理入职体检。</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2.员工工资发放及相关保险缴纳依法依规。</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3.中标单位物业管理人员常驻深圳市龙岗区人民医院开展日常管理工作。</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4.中标单位按时向员工发放工资，非因采购人未及时结算物业费原因导致拖欠工资投诉2次以上，视同中标单位违约，采购人可单方面解除物业管理服务合同。</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5.采购人对中标单位聘用人员不满意，有权要求更换中标单位无条件服从并更换。</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7.所有员工执行考勤制度，员工请假，中标单位安排人</w:t>
      </w:r>
      <w:r>
        <w:rPr>
          <w:rFonts w:asciiTheme="minorEastAsia" w:eastAsiaTheme="minorEastAsia" w:hAnsiTheme="minorEastAsia" w:cstheme="minorEastAsia" w:hint="eastAsia"/>
          <w:sz w:val="21"/>
          <w:szCs w:val="21"/>
          <w:lang w:eastAsia="zh-CN"/>
        </w:rPr>
        <w:t>员</w:t>
      </w:r>
      <w:r>
        <w:rPr>
          <w:rFonts w:asciiTheme="minorEastAsia" w:eastAsiaTheme="minorEastAsia" w:hAnsiTheme="minorEastAsia" w:cstheme="minorEastAsia" w:hint="eastAsia"/>
          <w:sz w:val="21"/>
          <w:szCs w:val="21"/>
        </w:rPr>
        <w:t>顶岗。</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8.中标单位应当自觉遵守国家相关法律法规和政策，否则，自行承担相应后果。</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9.中标单位不以不合理理由要求增加费用或降低服务品质，违反以上任一条款的，均视为违约，采购人有权解除合同。</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10.中标单位在合同执行期间，接受政府采购监管部门和采购人的监管。</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11.所有员工在深圳市龙岗人民医院工作期间服从统一管理和调度，严格遵守规章制度。</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12.中标单位周末和节假日期间提供正常后勤保障服务且服务品质不低于日常服务品质。</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13.中标单位应在中标后3个月内在采购人所在市辖区设立服务点或注册分公司。</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特别提醒：中标单位严格按照招标文件项目服务要求按时派驻足够数量并符合“岗位具体条件要求”的工作人员到岗，本项目“岗位具体条件要求”有特别说明，请认真核算该要求条件工作人员的工资、福利等人员经费成本，避免中标价格过低导致无法履约或服务质量不合格。</w:t>
      </w:r>
    </w:p>
    <w:p>
      <w:pPr>
        <w:pageBreakBefore w:val="0"/>
        <w:kinsoku/>
        <w:wordWrap/>
        <w:overflowPunct/>
        <w:autoSpaceDE/>
        <w:autoSpaceDN/>
        <w:bidi w:val="0"/>
        <w:spacing w:beforeLines="0" w:afterLines="0" w:line="360" w:lineRule="auto"/>
        <w:ind w:firstLine="42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如中标单位无法按相关要求按时派驻足够符合要求条件的工作人员上岗，或中途出现缺岗的情况，采购人将严格按照采购“违约责任”严肃处理。</w:t>
      </w:r>
    </w:p>
    <w:p>
      <w:pPr>
        <w:spacing w:beforeLines="0" w:afterLines="0" w:line="360" w:lineRule="auto"/>
        <w:ind w:firstLine="420" w:firstLineChars="200"/>
        <w:rPr>
          <w:rFonts w:asciiTheme="minorEastAsia" w:eastAsiaTheme="minorEastAsia" w:hAnsiTheme="minorEastAsia"/>
          <w:szCs w:val="21"/>
        </w:rPr>
      </w:pPr>
    </w:p>
    <w:p>
      <w:pPr>
        <w:spacing w:beforeLines="0" w:afterLines="0" w:line="360" w:lineRule="auto"/>
        <w:rPr>
          <w:szCs w:val="21"/>
        </w:rPr>
      </w:pPr>
    </w:p>
    <w:p>
      <w:pPr>
        <w:pStyle w:val="Heading2"/>
        <w:widowControl/>
        <w:numPr>
          <w:ilvl w:val="0"/>
          <w:numId w:val="0"/>
        </w:numPr>
        <w:spacing w:before="-858993459" w:beforeLines="-2147483648" w:after="-858993459" w:afterLines="-2147483648" w:line="360" w:lineRule="auto"/>
        <w:textAlignment w:val="auto"/>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七、其他重要条款</w:t>
      </w:r>
    </w:p>
    <w:p>
      <w:pPr>
        <w:spacing w:beforeLines="0" w:afterLines="0" w:line="360" w:lineRule="auto"/>
        <w:ind w:firstLine="420" w:firstLineChars="200"/>
        <w:rPr>
          <w:bCs/>
          <w:szCs w:val="21"/>
        </w:rPr>
      </w:pPr>
      <w:r>
        <w:rPr>
          <w:rFonts w:hint="eastAsia"/>
          <w:bCs/>
          <w:szCs w:val="21"/>
        </w:rPr>
        <w:t>1</w:t>
      </w:r>
      <w:r>
        <w:rPr>
          <w:rFonts w:hint="eastAsia"/>
          <w:bCs/>
          <w:szCs w:val="21"/>
          <w:lang w:val="en-US" w:eastAsia="zh-CN"/>
        </w:rPr>
        <w:t>.</w:t>
      </w:r>
      <w:r>
        <w:rPr>
          <w:rFonts w:hint="eastAsia"/>
          <w:bCs/>
          <w:szCs w:val="21"/>
        </w:rPr>
        <w:t>本项目投标报价采用包干制，应包括成本、法定税费和相应的利润，应涵盖本项目招标范围和招标文件所列的各项内容中所述的全部。由投标人根据招标需求自行测算投标报价；一经中标，投标报价即作为中标单位与采购人签订的合同金额。</w:t>
      </w:r>
    </w:p>
    <w:p>
      <w:pPr>
        <w:pStyle w:val="NormalIndent"/>
        <w:spacing w:before="0" w:beforeLines="0" w:after="0" w:afterLines="0" w:line="360" w:lineRule="auto"/>
        <w:ind w:firstLine="393" w:firstLineChars="187"/>
        <w:rPr>
          <w:rFonts w:ascii="宋体" w:hAnsi="宋体"/>
          <w:szCs w:val="21"/>
        </w:rPr>
      </w:pPr>
      <w:r>
        <w:rPr>
          <w:bCs/>
          <w:szCs w:val="21"/>
        </w:rPr>
        <w:t>2</w:t>
      </w:r>
      <w:r>
        <w:rPr>
          <w:rFonts w:hint="eastAsia"/>
          <w:bCs/>
          <w:szCs w:val="21"/>
          <w:lang w:eastAsia="zh-CN"/>
        </w:rPr>
        <w:t>.</w:t>
      </w:r>
      <w:r>
        <w:rPr>
          <w:rFonts w:hint="eastAsia"/>
          <w:bCs/>
          <w:szCs w:val="21"/>
        </w:rPr>
        <w:t>投标人应充分了解项目的位置、情况、道路及任何其</w:t>
      </w:r>
      <w:r>
        <w:rPr>
          <w:rFonts w:hint="eastAsia"/>
          <w:bCs/>
          <w:szCs w:val="21"/>
          <w:lang w:eastAsia="zh-CN"/>
        </w:rPr>
        <w:t>他</w:t>
      </w:r>
      <w:r>
        <w:rPr>
          <w:rFonts w:hint="eastAsia"/>
          <w:bCs/>
          <w:szCs w:val="21"/>
        </w:rPr>
        <w:t>足以影响投标报价的情况，任何因忽视或误解项目情况而导致的索赔或服务期限延长申请将不获批准。</w:t>
      </w:r>
    </w:p>
    <w:p>
      <w:pPr>
        <w:spacing w:beforeLines="0" w:afterLines="0" w:line="360" w:lineRule="auto"/>
        <w:ind w:firstLine="420" w:firstLineChars="200"/>
        <w:rPr>
          <w:bCs/>
          <w:szCs w:val="21"/>
        </w:rPr>
      </w:pPr>
      <w:r>
        <w:rPr>
          <w:bCs/>
          <w:szCs w:val="21"/>
        </w:rPr>
        <w:t>3</w:t>
      </w:r>
      <w:r>
        <w:rPr>
          <w:rFonts w:hint="eastAsia"/>
          <w:bCs/>
          <w:szCs w:val="21"/>
          <w:lang w:eastAsia="zh-CN"/>
        </w:rPr>
        <w:t>.</w:t>
      </w:r>
      <w:r>
        <w:rPr>
          <w:rFonts w:hint="eastAsia"/>
          <w:bCs/>
          <w:szCs w:val="21"/>
        </w:rPr>
        <w:t>投标人不得期望通过索赔等方式获取补偿，否则，除可能遭到拒绝外，还可能将被作为不良行为记录在案，并可能影响其以后参加政府采购的项目投标。各投标人在投标报价时，应充分考虑投标报价的风险。</w:t>
      </w:r>
    </w:p>
    <w:p>
      <w:pPr>
        <w:spacing w:beforeLines="0" w:afterLines="0" w:line="360" w:lineRule="auto"/>
        <w:ind w:firstLine="420" w:firstLineChars="200"/>
        <w:rPr>
          <w:bCs/>
          <w:szCs w:val="21"/>
        </w:rPr>
      </w:pPr>
      <w:r>
        <w:rPr>
          <w:rFonts w:ascii="Times New Roman" w:eastAsia="宋体" w:hint="eastAsia"/>
          <w:bCs/>
          <w:szCs w:val="21"/>
          <w:lang w:val="en-US" w:eastAsia="zh-CN"/>
        </w:rPr>
        <w:t>4</w:t>
      </w:r>
      <w:r>
        <w:rPr>
          <w:rFonts w:hint="eastAsia"/>
          <w:bCs/>
          <w:szCs w:val="21"/>
          <w:lang w:eastAsia="zh-CN"/>
        </w:rPr>
        <w:t>.</w:t>
      </w:r>
      <w:r>
        <w:rPr>
          <w:rFonts w:hint="eastAsia"/>
          <w:bCs/>
          <w:szCs w:val="21"/>
        </w:rPr>
        <w:t>除政府采购合同继续履行将损害国家利益和社会公共利益外，双方当事人不得擅自变更、中止或者终止合同。</w:t>
      </w:r>
    </w:p>
    <w:p>
      <w:pPr>
        <w:spacing w:beforeLines="0" w:afterLines="0" w:line="360" w:lineRule="auto"/>
        <w:ind w:firstLine="420" w:firstLineChars="200"/>
        <w:rPr>
          <w:rFonts w:eastAsia="宋体" w:hint="eastAsia"/>
          <w:bCs/>
          <w:szCs w:val="21"/>
          <w:lang w:val="en-US" w:eastAsia="zh-CN"/>
        </w:rPr>
      </w:pPr>
      <w:r>
        <w:rPr>
          <w:rFonts w:ascii="Times New Roman" w:eastAsia="宋体" w:hint="eastAsia"/>
          <w:bCs/>
          <w:szCs w:val="21"/>
          <w:lang w:val="en-US" w:eastAsia="zh-CN"/>
        </w:rPr>
        <w:t>5</w:t>
      </w:r>
      <w:r>
        <w:rPr>
          <w:rFonts w:hint="eastAsia"/>
          <w:bCs/>
          <w:szCs w:val="21"/>
          <w:lang w:eastAsia="zh-CN"/>
        </w:rPr>
        <w:t>.</w:t>
      </w:r>
      <w:r>
        <w:rPr>
          <w:rFonts w:hint="eastAsia"/>
          <w:bCs/>
          <w:szCs w:val="21"/>
        </w:rPr>
        <w:t>“信用中国”中“信用服务”栏的“重大税收违法失信主体”“失信被执行人”，“中国政府采购网”中的“政府采购严重违法失信行为记录名单”，以及“深圳市政府采购监管网”为供应商信用信息的查询渠道，相关信息以开标当日的查询结果为准</w:t>
      </w:r>
      <w:r>
        <w:rPr>
          <w:rFonts w:ascii="Times New Roman" w:eastAsia="宋体" w:hint="eastAsia"/>
          <w:bCs/>
          <w:szCs w:val="21"/>
          <w:lang w:val="en-US" w:eastAsia="zh-CN"/>
        </w:rPr>
        <w:t>。</w:t>
      </w:r>
    </w:p>
    <w:p>
      <w:pPr>
        <w:pStyle w:val="NormalIndent"/>
        <w:spacing w:before="60" w:beforeLines="25" w:after="60" w:afterLines="25"/>
        <w:ind w:left="0" w:firstLine="0" w:leftChars="0" w:firstLineChars="0"/>
        <w:rPr>
          <w:rFonts w:ascii="宋体" w:hAnsi="宋体"/>
          <w:szCs w:val="21"/>
        </w:rPr>
      </w:pPr>
    </w:p>
    <w:p>
      <w:r>
        <w:rPr>
          <w:rFonts w:hint="eastAsia"/>
        </w:rPr>
        <w:br w:type="page"/>
      </w:r>
    </w:p>
    <w:p>
      <w:pPr>
        <w:pStyle w:val="Heading2"/>
        <w:numPr>
          <w:ilvl w:val="0"/>
          <w:numId w:val="8"/>
        </w:numPr>
        <w:rPr>
          <w:rFonts w:hint="eastAsia"/>
          <w:b/>
          <w:bCs/>
          <w:kern w:val="0"/>
          <w:sz w:val="28"/>
          <w:szCs w:val="28"/>
        </w:rPr>
      </w:pPr>
      <w:r>
        <w:rPr>
          <w:rFonts w:hint="eastAsia"/>
          <w:b/>
          <w:bCs/>
          <w:kern w:val="0"/>
          <w:sz w:val="28"/>
          <w:szCs w:val="28"/>
        </w:rPr>
        <w:t>投标文件组成要求及格式</w:t>
      </w:r>
    </w:p>
    <w:p>
      <w:pPr>
        <w:pStyle w:val="Heading2"/>
        <w:numPr>
          <w:ilvl w:val="255"/>
          <w:numId w:val="0"/>
        </w:numPr>
        <w:jc w:val="both"/>
        <w:rPr>
          <w:rFonts w:hint="eastAsia"/>
          <w:b/>
          <w:bCs/>
          <w:kern w:val="0"/>
          <w:sz w:val="28"/>
          <w:szCs w:val="28"/>
        </w:rPr>
      </w:pPr>
    </w:p>
    <w:p>
      <w:pPr>
        <w:spacing w:line="360" w:lineRule="auto"/>
        <w:ind w:firstLine="420" w:firstLineChars="200"/>
        <w:rPr>
          <w:rStyle w:val="3Char"/>
          <w:rFonts w:hAnsi="黑体" w:cs="黑体" w:hint="eastAsia"/>
          <w:b/>
          <w:bCs w:val="0"/>
          <w:sz w:val="21"/>
          <w:szCs w:val="21"/>
        </w:rPr>
      </w:pPr>
      <w:r>
        <w:rPr>
          <w:rStyle w:val="3Char"/>
          <w:rFonts w:hAnsi="黑体" w:cs="黑体" w:hint="eastAsia"/>
          <w:b/>
          <w:bCs w:val="0"/>
          <w:sz w:val="21"/>
          <w:szCs w:val="21"/>
        </w:rPr>
        <w:t>特别提醒：</w:t>
      </w:r>
    </w:p>
    <w:p>
      <w:pPr>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投标文件正文将对外公开，投标文件附件不公开。投标人在编辑投标文件时，在投标文件目录中属于本节点内容的必须在本节点中填写，填写到其他节点或附件的将可能导致投标无效，一切后果由供应商自行承担。</w:t>
      </w:r>
    </w:p>
    <w:p>
      <w:pPr>
        <w:spacing w:line="360" w:lineRule="auto"/>
        <w:rPr>
          <w:rFonts w:ascii="仿宋_GB2312" w:eastAsia="仿宋_GB2312"/>
          <w:sz w:val="24"/>
        </w:rPr>
      </w:pPr>
      <w:r>
        <w:rPr>
          <w:rFonts w:asciiTheme="minorEastAsia" w:eastAsiaTheme="minorEastAsia" w:hAnsiTheme="minorEastAsia" w:cstheme="minorEastAsia" w:hint="eastAsia"/>
          <w:sz w:val="21"/>
          <w:szCs w:val="21"/>
        </w:rPr>
        <w:t xml:space="preserve">    投标文件正文（信息公开部分）必须编制于“正文（公开部分）”，投标文件附件（非信息公开部分）必须编制于“附件（不公开部分）”，如下图所示。</w:t>
      </w:r>
    </w:p>
    <w:p>
      <w:pPr>
        <w:widowControl/>
        <w:jc w:val="left"/>
        <w:rPr>
          <w:rFonts w:ascii="宋体" w:hAnsi="宋体" w:cs="宋体"/>
          <w:kern w:val="0"/>
          <w:sz w:val="24"/>
        </w:rPr>
      </w:pPr>
      <w:r>
        <w:drawing>
          <wp:inline distT="0" distB="0" distL="114300" distR="114300">
            <wp:extent cx="5203190" cy="4043045"/>
            <wp:effectExtent l="0" t="0" r="8890" b="10795"/>
            <wp:docPr id="8" name="图片 1" descr="c66f322b8feee32c1a3f0d48f365c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66f322b8feee32c1a3f0d48f365c82"/>
                    <pic:cNvPicPr>
                      <a:picLocks noChangeAspect="1"/>
                    </pic:cNvPicPr>
                  </pic:nvPicPr>
                  <pic:blipFill>
                    <a:blip r:embed="rId6"/>
                    <a:stretch>
                      <a:fillRect/>
                    </a:stretch>
                  </pic:blipFill>
                  <pic:spPr>
                    <a:xfrm>
                      <a:off x="0" y="0"/>
                      <a:ext cx="5203190" cy="4043045"/>
                    </a:xfrm>
                    <a:prstGeom prst="rect">
                      <a:avLst/>
                    </a:prstGeom>
                  </pic:spPr>
                </pic:pic>
              </a:graphicData>
            </a:graphic>
          </wp:inline>
        </w:drawing>
      </w:r>
    </w:p>
    <w:p>
      <w:pPr>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政府集中采购机构公布投标文件正文（信息公开部分）时为计算机截取信息自动公布，</w:t>
      </w:r>
      <w:r>
        <w:rPr>
          <w:rFonts w:asciiTheme="minorEastAsia" w:eastAsiaTheme="minorEastAsia" w:hAnsiTheme="minorEastAsia" w:cstheme="minorEastAsia" w:hint="eastAsia"/>
          <w:b/>
          <w:bCs/>
          <w:sz w:val="21"/>
          <w:szCs w:val="21"/>
        </w:rPr>
        <w:t>如投标人误将涉及个人隐私的信息放入投标文件正文，相关后果由投标人自负；</w:t>
      </w:r>
      <w:r>
        <w:rPr>
          <w:rFonts w:asciiTheme="minorEastAsia" w:eastAsiaTheme="minorEastAsia" w:hAnsiTheme="minorEastAsia" w:cstheme="minorEastAsia" w:hint="eastAsia"/>
          <w:sz w:val="21"/>
          <w:szCs w:val="21"/>
          <w:highlight w:val="yellow"/>
        </w:rPr>
        <w:t>如投标人将必须放于投标文件正文（信息公开部分）的内容放入投标文件附件（非信息公开部分），将作投标无效处理。</w:t>
      </w:r>
    </w:p>
    <w:p>
      <w:pPr>
        <w:ind w:firstLine="420" w:firstLineChars="200"/>
        <w:rPr>
          <w:rFonts w:ascii="仿宋_GB2312" w:eastAsia="仿宋_GB2312"/>
          <w:sz w:val="24"/>
        </w:rPr>
      </w:pPr>
    </w:p>
    <w:p>
      <w:pPr>
        <w:ind w:firstLine="420" w:firstLineChars="200"/>
        <w:rPr>
          <w:rFonts w:ascii="宋体" w:hAnsi="宋体"/>
          <w:b/>
          <w:sz w:val="24"/>
        </w:rPr>
      </w:pPr>
    </w:p>
    <w:p>
      <w:pPr>
        <w:spacing w:line="360" w:lineRule="auto"/>
        <w:ind w:firstLine="420" w:firstLineChars="20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投标文件组成：</w:t>
      </w:r>
    </w:p>
    <w:p>
      <w:pPr>
        <w:spacing w:line="360" w:lineRule="auto"/>
        <w:ind w:firstLine="420" w:firstLineChars="200"/>
        <w:outlineLvl w:val="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1.投标文件正文</w:t>
      </w:r>
      <w:r>
        <w:rPr>
          <w:rFonts w:asciiTheme="minorEastAsia" w:eastAsiaTheme="minorEastAsia" w:hAnsiTheme="minorEastAsia" w:cstheme="minorEastAsia" w:hint="eastAsia"/>
          <w:b/>
          <w:color w:val="FF0000"/>
          <w:sz w:val="21"/>
          <w:szCs w:val="21"/>
        </w:rPr>
        <w:t>（信息公开部分）</w:t>
      </w:r>
      <w:r>
        <w:rPr>
          <w:rFonts w:asciiTheme="minorEastAsia" w:eastAsiaTheme="minorEastAsia" w:hAnsiTheme="minorEastAsia" w:cstheme="minorEastAsia" w:hint="eastAsia"/>
          <w:sz w:val="21"/>
          <w:szCs w:val="21"/>
        </w:rPr>
        <w:t>，主要包括以下内容：</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（1）</w:t>
      </w:r>
      <w:bookmarkStart w:id="33" w:name="_Hlk72070784"/>
      <w:r>
        <w:rPr>
          <w:rFonts w:asciiTheme="minorEastAsia" w:eastAsiaTheme="minorEastAsia" w:hAnsiTheme="minorEastAsia" w:cstheme="minorEastAsia" w:hint="eastAsia"/>
          <w:szCs w:val="21"/>
        </w:rPr>
        <w:t>投标函</w:t>
      </w:r>
      <w:bookmarkEnd w:id="33"/>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（2）</w:t>
      </w:r>
      <w:bookmarkStart w:id="34" w:name="_Hlk72062521"/>
      <w:r>
        <w:rPr>
          <w:rFonts w:asciiTheme="minorEastAsia" w:eastAsiaTheme="minorEastAsia" w:hAnsiTheme="minorEastAsia" w:cstheme="minorEastAsia" w:hint="eastAsia"/>
          <w:szCs w:val="21"/>
        </w:rPr>
        <w:t>政府采购投标及履约承诺函</w:t>
      </w:r>
      <w:bookmarkEnd w:id="34"/>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（3）投标人情况及资格证明文件</w:t>
      </w:r>
    </w:p>
    <w:p>
      <w:pPr>
        <w:spacing w:line="360" w:lineRule="auto"/>
        <w:ind w:left="0" w:firstLine="420" w:leftChars="0" w:firstLineChars="200"/>
        <w:rPr>
          <w:rFonts w:asciiTheme="minorEastAsia" w:eastAsiaTheme="minorEastAsia" w:hAnsiTheme="minorEastAsia" w:cstheme="minorEastAsia" w:hint="eastAsia"/>
          <w:szCs w:val="21"/>
        </w:rPr>
      </w:pPr>
      <w:bookmarkStart w:id="35" w:name="_Hlk72257201"/>
      <w:r>
        <w:rPr>
          <w:rFonts w:asciiTheme="minorEastAsia" w:eastAsiaTheme="minorEastAsia" w:hAnsiTheme="minorEastAsia" w:cstheme="minorEastAsia" w:hint="eastAsia"/>
          <w:szCs w:val="21"/>
        </w:rPr>
        <w:t>（4）项目详细报价</w:t>
      </w:r>
      <w:bookmarkEnd w:id="35"/>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5</w:t>
      </w:r>
      <w:r>
        <w:rPr>
          <w:rFonts w:asciiTheme="minorEastAsia" w:eastAsiaTheme="minorEastAsia" w:hAnsiTheme="minorEastAsia" w:cstheme="minorEastAsia" w:hint="eastAsia"/>
          <w:szCs w:val="21"/>
        </w:rPr>
        <w:t>）供应商认证情况</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6</w:t>
      </w:r>
      <w:r>
        <w:rPr>
          <w:rFonts w:asciiTheme="minorEastAsia" w:eastAsiaTheme="minorEastAsia" w:hAnsiTheme="minorEastAsia" w:cstheme="minorEastAsia" w:hint="eastAsia"/>
          <w:szCs w:val="21"/>
        </w:rPr>
        <w:t>）企业荣誉</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7</w:t>
      </w:r>
      <w:r>
        <w:rPr>
          <w:rFonts w:asciiTheme="minorEastAsia" w:eastAsiaTheme="minorEastAsia" w:hAnsiTheme="minorEastAsia" w:cstheme="minorEastAsia" w:hint="eastAsia"/>
          <w:szCs w:val="21"/>
        </w:rPr>
        <w:t>）同类型项目业绩及履约评价</w:t>
      </w:r>
    </w:p>
    <w:p>
      <w:pPr>
        <w:pStyle w:val="BodyText"/>
        <w:rPr>
          <w:rFonts w:asciiTheme="minorEastAsia" w:eastAsiaTheme="minorEastAsia" w:hAnsiTheme="minorEastAsia" w:cstheme="minorEastAsia" w:hint="default"/>
          <w:b w:val="0"/>
          <w:bCs w:val="0"/>
          <w:kern w:val="2"/>
          <w:sz w:val="21"/>
          <w:szCs w:val="21"/>
          <w:lang w:val="en-US" w:eastAsia="zh-CN" w:bidi="ar-SA"/>
        </w:rPr>
      </w:pPr>
      <w:r>
        <w:rPr>
          <w:rFonts w:asciiTheme="minorEastAsia" w:eastAsiaTheme="minorEastAsia" w:hAnsiTheme="minorEastAsia" w:cstheme="minorEastAsia" w:hint="eastAsia"/>
          <w:szCs w:val="21"/>
          <w:lang w:val="en-US" w:eastAsia="zh-CN"/>
        </w:rPr>
        <w:t xml:space="preserve">    </w:t>
      </w:r>
      <w:r>
        <w:rPr>
          <w:rFonts w:asciiTheme="minorEastAsia" w:eastAsiaTheme="minorEastAsia" w:hAnsiTheme="minorEastAsia" w:cstheme="minorEastAsia" w:hint="eastAsia"/>
          <w:b w:val="0"/>
          <w:bCs w:val="0"/>
          <w:kern w:val="2"/>
          <w:sz w:val="21"/>
          <w:szCs w:val="21"/>
          <w:lang w:val="en-US" w:eastAsia="zh-CN" w:bidi="ar-SA"/>
        </w:rPr>
        <w:t>（8）分包意向协议</w:t>
      </w:r>
    </w:p>
    <w:p>
      <w:pPr>
        <w:spacing w:line="360" w:lineRule="auto"/>
        <w:ind w:firstLine="420" w:firstLineChars="200"/>
        <w:outlineLvl w:val="0"/>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2.投标文件附件</w:t>
      </w:r>
      <w:r>
        <w:rPr>
          <w:rFonts w:asciiTheme="minorEastAsia" w:eastAsiaTheme="minorEastAsia" w:hAnsiTheme="minorEastAsia" w:cstheme="minorEastAsia" w:hint="eastAsia"/>
          <w:b/>
          <w:color w:val="FF0000"/>
          <w:sz w:val="21"/>
          <w:szCs w:val="21"/>
        </w:rPr>
        <w:t>（信息不公开部分）</w:t>
      </w:r>
      <w:r>
        <w:rPr>
          <w:rFonts w:asciiTheme="minorEastAsia" w:eastAsiaTheme="minorEastAsia" w:hAnsiTheme="minorEastAsia" w:cstheme="minorEastAsia" w:hint="eastAsia"/>
          <w:sz w:val="21"/>
          <w:szCs w:val="21"/>
        </w:rPr>
        <w:t>：主要包括以下内容：</w:t>
      </w:r>
    </w:p>
    <w:p>
      <w:pPr>
        <w:spacing w:line="360" w:lineRule="auto"/>
        <w:ind w:firstLine="42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val="en-US" w:eastAsia="zh-CN"/>
        </w:rPr>
        <w:t>1</w:t>
      </w:r>
      <w:r>
        <w:rPr>
          <w:rFonts w:asciiTheme="minorEastAsia" w:eastAsiaTheme="minorEastAsia" w:hAnsiTheme="minorEastAsia" w:cstheme="minorEastAsia" w:hint="eastAsia"/>
          <w:szCs w:val="21"/>
          <w:lang w:eastAsia="zh-CN"/>
        </w:rPr>
        <w:t>）供应商基本情况表</w:t>
      </w:r>
    </w:p>
    <w:p>
      <w:pPr>
        <w:spacing w:line="360" w:lineRule="auto"/>
        <w:ind w:firstLine="42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2</w:t>
      </w:r>
      <w:r>
        <w:rPr>
          <w:rFonts w:asciiTheme="minorEastAsia" w:eastAsiaTheme="minorEastAsia" w:hAnsiTheme="minorEastAsia" w:cstheme="minorEastAsia" w:hint="eastAsia"/>
          <w:szCs w:val="21"/>
        </w:rPr>
        <w:t>）法定代表人（负责人）证明书</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3</w:t>
      </w:r>
      <w:r>
        <w:rPr>
          <w:rFonts w:asciiTheme="minorEastAsia" w:eastAsiaTheme="minorEastAsia" w:hAnsiTheme="minorEastAsia" w:cstheme="minorEastAsia" w:hint="eastAsia"/>
          <w:szCs w:val="21"/>
        </w:rPr>
        <w:t>）投标文件签署授权委托书</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4</w:t>
      </w:r>
      <w:r>
        <w:rPr>
          <w:rFonts w:asciiTheme="minorEastAsia" w:eastAsiaTheme="minorEastAsia" w:hAnsiTheme="minorEastAsia" w:cstheme="minorEastAsia" w:hint="eastAsia"/>
          <w:szCs w:val="21"/>
        </w:rPr>
        <w:t>）实质性条款响应情况表</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5</w:t>
      </w:r>
      <w:r>
        <w:rPr>
          <w:rFonts w:asciiTheme="minorEastAsia" w:eastAsiaTheme="minorEastAsia" w:hAnsiTheme="minorEastAsia" w:cstheme="minorEastAsia" w:hint="eastAsia"/>
          <w:szCs w:val="21"/>
        </w:rPr>
        <w:t>）项目管理整体设想及策划</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6</w:t>
      </w:r>
      <w:r>
        <w:rPr>
          <w:rFonts w:asciiTheme="minorEastAsia" w:eastAsiaTheme="minorEastAsia" w:hAnsiTheme="minorEastAsia" w:cstheme="minorEastAsia" w:hint="eastAsia"/>
          <w:szCs w:val="21"/>
        </w:rPr>
        <w:t>）制度和档案的建立与管理</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7</w:t>
      </w:r>
      <w:r>
        <w:rPr>
          <w:rFonts w:asciiTheme="minorEastAsia" w:eastAsiaTheme="minorEastAsia" w:hAnsiTheme="minorEastAsia" w:cstheme="minorEastAsia" w:hint="eastAsia"/>
          <w:szCs w:val="21"/>
        </w:rPr>
        <w:t>）保洁管理服务</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8</w:t>
      </w:r>
      <w:r>
        <w:rPr>
          <w:rFonts w:asciiTheme="minorEastAsia" w:eastAsiaTheme="minorEastAsia" w:hAnsiTheme="minorEastAsia" w:cstheme="minorEastAsia" w:hint="eastAsia"/>
          <w:szCs w:val="21"/>
        </w:rPr>
        <w:t>）绿化管理服务</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9</w:t>
      </w:r>
      <w:r>
        <w:rPr>
          <w:rFonts w:asciiTheme="minorEastAsia" w:eastAsiaTheme="minorEastAsia" w:hAnsiTheme="minorEastAsia" w:cstheme="minorEastAsia" w:hint="eastAsia"/>
          <w:szCs w:val="21"/>
        </w:rPr>
        <w:t>）机电设施设备管理服务</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10</w:t>
      </w:r>
      <w:r>
        <w:rPr>
          <w:rFonts w:asciiTheme="minorEastAsia" w:eastAsiaTheme="minorEastAsia" w:hAnsiTheme="minorEastAsia" w:cstheme="minorEastAsia" w:hint="eastAsia"/>
          <w:szCs w:val="21"/>
        </w:rPr>
        <w:t>）突发事件应急处理措施</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11</w:t>
      </w:r>
      <w:r>
        <w:rPr>
          <w:rFonts w:asciiTheme="minorEastAsia" w:eastAsiaTheme="minorEastAsia" w:hAnsiTheme="minorEastAsia" w:cstheme="minorEastAsia" w:hint="eastAsia"/>
          <w:szCs w:val="21"/>
        </w:rPr>
        <w:t>）项目重点难点分析、应对措施及相关的合理化建议</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12</w:t>
      </w:r>
      <w:r>
        <w:rPr>
          <w:rFonts w:asciiTheme="minorEastAsia" w:eastAsiaTheme="minorEastAsia" w:hAnsiTheme="minorEastAsia" w:cstheme="minorEastAsia" w:hint="eastAsia"/>
          <w:szCs w:val="21"/>
        </w:rPr>
        <w:t>）安全保卫方案、消防管理</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13</w:t>
      </w:r>
      <w:r>
        <w:rPr>
          <w:rFonts w:asciiTheme="minorEastAsia" w:eastAsiaTheme="minorEastAsia" w:hAnsiTheme="minorEastAsia" w:cstheme="minorEastAsia" w:hint="eastAsia"/>
          <w:szCs w:val="21"/>
        </w:rPr>
        <w:t>）医疗辅助管理服务</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14</w:t>
      </w:r>
      <w:r>
        <w:rPr>
          <w:rFonts w:asciiTheme="minorEastAsia" w:eastAsiaTheme="minorEastAsia" w:hAnsiTheme="minorEastAsia" w:cstheme="minorEastAsia" w:hint="eastAsia"/>
          <w:szCs w:val="21"/>
        </w:rPr>
        <w:t>）拟安排本项目管理的项目经理资历评价（限一人）</w:t>
      </w:r>
    </w:p>
    <w:p>
      <w:pPr>
        <w:spacing w:line="360" w:lineRule="auto"/>
        <w:ind w:left="0" w:firstLine="420" w:leftChars="0" w:firstLineChars="20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15</w:t>
      </w:r>
      <w:r>
        <w:rPr>
          <w:rFonts w:asciiTheme="minorEastAsia" w:eastAsiaTheme="minorEastAsia" w:hAnsiTheme="minorEastAsia" w:cstheme="minorEastAsia" w:hint="eastAsia"/>
          <w:szCs w:val="21"/>
        </w:rPr>
        <w:t>）拟投入本项目相关人员持证情况</w:t>
      </w:r>
    </w:p>
    <w:p>
      <w:pPr>
        <w:spacing w:line="360" w:lineRule="auto"/>
        <w:ind w:firstLine="420" w:firstLineChars="200"/>
        <w:rPr>
          <w:rFonts w:ascii="仿宋_GB2312" w:eastAsia="仿宋_GB2312"/>
          <w:sz w:val="24"/>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lang w:val="en-US" w:eastAsia="zh-CN"/>
        </w:rPr>
        <w:t>16</w:t>
      </w:r>
      <w:r>
        <w:rPr>
          <w:rFonts w:asciiTheme="minorEastAsia" w:eastAsiaTheme="minorEastAsia" w:hAnsiTheme="minorEastAsia" w:cstheme="minorEastAsia" w:hint="eastAsia"/>
          <w:szCs w:val="21"/>
        </w:rPr>
        <w:t>）投标人认为需要加以说明的其他内容</w:t>
      </w:r>
    </w:p>
    <w:p>
      <w:pPr>
        <w:spacing w:line="360" w:lineRule="auto"/>
        <w:ind w:firstLine="424" w:firstLineChars="202"/>
        <w:rPr>
          <w:rFonts w:ascii="宋体" w:hAnsi="宋体"/>
          <w:b/>
          <w:szCs w:val="21"/>
        </w:rPr>
      </w:pPr>
      <w:r>
        <w:rPr>
          <w:rFonts w:ascii="宋体" w:hAnsi="宋体" w:hint="eastAsia"/>
          <w:b/>
          <w:szCs w:val="21"/>
        </w:rPr>
        <w:t>备注：</w:t>
      </w:r>
    </w:p>
    <w:p>
      <w:pPr>
        <w:spacing w:line="360" w:lineRule="auto"/>
        <w:ind w:firstLine="424" w:firstLineChars="202"/>
        <w:rPr>
          <w:rFonts w:ascii="宋体" w:hAnsi="宋体"/>
          <w:b/>
          <w:szCs w:val="21"/>
        </w:rPr>
      </w:pPr>
      <w:r>
        <w:rPr>
          <w:rFonts w:ascii="宋体" w:hAnsi="宋体" w:hint="eastAsia"/>
          <w:b/>
          <w:szCs w:val="21"/>
        </w:rPr>
        <w:t>1.本项目为网上电子投标项目，投标文件不需法人或授权委托人另行签字，无需加盖单位公章，招标文件另有规定的除外。</w:t>
      </w:r>
    </w:p>
    <w:p>
      <w:pPr>
        <w:spacing w:line="360" w:lineRule="auto"/>
        <w:ind w:firstLine="424" w:firstLineChars="202"/>
        <w:rPr>
          <w:rFonts w:ascii="宋体" w:hAnsi="宋体"/>
          <w:b/>
          <w:szCs w:val="21"/>
        </w:rPr>
      </w:pPr>
      <w:r>
        <w:rPr>
          <w:rFonts w:ascii="宋体" w:hAnsi="宋体" w:hint="eastAsia"/>
          <w:b/>
          <w:szCs w:val="21"/>
        </w:rPr>
        <w:t>2.关于填写“开标一览表”的说明：“开标一览表”中除“投标总价”外，其他信息不作评审依据。</w:t>
      </w:r>
    </w:p>
    <w:p>
      <w:pPr>
        <w:rPr>
          <w:rFonts w:ascii="仿宋_GB2312" w:eastAsia="仿宋_GB2312"/>
          <w:sz w:val="24"/>
        </w:rPr>
      </w:pPr>
    </w:p>
    <w:p>
      <w:pPr>
        <w:rPr>
          <w:rFonts w:ascii="宋体" w:hAnsi="宋体"/>
          <w:b/>
          <w:szCs w:val="21"/>
        </w:rPr>
      </w:pPr>
    </w:p>
    <w:p>
      <w:pPr>
        <w:rPr>
          <w:rFonts w:ascii="宋体" w:hAnsi="宋体"/>
          <w:b/>
          <w:szCs w:val="21"/>
        </w:rPr>
      </w:pPr>
    </w:p>
    <w:p>
      <w:pPr>
        <w:jc w:val="left"/>
        <w:rPr>
          <w:rFonts w:ascii="宋体" w:hAnsi="宋体"/>
          <w:b/>
          <w:color w:val="FF0000"/>
          <w:sz w:val="36"/>
          <w:szCs w:val="36"/>
        </w:rPr>
      </w:pPr>
      <w:r>
        <w:rPr>
          <w:rFonts w:ascii="宋体" w:hAnsi="宋体" w:hint="eastAsia"/>
          <w:b/>
          <w:color w:val="FF0000"/>
          <w:sz w:val="36"/>
          <w:szCs w:val="36"/>
        </w:rPr>
        <w:br w:type="page"/>
      </w:r>
    </w:p>
    <w:p>
      <w:pPr>
        <w:spacing w:line="360" w:lineRule="auto"/>
        <w:outlineLvl w:val="1"/>
        <w:rPr>
          <w:rFonts w:ascii="宋体" w:hAnsi="宋体"/>
          <w:b/>
          <w:color w:val="FF0000"/>
          <w:sz w:val="28"/>
          <w:szCs w:val="28"/>
        </w:rPr>
      </w:pPr>
      <w:r>
        <w:rPr>
          <w:rFonts w:ascii="宋体" w:hAnsi="宋体" w:hint="eastAsia"/>
          <w:b/>
          <w:color w:val="FF0000"/>
          <w:sz w:val="28"/>
          <w:szCs w:val="28"/>
        </w:rPr>
        <w:t>投标文件正文（信息公开部分）</w:t>
      </w:r>
    </w:p>
    <w:p>
      <w:pPr>
        <w:pStyle w:val="Heading3"/>
        <w:spacing w:line="360" w:lineRule="auto"/>
        <w:jc w:val="center"/>
        <w:rPr>
          <w:rFonts w:ascii="黑体" w:eastAsia="黑体"/>
          <w:b w:val="0"/>
          <w:kern w:val="0"/>
          <w:sz w:val="24"/>
        </w:rPr>
      </w:pPr>
      <w:r>
        <w:rPr>
          <w:rFonts w:ascii="黑体" w:eastAsia="黑体" w:hint="eastAsia"/>
          <w:b w:val="0"/>
          <w:kern w:val="0"/>
          <w:sz w:val="24"/>
        </w:rPr>
        <w:t>一、投标函</w:t>
      </w:r>
    </w:p>
    <w:p>
      <w:pPr>
        <w:spacing w:line="360" w:lineRule="auto"/>
        <w:rPr>
          <w:rFonts w:ascii="宋体" w:hAnsi="宋体"/>
          <w:szCs w:val="21"/>
        </w:rPr>
      </w:pPr>
      <w:r>
        <w:rPr>
          <w:rFonts w:ascii="宋体" w:hAnsi="宋体" w:hint="eastAsia"/>
          <w:szCs w:val="21"/>
        </w:rPr>
        <w:t>致：</w:t>
      </w:r>
      <w:r>
        <w:rPr>
          <w:rFonts w:ascii="宋体" w:hAnsi="宋体" w:hint="eastAsia"/>
          <w:szCs w:val="21"/>
          <w:u w:val="single"/>
        </w:rPr>
        <w:t xml:space="preserve">  </w:t>
      </w:r>
      <w:r>
        <w:rPr>
          <w:rFonts w:ascii="宋体" w:hAnsi="宋体" w:hint="eastAsia"/>
          <w:color w:val="FF0000"/>
          <w:szCs w:val="21"/>
          <w:u w:val="single"/>
        </w:rPr>
        <w:t>深圳公共资源交易中心</w:t>
      </w:r>
      <w:r>
        <w:rPr>
          <w:rFonts w:ascii="宋体" w:hAnsi="宋体" w:hint="eastAsia"/>
          <w:szCs w:val="21"/>
          <w:u w:val="single"/>
        </w:rPr>
        <w:t xml:space="preserve">  </w:t>
      </w:r>
    </w:p>
    <w:p>
      <w:pPr>
        <w:spacing w:line="360" w:lineRule="auto"/>
        <w:ind w:firstLine="420" w:firstLineChars="200"/>
        <w:rPr>
          <w:rFonts w:ascii="宋体" w:hAnsi="宋体"/>
          <w:szCs w:val="21"/>
        </w:rPr>
      </w:pPr>
      <w:bookmarkStart w:id="36" w:name="_Hlk73818812"/>
      <w:r>
        <w:rPr>
          <w:rFonts w:hint="eastAsia"/>
          <w:szCs w:val="21"/>
        </w:rPr>
        <w:t>1、根据已收到贵单位的项目编号为</w:t>
      </w:r>
      <w:r>
        <w:rPr>
          <w:rFonts w:hint="eastAsia"/>
          <w:szCs w:val="21"/>
          <w:u w:val="thick"/>
        </w:rPr>
        <w:t xml:space="preserve">        </w:t>
      </w:r>
      <w:r>
        <w:rPr>
          <w:rFonts w:hint="eastAsia"/>
          <w:szCs w:val="21"/>
        </w:rPr>
        <w:t>的</w:t>
      </w:r>
      <w:r>
        <w:rPr>
          <w:rFonts w:hint="eastAsia"/>
          <w:szCs w:val="21"/>
          <w:u w:val="thick"/>
        </w:rPr>
        <w:t xml:space="preserve">    </w:t>
      </w:r>
      <w:r>
        <w:rPr>
          <w:rFonts w:eastAsia="宋体" w:hint="eastAsia"/>
          <w:szCs w:val="21"/>
          <w:u w:val="thick"/>
          <w:lang w:eastAsia="zh-CN"/>
        </w:rPr>
        <w:t>（</w:t>
      </w:r>
      <w:r>
        <w:rPr>
          <w:rFonts w:hint="eastAsia"/>
          <w:szCs w:val="21"/>
          <w:u w:val="thick"/>
        </w:rPr>
        <w:t>项目</w:t>
      </w:r>
      <w:r>
        <w:rPr>
          <w:rFonts w:ascii="Times New Roman" w:eastAsia="宋体" w:hint="eastAsia"/>
          <w:szCs w:val="21"/>
          <w:u w:val="thick"/>
          <w:lang w:val="en-US" w:eastAsia="zh-CN"/>
        </w:rPr>
        <w:t>名称</w:t>
      </w:r>
      <w:r>
        <w:rPr>
          <w:rFonts w:eastAsia="宋体" w:hint="eastAsia"/>
          <w:szCs w:val="21"/>
          <w:u w:val="thick"/>
          <w:lang w:eastAsia="zh-CN"/>
        </w:rPr>
        <w:t>）</w:t>
      </w:r>
      <w:r>
        <w:rPr>
          <w:rFonts w:hint="eastAsia"/>
          <w:szCs w:val="21"/>
          <w:u w:val="thick"/>
        </w:rPr>
        <w:t xml:space="preserve">       </w:t>
      </w:r>
      <w:r>
        <w:rPr>
          <w:rFonts w:hint="eastAsia"/>
          <w:szCs w:val="21"/>
        </w:rPr>
        <w:t>项目的招标文件，遵照《深圳经济特区政府采购条例》和《深圳网上政府采购管理暂行办法》等有关规定，我单位经研究上述招标文件的专用条款及通用条款后，</w:t>
      </w:r>
      <w:bookmarkStart w:id="37" w:name="_Hlk72263588"/>
      <w:r>
        <w:rPr>
          <w:rFonts w:hint="eastAsia"/>
          <w:szCs w:val="21"/>
        </w:rPr>
        <w:t>愿意按照招标文件要求承包上述项目并修补其任何缺陷。</w:t>
      </w:r>
      <w:bookmarkEnd w:id="37"/>
    </w:p>
    <w:p>
      <w:pPr>
        <w:spacing w:line="360" w:lineRule="auto"/>
        <w:ind w:firstLine="420" w:firstLineChars="200"/>
        <w:rPr>
          <w:rFonts w:ascii="宋体" w:hAnsi="宋体"/>
          <w:szCs w:val="21"/>
        </w:rPr>
      </w:pPr>
      <w:r>
        <w:rPr>
          <w:rFonts w:ascii="宋体" w:hAnsi="宋体"/>
          <w:szCs w:val="21"/>
        </w:rPr>
        <w:t>2</w:t>
      </w:r>
      <w:r>
        <w:rPr>
          <w:rFonts w:ascii="宋体" w:hAnsi="宋体" w:hint="eastAsia"/>
          <w:szCs w:val="21"/>
        </w:rPr>
        <w:t>、投标价格见</w:t>
      </w:r>
      <w:r>
        <w:rPr>
          <w:rFonts w:hint="eastAsia"/>
          <w:szCs w:val="21"/>
        </w:rPr>
        <w:t>投标书编制软件中《开标一览表》中填写的投标总价。</w:t>
      </w:r>
    </w:p>
    <w:p>
      <w:pPr>
        <w:spacing w:line="360" w:lineRule="auto"/>
        <w:ind w:firstLine="420" w:firstLineChars="200"/>
        <w:rPr>
          <w:rFonts w:ascii="宋体" w:hAnsi="宋体"/>
          <w:szCs w:val="21"/>
        </w:rPr>
      </w:pPr>
      <w:r>
        <w:rPr>
          <w:rFonts w:ascii="宋体" w:hAnsi="宋体" w:hint="eastAsia"/>
          <w:szCs w:val="21"/>
        </w:rPr>
        <w:t>3、如果我单位中标，我单位将按照招标文件的要求足额提交履约担保。</w:t>
      </w:r>
    </w:p>
    <w:p>
      <w:pPr>
        <w:spacing w:line="360" w:lineRule="auto"/>
        <w:ind w:firstLine="420" w:firstLineChars="200"/>
        <w:rPr>
          <w:rFonts w:ascii="宋体" w:hAnsi="宋体"/>
          <w:szCs w:val="21"/>
        </w:rPr>
      </w:pPr>
      <w:r>
        <w:rPr>
          <w:rFonts w:ascii="宋体" w:hAnsi="宋体" w:hint="eastAsia"/>
          <w:szCs w:val="21"/>
        </w:rPr>
        <w:t>4、我单位同意所递交的投标文件在“对通用条款的补充内容”中明确的投标有效期内有效，在此期间内我单位的投标有可能中标，我方将受此约束。</w:t>
      </w:r>
    </w:p>
    <w:p>
      <w:pPr>
        <w:spacing w:line="360" w:lineRule="auto"/>
        <w:ind w:firstLine="420" w:firstLineChars="200"/>
        <w:rPr>
          <w:rFonts w:ascii="宋体" w:hAnsi="宋体"/>
          <w:szCs w:val="21"/>
        </w:rPr>
      </w:pPr>
      <w:r>
        <w:rPr>
          <w:rFonts w:ascii="宋体" w:hAnsi="宋体" w:hint="eastAsia"/>
          <w:szCs w:val="21"/>
        </w:rPr>
        <w:t>5、除非另外达成协议并生效，贵单位的中标通知书和本投标文件将构成合同的重要内容。</w:t>
      </w:r>
    </w:p>
    <w:p>
      <w:pPr>
        <w:spacing w:line="360" w:lineRule="auto"/>
        <w:ind w:left="420" w:leftChars="200"/>
        <w:rPr>
          <w:rFonts w:ascii="宋体" w:hAnsi="宋体" w:hint="eastAsia"/>
          <w:szCs w:val="21"/>
        </w:rPr>
      </w:pPr>
      <w:r>
        <w:rPr>
          <w:rFonts w:ascii="宋体" w:hAnsi="宋体" w:hint="eastAsia"/>
          <w:szCs w:val="21"/>
        </w:rPr>
        <w:t>6、我单位理解贵单位将不受必须接受所收到的最低报价或其它任何投标文件的约束。</w:t>
      </w:r>
      <w:bookmarkEnd w:id="36"/>
    </w:p>
    <w:p>
      <w:pPr>
        <w:spacing w:line="360" w:lineRule="auto"/>
        <w:ind w:left="420" w:leftChars="200"/>
        <w:rPr>
          <w:rFonts w:ascii="宋体" w:hAnsi="宋体"/>
          <w:b/>
          <w:szCs w:val="21"/>
        </w:rPr>
      </w:pPr>
      <w:r>
        <w:rPr>
          <w:rFonts w:ascii="宋体" w:hAnsi="宋体" w:hint="eastAsia"/>
          <w:b/>
          <w:szCs w:val="21"/>
        </w:rPr>
        <w:t>7</w:t>
      </w:r>
      <w:r>
        <w:rPr>
          <w:rFonts w:ascii="宋体" w:hAnsi="宋体"/>
          <w:b/>
          <w:szCs w:val="21"/>
        </w:rPr>
        <w:t>、如我单位提交样品，且未在规定时间内取回样品的，视同放弃取回，同意深圳公共资源交易中心对我单位提交的样品进行清理。</w:t>
      </w:r>
    </w:p>
    <w:p>
      <w:pPr>
        <w:spacing w:line="360" w:lineRule="auto"/>
        <w:ind w:left="420" w:firstLine="210" w:leftChars="200" w:firstLineChars="100"/>
        <w:rPr>
          <w:rFonts w:hint="eastAsia"/>
          <w:szCs w:val="21"/>
          <w:u w:val="none"/>
          <w:lang w:eastAsia="zh-CN"/>
        </w:rPr>
      </w:pPr>
      <w:r>
        <w:rPr>
          <w:rFonts w:hint="eastAsia"/>
          <w:szCs w:val="21"/>
        </w:rPr>
        <w:t>投标人：</w:t>
      </w:r>
      <w:r>
        <w:rPr>
          <w:rFonts w:hint="eastAsia"/>
          <w:szCs w:val="21"/>
          <w:u w:val="thick"/>
        </w:rPr>
        <w:t xml:space="preserve">       </w:t>
      </w:r>
      <w:r>
        <w:rPr>
          <w:rFonts w:eastAsia="宋体" w:hint="eastAsia"/>
          <w:szCs w:val="21"/>
          <w:lang w:eastAsia="zh-CN"/>
        </w:rPr>
        <w:t>；</w:t>
      </w:r>
      <w:r>
        <w:rPr>
          <w:rFonts w:hint="eastAsia"/>
          <w:szCs w:val="21"/>
        </w:rPr>
        <w:t xml:space="preserve">  单位地址：</w:t>
      </w:r>
      <w:r>
        <w:rPr>
          <w:rFonts w:hint="eastAsia"/>
          <w:szCs w:val="21"/>
          <w:u w:val="thick"/>
        </w:rPr>
        <w:t xml:space="preserve">       </w:t>
      </w:r>
      <w:r>
        <w:rPr>
          <w:rFonts w:ascii="Times New Roman" w:eastAsia="宋体" w:hint="eastAsia"/>
          <w:szCs w:val="21"/>
          <w:u w:val="thick"/>
          <w:lang w:val="en-US" w:eastAsia="zh-CN"/>
        </w:rPr>
        <w:t xml:space="preserve">          </w:t>
      </w:r>
      <w:r>
        <w:rPr>
          <w:rFonts w:hint="eastAsia"/>
          <w:szCs w:val="21"/>
          <w:u w:val="thick"/>
          <w:lang w:val="en-US" w:eastAsia="zh-CN"/>
        </w:rPr>
        <w:t xml:space="preserve"> </w:t>
      </w:r>
      <w:r>
        <w:rPr>
          <w:rFonts w:ascii="Times New Roman" w:eastAsia="宋体" w:hint="eastAsia"/>
          <w:szCs w:val="21"/>
          <w:u w:val="thick"/>
          <w:lang w:val="en-US" w:eastAsia="zh-CN"/>
        </w:rPr>
        <w:t xml:space="preserve">  </w:t>
      </w:r>
      <w:r>
        <w:rPr>
          <w:rFonts w:eastAsia="宋体" w:hint="eastAsia"/>
          <w:szCs w:val="21"/>
          <w:u w:val="none"/>
          <w:lang w:eastAsia="zh-CN"/>
        </w:rPr>
        <w:t>；</w:t>
      </w:r>
    </w:p>
    <w:p>
      <w:pPr>
        <w:spacing w:line="360" w:lineRule="auto"/>
        <w:ind w:left="420" w:firstLine="210" w:leftChars="200" w:firstLineChars="100"/>
        <w:rPr>
          <w:rFonts w:hint="eastAsia"/>
          <w:szCs w:val="21"/>
          <w:u w:val="none"/>
          <w:lang w:eastAsia="zh-CN"/>
        </w:rPr>
      </w:pPr>
      <w:r>
        <w:rPr>
          <w:rFonts w:hint="eastAsia"/>
          <w:szCs w:val="21"/>
        </w:rPr>
        <w:t>法定代表人（负责人）或其</w:t>
      </w:r>
      <w:r>
        <w:rPr>
          <w:rFonts w:ascii="Times New Roman" w:eastAsia="宋体" w:hint="eastAsia"/>
          <w:szCs w:val="21"/>
          <w:lang w:val="en-US" w:eastAsia="zh-CN"/>
        </w:rPr>
        <w:t>授权</w:t>
      </w:r>
      <w:r>
        <w:rPr>
          <w:rFonts w:hint="eastAsia"/>
          <w:szCs w:val="21"/>
        </w:rPr>
        <w:t>委托代理人：</w:t>
      </w:r>
      <w:r>
        <w:rPr>
          <w:rFonts w:hint="eastAsia"/>
          <w:szCs w:val="21"/>
          <w:u w:val="thick"/>
        </w:rPr>
        <w:t xml:space="preserve">         </w:t>
      </w:r>
      <w:r>
        <w:rPr>
          <w:rFonts w:eastAsia="宋体" w:hint="eastAsia"/>
          <w:szCs w:val="21"/>
          <w:u w:val="none"/>
          <w:lang w:eastAsia="zh-CN"/>
        </w:rPr>
        <w:t>；</w:t>
      </w:r>
    </w:p>
    <w:p>
      <w:pPr>
        <w:spacing w:line="360" w:lineRule="auto"/>
        <w:ind w:left="420" w:firstLine="210" w:leftChars="200" w:firstLineChars="100"/>
        <w:rPr>
          <w:rFonts w:hint="eastAsia"/>
          <w:szCs w:val="21"/>
          <w:u w:val="none"/>
        </w:rPr>
      </w:pPr>
      <w:r>
        <w:rPr>
          <w:rFonts w:hint="eastAsia"/>
          <w:szCs w:val="21"/>
        </w:rPr>
        <w:t>电话</w:t>
      </w:r>
      <w:r>
        <w:rPr>
          <w:rFonts w:hint="eastAsia"/>
          <w:szCs w:val="21"/>
          <w:u w:val="none"/>
        </w:rPr>
        <w:t>：</w:t>
      </w:r>
      <w:r>
        <w:rPr>
          <w:rFonts w:hint="eastAsia"/>
          <w:szCs w:val="21"/>
          <w:u w:val="thick"/>
        </w:rPr>
        <w:t xml:space="preserve">         </w:t>
      </w:r>
      <w:r>
        <w:rPr>
          <w:rFonts w:hint="eastAsia"/>
          <w:szCs w:val="21"/>
        </w:rPr>
        <w:t xml:space="preserve"> </w:t>
      </w:r>
      <w:r>
        <w:rPr>
          <w:rFonts w:eastAsia="宋体" w:hint="eastAsia"/>
          <w:szCs w:val="21"/>
          <w:u w:val="none"/>
          <w:lang w:eastAsia="zh-CN"/>
        </w:rPr>
        <w:t>；</w:t>
      </w:r>
      <w:r>
        <w:rPr>
          <w:rFonts w:hint="eastAsia"/>
          <w:szCs w:val="21"/>
          <w:u w:val="none"/>
        </w:rPr>
        <w:t xml:space="preserve">     </w:t>
      </w:r>
    </w:p>
    <w:p>
      <w:pPr>
        <w:spacing w:line="360" w:lineRule="auto"/>
        <w:ind w:left="420" w:firstLine="210" w:leftChars="200" w:firstLineChars="100"/>
        <w:rPr>
          <w:sz w:val="24"/>
        </w:rPr>
      </w:pPr>
      <w:r>
        <w:rPr>
          <w:rFonts w:ascii="宋体" w:hAnsi="宋体" w:hint="eastAsia"/>
          <w:szCs w:val="21"/>
        </w:rPr>
        <w:t>日期：</w:t>
      </w:r>
      <w:r>
        <w:rPr>
          <w:rFonts w:ascii="宋体" w:hAnsi="宋体" w:hint="eastAsia"/>
          <w:szCs w:val="21"/>
          <w:u w:val="thick"/>
        </w:rPr>
        <w:t xml:space="preserve">       </w:t>
      </w:r>
      <w:r>
        <w:rPr>
          <w:rFonts w:ascii="宋体" w:hAnsi="宋体" w:hint="eastAsia"/>
          <w:szCs w:val="21"/>
        </w:rPr>
        <w:t>年</w:t>
      </w:r>
      <w:r>
        <w:rPr>
          <w:rFonts w:ascii="宋体" w:hAnsi="宋体" w:hint="eastAsia"/>
          <w:szCs w:val="21"/>
          <w:u w:val="thick"/>
        </w:rPr>
        <w:t xml:space="preserve">     </w:t>
      </w:r>
      <w:r>
        <w:rPr>
          <w:rFonts w:ascii="宋体" w:hAnsi="宋体" w:hint="eastAsia"/>
          <w:szCs w:val="21"/>
        </w:rPr>
        <w:t>月</w:t>
      </w:r>
      <w:r>
        <w:rPr>
          <w:rFonts w:ascii="宋体" w:hAnsi="宋体" w:hint="eastAsia"/>
          <w:szCs w:val="21"/>
          <w:u w:val="thick"/>
        </w:rPr>
        <w:t xml:space="preserve">    </w:t>
      </w:r>
      <w:r>
        <w:rPr>
          <w:rFonts w:ascii="宋体" w:hAnsi="宋体" w:hint="eastAsia"/>
          <w:szCs w:val="21"/>
        </w:rPr>
        <w:t>日</w:t>
      </w:r>
      <w:r>
        <w:rPr>
          <w:rFonts w:hint="eastAsia"/>
          <w:sz w:val="24"/>
        </w:rPr>
        <w:t xml:space="preserve">                                </w:t>
      </w:r>
    </w:p>
    <w:p>
      <w:pPr>
        <w:spacing w:line="360" w:lineRule="auto"/>
        <w:ind w:left="0" w:leftChars="0"/>
        <w:rPr>
          <w:rFonts w:ascii="宋体" w:hAnsi="宋体"/>
          <w:szCs w:val="21"/>
        </w:rPr>
      </w:pPr>
      <w:r>
        <w:rPr>
          <w:rFonts w:hint="eastAsia"/>
          <w:sz w:val="24"/>
        </w:rPr>
        <w:t xml:space="preserve">                       </w:t>
      </w:r>
    </w:p>
    <w:p>
      <w:pPr>
        <w:numPr>
          <w:ilvl w:val="0"/>
          <w:numId w:val="38"/>
        </w:numPr>
        <w:spacing w:line="360" w:lineRule="auto"/>
        <w:rPr>
          <w:rFonts w:ascii="黑体" w:eastAsia="黑体" w:hint="eastAsia"/>
          <w:b w:val="0"/>
          <w:kern w:val="0"/>
          <w:sz w:val="24"/>
        </w:rPr>
      </w:pPr>
      <w:r>
        <w:rPr>
          <w:rFonts w:ascii="黑体" w:eastAsia="黑体" w:hint="eastAsia"/>
          <w:b w:val="0"/>
          <w:kern w:val="0"/>
          <w:sz w:val="24"/>
        </w:rPr>
        <w:t>政府采购投标及履约承诺函</w:t>
      </w:r>
    </w:p>
    <w:p>
      <w:pPr>
        <w:numPr>
          <w:ilvl w:val="0"/>
          <w:numId w:val="0"/>
        </w:numPr>
        <w:spacing w:line="360" w:lineRule="auto"/>
        <w:rPr>
          <w:rFonts w:ascii="宋体" w:hAnsi="宋体"/>
          <w:color w:val="FF0000"/>
          <w:szCs w:val="21"/>
        </w:rPr>
      </w:pPr>
      <w:r>
        <w:rPr>
          <w:rFonts w:ascii="宋体" w:hAnsi="宋体" w:hint="eastAsia"/>
          <w:color w:val="FF0000"/>
          <w:szCs w:val="21"/>
        </w:rPr>
        <w:t>致：</w:t>
      </w:r>
      <w:r>
        <w:rPr>
          <w:rFonts w:ascii="宋体" w:hAnsi="宋体" w:hint="eastAsia"/>
          <w:color w:val="FF0000"/>
          <w:szCs w:val="21"/>
          <w:u w:val="single"/>
        </w:rPr>
        <w:t>深圳公共资源交易中心</w:t>
      </w:r>
    </w:p>
    <w:p>
      <w:pPr>
        <w:spacing w:line="360" w:lineRule="auto"/>
        <w:ind w:right="-815" w:firstLine="420" w:firstLineChars="200"/>
        <w:rPr>
          <w:rFonts w:ascii="宋体" w:hAnsi="宋体"/>
          <w:szCs w:val="21"/>
        </w:rPr>
      </w:pPr>
      <w:r>
        <w:rPr>
          <w:rFonts w:ascii="宋体" w:hAnsi="宋体" w:hint="eastAsia"/>
          <w:szCs w:val="21"/>
        </w:rPr>
        <w:t>我单位承诺：</w:t>
      </w:r>
    </w:p>
    <w:p>
      <w:pPr>
        <w:spacing w:line="360" w:lineRule="auto"/>
        <w:ind w:firstLine="420" w:firstLineChars="200"/>
        <w:rPr>
          <w:rFonts w:ascii="宋体" w:hAnsi="宋体"/>
          <w:szCs w:val="21"/>
        </w:rPr>
      </w:pPr>
      <w:r>
        <w:rPr>
          <w:rFonts w:ascii="宋体" w:hAnsi="宋体" w:hint="eastAsia"/>
          <w:szCs w:val="21"/>
        </w:rPr>
        <w:t>1.我单位参与本项目</w:t>
      </w:r>
      <w:r>
        <w:rPr>
          <w:rFonts w:ascii="宋体" w:hAnsi="宋体" w:hint="eastAsia"/>
        </w:rPr>
        <w:t>所投标（响应）的货物、工程或服务，不存在侵犯知识产权的情况。</w:t>
      </w:r>
    </w:p>
    <w:p>
      <w:pPr>
        <w:spacing w:line="360" w:lineRule="auto"/>
        <w:ind w:firstLine="420" w:firstLineChars="200"/>
        <w:rPr>
          <w:rFonts w:ascii="宋体" w:hAnsi="宋体"/>
          <w:szCs w:val="21"/>
        </w:rPr>
      </w:pPr>
      <w:r>
        <w:rPr>
          <w:rFonts w:ascii="宋体" w:hAnsi="宋体" w:hint="eastAsia"/>
          <w:szCs w:val="21"/>
        </w:rPr>
        <w:t>2.我单位参与本项目</w:t>
      </w:r>
      <w:r>
        <w:rPr>
          <w:rFonts w:hint="eastAsia"/>
        </w:rPr>
        <w:t>政府采购活动时不存在被有关部门禁止参与政府采购活动且在有效期内的情况。</w:t>
      </w:r>
    </w:p>
    <w:p>
      <w:pPr>
        <w:spacing w:line="360" w:lineRule="auto"/>
        <w:ind w:firstLine="420" w:firstLineChars="200"/>
        <w:rPr>
          <w:rFonts w:ascii="宋体" w:hAnsi="宋体"/>
          <w:szCs w:val="21"/>
        </w:rPr>
      </w:pPr>
      <w:r>
        <w:rPr>
          <w:rFonts w:ascii="宋体" w:hAnsi="宋体" w:hint="eastAsia"/>
          <w:szCs w:val="21"/>
        </w:rPr>
        <w:t>3.我单位具备《中华人民共和国政府采购法》第二十二条第一款规定的六项条件。</w:t>
      </w:r>
    </w:p>
    <w:p>
      <w:pPr>
        <w:spacing w:line="360" w:lineRule="auto"/>
        <w:ind w:firstLine="420" w:firstLineChars="200"/>
        <w:rPr>
          <w:rFonts w:hint="eastAsia"/>
          <w:lang w:eastAsia="zh-CN"/>
        </w:rPr>
      </w:pPr>
      <w:r>
        <w:rPr>
          <w:rFonts w:ascii="宋体" w:hAnsi="宋体" w:hint="eastAsia"/>
          <w:szCs w:val="21"/>
        </w:rPr>
        <w:t>4.我单位</w:t>
      </w:r>
      <w:r>
        <w:rPr>
          <w:rFonts w:hint="eastAsia"/>
        </w:rPr>
        <w:t>未被列入失信被执行人、重大税收违法案件当事人名单、政府采购严重违法失信行为记录名单</w:t>
      </w:r>
      <w:r>
        <w:rPr>
          <w:rFonts w:hint="eastAsia"/>
          <w:lang w:eastAsia="zh-CN"/>
        </w:rPr>
        <w:t>。</w:t>
      </w:r>
    </w:p>
    <w:p>
      <w:pPr>
        <w:spacing w:line="360" w:lineRule="auto"/>
        <w:ind w:firstLine="420" w:firstLineChars="200"/>
        <w:rPr>
          <w:rFonts w:hint="eastAsia"/>
          <w:lang w:eastAsia="zh-CN"/>
        </w:rPr>
      </w:pPr>
      <w:r>
        <w:rPr>
          <w:rFonts w:ascii="Times New Roman" w:eastAsia="宋体" w:hint="eastAsia"/>
          <w:color w:val="FF0000"/>
          <w:lang w:val="en-US" w:eastAsia="zh-CN"/>
        </w:rPr>
        <w:t>5.我单位不存在《深圳市财政局政府采购供应商信用信息管理办法》（深财规〔2023〕3号）列明的严重违法失信行为。</w:t>
      </w:r>
    </w:p>
    <w:p>
      <w:pPr>
        <w:spacing w:line="360" w:lineRule="auto"/>
        <w:ind w:firstLine="420" w:firstLineChars="200"/>
        <w:rPr>
          <w:rFonts w:ascii="宋体" w:hAnsi="宋体"/>
          <w:szCs w:val="21"/>
        </w:rPr>
      </w:pPr>
      <w:r>
        <w:rPr>
          <w:rFonts w:ascii="宋体" w:hAnsi="宋体" w:hint="eastAsia"/>
          <w:szCs w:val="21"/>
          <w:lang w:val="en-US" w:eastAsia="zh-CN"/>
        </w:rPr>
        <w:t>6</w:t>
      </w:r>
      <w:r>
        <w:rPr>
          <w:rFonts w:ascii="宋体" w:hAnsi="宋体" w:hint="eastAsia"/>
          <w:szCs w:val="21"/>
        </w:rPr>
        <w:t>.我单位参与该项目投标，严格遵守政府采购相关法律，不造假，不围标、串标、陪标。我单位已清楚，如违反上述要求，投标将作无效处理，被列入不良记录名单并在网上曝光，同时将被提请政府采购主管部门给予一定年限内禁止参与政府采购活动或其他处罚。</w:t>
      </w:r>
    </w:p>
    <w:p>
      <w:pPr>
        <w:spacing w:line="360" w:lineRule="auto"/>
        <w:ind w:firstLine="420" w:firstLineChars="200"/>
        <w:rPr>
          <w:rFonts w:ascii="宋体" w:hAnsi="宋体"/>
          <w:szCs w:val="21"/>
        </w:rPr>
      </w:pPr>
      <w:r>
        <w:rPr>
          <w:rFonts w:ascii="宋体" w:hAnsi="宋体" w:hint="eastAsia"/>
          <w:szCs w:val="21"/>
          <w:lang w:val="en-US" w:eastAsia="zh-CN"/>
        </w:rPr>
        <w:t>7</w:t>
      </w:r>
      <w:r>
        <w:rPr>
          <w:rFonts w:ascii="宋体" w:hAnsi="宋体" w:hint="eastAsia"/>
          <w:szCs w:val="21"/>
        </w:rPr>
        <w:t>.我单位如果中标，做到守信，不偷工减料，依照本项目招标文件需求内容、签署的采购合同及本单位在投标中所作的一切承诺履约。我单位对本项目的报价负责，中标后将严格按照本项目招标文件需求、签署的采购合同及我单位在投标中所作的全部承诺履行。</w:t>
      </w:r>
    </w:p>
    <w:p>
      <w:pPr>
        <w:spacing w:line="360" w:lineRule="auto"/>
        <w:ind w:firstLine="420" w:firstLineChars="200"/>
        <w:rPr>
          <w:rFonts w:ascii="宋体" w:hAnsi="宋体"/>
          <w:szCs w:val="21"/>
        </w:rPr>
      </w:pPr>
      <w:r>
        <w:rPr>
          <w:rFonts w:ascii="宋体" w:hAnsi="宋体" w:hint="eastAsia"/>
          <w:szCs w:val="21"/>
        </w:rPr>
        <w:t>我单位清楚，若以“报价太低而无法履约”为理由放弃本项目中标资格时，愿意接受主管部门的处理处罚。若我单位中标本项目，我单位的报价明显低于其他投标人的报价时，我单位清楚，本项目将成为重点监管、重点验收项目，我单位将按时保质保量完成，并全力配合有关监管、验收工作；若我单位未按上述要求履约，我单位愿意接受主管部门的处理处罚。</w:t>
      </w:r>
    </w:p>
    <w:p>
      <w:pPr>
        <w:spacing w:line="360" w:lineRule="auto"/>
        <w:ind w:firstLine="420" w:firstLineChars="200"/>
        <w:rPr>
          <w:rFonts w:ascii="宋体" w:hAnsi="宋体"/>
          <w:szCs w:val="21"/>
        </w:rPr>
      </w:pPr>
      <w:r>
        <w:rPr>
          <w:rFonts w:ascii="宋体" w:hAnsi="宋体" w:hint="eastAsia"/>
          <w:szCs w:val="21"/>
          <w:lang w:val="en-US" w:eastAsia="zh-CN"/>
        </w:rPr>
        <w:t>8</w:t>
      </w:r>
      <w:r>
        <w:rPr>
          <w:rFonts w:ascii="宋体" w:hAnsi="宋体" w:hint="eastAsia"/>
          <w:szCs w:val="21"/>
        </w:rPr>
        <w:t>.我单位已认真核实了投标文件的全部内容，所有资料均为真实资料。我单位对投标文件中全部投标资料的真实性负责，如被证实我单位的投标文件中存在虚假资料的，则视为我单位隐瞒真实情况、提供虚假资料，我单位愿意接受主管部门作出的行政处罚。</w:t>
      </w:r>
    </w:p>
    <w:p>
      <w:pPr>
        <w:spacing w:line="360" w:lineRule="auto"/>
        <w:ind w:firstLine="420" w:firstLineChars="200"/>
        <w:rPr>
          <w:rFonts w:ascii="宋体" w:hAnsi="宋体"/>
          <w:szCs w:val="21"/>
        </w:rPr>
      </w:pPr>
      <w:r>
        <w:rPr>
          <w:rFonts w:ascii="宋体" w:hAnsi="宋体" w:hint="eastAsia"/>
          <w:szCs w:val="21"/>
          <w:lang w:val="en-US" w:eastAsia="zh-CN"/>
        </w:rPr>
        <w:t>9</w:t>
      </w:r>
      <w:r>
        <w:rPr>
          <w:rFonts w:ascii="宋体" w:hAnsi="宋体" w:hint="eastAsia"/>
          <w:szCs w:val="21"/>
        </w:rPr>
        <w:t>.我单位承诺中标后项目不转包，未经采购人同意不进行分包。</w:t>
      </w:r>
    </w:p>
    <w:p>
      <w:pPr>
        <w:spacing w:line="360" w:lineRule="auto"/>
        <w:ind w:firstLine="420" w:firstLineChars="200"/>
        <w:rPr>
          <w:rFonts w:ascii="宋体" w:hAnsi="宋体"/>
        </w:rPr>
      </w:pPr>
      <w:r>
        <w:rPr>
          <w:rFonts w:ascii="宋体" w:hAnsi="宋体" w:hint="eastAsia"/>
          <w:szCs w:val="21"/>
          <w:lang w:val="en-US" w:eastAsia="zh-CN"/>
        </w:rPr>
        <w:t>10</w:t>
      </w:r>
      <w:r>
        <w:rPr>
          <w:rFonts w:ascii="宋体" w:hAnsi="宋体"/>
          <w:szCs w:val="21"/>
        </w:rPr>
        <w:t>.</w:t>
      </w:r>
      <w:r>
        <w:rPr>
          <w:rFonts w:ascii="宋体" w:hAnsi="宋体" w:hint="eastAsia"/>
        </w:rPr>
        <w:t>我单位保证，其所提供的货物通过合法正规渠道供货，在提供给采购人前具有完全的所有权，采购人在中华人民共和国使用该货物或货物的任何一部分时，不会产生因第三方提出的包括但不限于侵犯其专利权、商标权、工业设计权等知识产权和侵犯其所有权、抵押权等物权及其他权利而引发的纠纷；如有纠纷，我单位承担全部责任。</w:t>
      </w:r>
    </w:p>
    <w:p>
      <w:pPr>
        <w:spacing w:line="360" w:lineRule="auto"/>
        <w:ind w:firstLine="420" w:firstLineChars="200"/>
        <w:rPr>
          <w:rFonts w:ascii="宋体" w:hAnsi="宋体" w:cs="宋体"/>
          <w:b/>
          <w:kern w:val="0"/>
          <w:szCs w:val="21"/>
        </w:rPr>
      </w:pPr>
      <w:r>
        <w:rPr>
          <w:rFonts w:ascii="宋体" w:hAnsi="宋体" w:hint="eastAsia"/>
        </w:rPr>
        <w:t>1</w:t>
      </w:r>
      <w:r>
        <w:rPr>
          <w:rFonts w:ascii="宋体" w:hAnsi="宋体" w:hint="eastAsia"/>
          <w:lang w:val="en-US" w:eastAsia="zh-CN"/>
        </w:rPr>
        <w:t>1</w:t>
      </w:r>
      <w:r>
        <w:rPr>
          <w:rFonts w:ascii="宋体" w:hAnsi="宋体"/>
        </w:rPr>
        <w:t>.</w:t>
      </w:r>
      <w:r>
        <w:rPr>
          <w:rFonts w:ascii="宋体" w:hAnsi="宋体" w:hint="eastAsia"/>
        </w:rPr>
        <w:t>我单位保证，若所投货物涉及</w:t>
      </w:r>
      <w:r>
        <w:rPr>
          <w:rFonts w:ascii="宋体" w:hAnsi="宋体"/>
        </w:rPr>
        <w:t>《</w:t>
      </w:r>
      <w:r>
        <w:rPr>
          <w:rFonts w:ascii="宋体" w:hAnsi="宋体" w:hint="eastAsia"/>
        </w:rPr>
        <w:t>财政部生态环境部关于印发节能产品政府采购品目清单的通知》（财库〔20</w:t>
      </w:r>
      <w:r>
        <w:rPr>
          <w:rFonts w:ascii="宋体" w:hAnsi="宋体"/>
        </w:rPr>
        <w:t>19</w:t>
      </w:r>
      <w:r>
        <w:rPr>
          <w:rFonts w:ascii="宋体" w:hAnsi="宋体" w:hint="eastAsia"/>
        </w:rPr>
        <w:t>〕</w:t>
      </w:r>
      <w:r>
        <w:rPr>
          <w:rFonts w:ascii="宋体" w:hAnsi="宋体"/>
        </w:rPr>
        <w:t>19</w:t>
      </w:r>
      <w:r>
        <w:rPr>
          <w:rFonts w:ascii="宋体" w:hAnsi="宋体" w:hint="eastAsia"/>
        </w:rPr>
        <w:t>号）列明的政府采购强制产品，则所投该产品符合节能产品的认证要求。</w:t>
      </w:r>
      <w:r>
        <w:rPr>
          <w:rFonts w:ascii="宋体" w:hAnsi="宋体" w:hint="eastAsia"/>
          <w:lang w:val="en-US" w:eastAsia="zh-CN"/>
        </w:rPr>
        <w:t>若所投产品包括数据中心相关设备的，应满足</w:t>
      </w:r>
      <w:r>
        <w:rPr>
          <w:rFonts w:hint="eastAsia"/>
        </w:rPr>
        <w:t>《财政部 生态环境部 工业和信息化部关于印发&lt;绿色数据中心政府采购需求标准（试行）&gt;的通知》</w:t>
      </w:r>
      <w:r>
        <w:rPr>
          <w:rFonts w:eastAsia="宋体" w:hint="eastAsia"/>
          <w:lang w:eastAsia="zh-CN"/>
        </w:rPr>
        <w:t>（</w:t>
      </w:r>
      <w:r>
        <w:rPr>
          <w:rFonts w:hint="eastAsia"/>
        </w:rPr>
        <w:t>财库〔2023〕7号）</w:t>
      </w:r>
      <w:r>
        <w:rPr>
          <w:rFonts w:ascii="Times New Roman" w:eastAsia="宋体" w:hint="eastAsia"/>
          <w:lang w:val="en-US" w:eastAsia="zh-CN"/>
        </w:rPr>
        <w:t>要求。若所投产品涉及国家强制性标准的，所投产品应符合国家强制性标准相关要求。</w:t>
      </w:r>
    </w:p>
    <w:p>
      <w:pPr>
        <w:spacing w:line="360" w:lineRule="auto"/>
        <w:ind w:firstLine="420" w:firstLineChars="200"/>
        <w:rPr>
          <w:rFonts w:ascii="宋体" w:hAnsi="宋体" w:hint="eastAsia"/>
          <w:b w:val="0"/>
          <w:bCs/>
        </w:rPr>
      </w:pPr>
      <w:r>
        <w:rPr>
          <w:rFonts w:ascii="宋体" w:hAnsi="宋体" w:cs="宋体" w:hint="eastAsia"/>
          <w:b w:val="0"/>
          <w:bCs/>
          <w:kern w:val="0"/>
          <w:szCs w:val="21"/>
        </w:rPr>
        <w:t>1</w:t>
      </w:r>
      <w:r>
        <w:rPr>
          <w:rFonts w:ascii="宋体" w:hAnsi="宋体" w:cs="宋体" w:hint="eastAsia"/>
          <w:b w:val="0"/>
          <w:bCs/>
          <w:kern w:val="0"/>
          <w:szCs w:val="21"/>
          <w:lang w:val="en-US" w:eastAsia="zh-CN"/>
        </w:rPr>
        <w:t>2</w:t>
      </w:r>
      <w:r>
        <w:rPr>
          <w:rFonts w:ascii="宋体" w:hAnsi="宋体" w:cs="宋体" w:hint="eastAsia"/>
          <w:b w:val="0"/>
          <w:bCs/>
          <w:kern w:val="0"/>
          <w:szCs w:val="21"/>
        </w:rPr>
        <w:t>.</w:t>
      </w:r>
      <w:r>
        <w:rPr>
          <w:rFonts w:ascii="宋体" w:hAnsi="宋体" w:hint="eastAsia"/>
          <w:b w:val="0"/>
          <w:bCs/>
        </w:rPr>
        <w:t>我单位已知悉并同意中标（成交）结果信息公示（公开）的内容。</w:t>
      </w:r>
    </w:p>
    <w:p>
      <w:pPr>
        <w:spacing w:line="360" w:lineRule="auto"/>
        <w:ind w:firstLine="420" w:firstLineChars="200"/>
        <w:rPr>
          <w:rFonts w:ascii="宋体" w:hAnsi="宋体" w:hint="eastAsia"/>
          <w:b w:val="0"/>
          <w:bCs/>
        </w:rPr>
      </w:pPr>
      <w:r>
        <w:rPr>
          <w:rFonts w:ascii="宋体" w:hAnsi="宋体" w:hint="eastAsia"/>
          <w:b w:val="0"/>
          <w:bCs/>
        </w:rPr>
        <w:t>1</w:t>
      </w:r>
      <w:r>
        <w:rPr>
          <w:rFonts w:ascii="宋体" w:hAnsi="宋体" w:hint="eastAsia"/>
          <w:b w:val="0"/>
          <w:bCs/>
          <w:lang w:val="en-US" w:eastAsia="zh-CN"/>
        </w:rPr>
        <w:t>3</w:t>
      </w:r>
      <w:r>
        <w:rPr>
          <w:rFonts w:ascii="宋体" w:hAnsi="宋体" w:hint="eastAsia"/>
          <w:b w:val="0"/>
          <w:bCs/>
        </w:rPr>
        <w:t>.我单位保证，符合《中华人民共和国政府采购法实施条例》第十八条规定，与其他投标供应商不存在单位负责人为同一人或者存在直接控股、管理关系；</w:t>
      </w:r>
      <w:r>
        <w:rPr>
          <w:rFonts w:ascii="宋体" w:hAnsi="宋体" w:hint="eastAsia"/>
          <w:b w:val="0"/>
          <w:bCs/>
          <w:color w:val="auto"/>
          <w:lang w:val="en-US" w:eastAsia="zh-CN"/>
        </w:rPr>
        <w:t>不存在为</w:t>
      </w:r>
      <w:r>
        <w:rPr>
          <w:rFonts w:ascii="宋体" w:hAnsi="宋体" w:hint="eastAsia"/>
          <w:b w:val="0"/>
          <w:bCs/>
        </w:rPr>
        <w:t>本次采购项目提供整体设计、规范编制或者项目管理、监理、检测等服务的情</w:t>
      </w:r>
      <w:r>
        <w:rPr>
          <w:rFonts w:ascii="宋体" w:hAnsi="宋体" w:hint="eastAsia"/>
          <w:b w:val="0"/>
          <w:bCs/>
          <w:color w:val="auto"/>
        </w:rPr>
        <w:t>形。</w:t>
      </w:r>
      <w:r>
        <w:rPr>
          <w:rFonts w:ascii="宋体" w:hAnsi="宋体" w:hint="eastAsia"/>
          <w:b w:val="0"/>
          <w:bCs/>
          <w:color w:val="auto"/>
          <w:lang w:val="en-US" w:eastAsia="zh-CN"/>
        </w:rPr>
        <w:t>若</w:t>
      </w:r>
      <w:r>
        <w:rPr>
          <w:rFonts w:ascii="宋体" w:hAnsi="宋体" w:hint="eastAsia"/>
          <w:b w:val="0"/>
          <w:bCs/>
          <w:color w:val="auto"/>
        </w:rPr>
        <w:t>存在“不同供应商的董事、股东或其他高级管理人员为同一人的”情形的，</w:t>
      </w:r>
      <w:r>
        <w:rPr>
          <w:rFonts w:ascii="宋体" w:hAnsi="宋体" w:hint="eastAsia"/>
          <w:b w:val="0"/>
          <w:bCs/>
          <w:color w:val="auto"/>
          <w:lang w:val="en-US" w:eastAsia="zh-CN"/>
        </w:rPr>
        <w:t>我单位保证</w:t>
      </w:r>
      <w:r>
        <w:rPr>
          <w:rFonts w:ascii="宋体" w:hAnsi="宋体" w:hint="eastAsia"/>
          <w:b w:val="0"/>
          <w:bCs/>
          <w:color w:val="auto"/>
        </w:rPr>
        <w:t>不存在串通投标、恶意串通或者视为串通投标的情形</w:t>
      </w:r>
      <w:r>
        <w:rPr>
          <w:rFonts w:ascii="宋体" w:hAnsi="宋体" w:hint="eastAsia"/>
          <w:b w:val="0"/>
          <w:bCs/>
          <w:color w:val="auto"/>
          <w:lang w:eastAsia="zh-CN"/>
        </w:rPr>
        <w:t>。</w:t>
      </w:r>
    </w:p>
    <w:p>
      <w:pPr>
        <w:spacing w:line="360" w:lineRule="auto"/>
        <w:ind w:firstLine="420" w:firstLineChars="200"/>
        <w:rPr>
          <w:rFonts w:ascii="宋体" w:hAnsi="宋体"/>
          <w:b/>
        </w:rPr>
      </w:pPr>
      <w:r>
        <w:rPr>
          <w:rFonts w:ascii="宋体" w:hAnsi="宋体" w:hint="eastAsia"/>
          <w:b/>
          <w:bCs w:val="0"/>
          <w:sz w:val="21"/>
          <w:lang w:val="en-US" w:eastAsia="zh-CN"/>
        </w:rPr>
        <w:t>14.我单位清楚，如存在违反投标承诺行为情节严重的，将根据《深圳市财政局关于印发&lt;深圳市财政局政府采购供应商信用信息管理办法&gt;的通知》，依法被列入失信信息。</w:t>
      </w:r>
    </w:p>
    <w:p>
      <w:pPr>
        <w:pStyle w:val="Heading2"/>
        <w:spacing w:line="360" w:lineRule="auto"/>
        <w:ind w:firstLine="420" w:firstLineChars="200"/>
        <w:jc w:val="both"/>
        <w:rPr>
          <w:rFonts w:eastAsia="宋体" w:hint="default"/>
          <w:lang w:val="en-US" w:eastAsia="zh-CN"/>
        </w:rPr>
      </w:pPr>
      <w:r>
        <w:rPr>
          <w:rFonts w:ascii="宋体" w:hAnsi="宋体" w:hint="eastAsia"/>
          <w:kern w:val="2"/>
          <w:sz w:val="21"/>
          <w:szCs w:val="21"/>
          <w:highlight w:val="yellow"/>
          <w:lang w:val="en-US" w:eastAsia="zh-CN"/>
        </w:rPr>
        <w:t>15.投标人不存在有采购人临床医技科室负责人员和其他从事管理的人员及配偶、子女及其配偶，参与开办、入股（除上市公司非控制股东）或实际控制投标人单位的情形。</w:t>
      </w:r>
    </w:p>
    <w:p>
      <w:pPr>
        <w:pStyle w:val="BodyText"/>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eastAsia="宋体" w:hAnsi="宋体" w:cs="Times New Roman" w:hint="default"/>
          <w:b w:val="0"/>
          <w:bCs w:val="0"/>
          <w:kern w:val="2"/>
          <w:sz w:val="21"/>
          <w:szCs w:val="21"/>
          <w:highlight w:val="yellow"/>
          <w:lang w:val="en-US" w:eastAsia="zh-CN" w:bidi="ar-SA"/>
        </w:rPr>
      </w:pPr>
      <w:r>
        <w:rPr>
          <w:rFonts w:ascii="宋体" w:eastAsia="宋体" w:hAnsi="宋体" w:cs="Times New Roman" w:hint="eastAsia"/>
          <w:b w:val="0"/>
          <w:bCs w:val="0"/>
          <w:kern w:val="2"/>
          <w:sz w:val="21"/>
          <w:szCs w:val="21"/>
          <w:highlight w:val="yellow"/>
          <w:lang w:val="en-US" w:eastAsia="zh-CN" w:bidi="ar-SA"/>
        </w:rPr>
        <w:t>16.我单位保证，若投标文件服务标准与招标文件服务标准不一致，以服务标准更高的标准来履约本项目。</w:t>
      </w:r>
    </w:p>
    <w:p>
      <w:pPr>
        <w:spacing w:line="360" w:lineRule="auto"/>
        <w:ind w:firstLine="420" w:firstLineChars="200"/>
        <w:rPr>
          <w:rFonts w:ascii="宋体" w:hAnsi="宋体"/>
          <w:szCs w:val="21"/>
        </w:rPr>
      </w:pPr>
      <w:r>
        <w:rPr>
          <w:rFonts w:ascii="宋体" w:hAnsi="宋体" w:hint="eastAsia"/>
          <w:szCs w:val="21"/>
        </w:rPr>
        <w:t>以上承诺，如有违反，愿依照国家相关法律法规处理，并承担由此给采购人带来的损失。</w:t>
      </w:r>
    </w:p>
    <w:p>
      <w:pPr>
        <w:spacing w:before="60" w:beforeLines="25" w:after="60" w:afterLines="25" w:line="360" w:lineRule="auto"/>
        <w:ind w:firstLine="5460" w:firstLineChars="2600"/>
        <w:rPr>
          <w:rFonts w:ascii="宋体" w:hAnsi="宋体"/>
          <w:szCs w:val="21"/>
        </w:rPr>
      </w:pPr>
      <w:r>
        <w:rPr>
          <w:rFonts w:ascii="宋体" w:hAnsi="宋体" w:hint="eastAsia"/>
          <w:szCs w:val="21"/>
        </w:rPr>
        <w:t xml:space="preserve">                                    </w:t>
      </w:r>
    </w:p>
    <w:p>
      <w:pPr>
        <w:spacing w:before="60" w:beforeLines="25" w:after="60" w:afterLines="25" w:line="360" w:lineRule="auto"/>
        <w:ind w:firstLine="5460" w:firstLineChars="2600"/>
        <w:rPr>
          <w:color w:val="FF0000"/>
        </w:rPr>
      </w:pPr>
      <w:r>
        <w:rPr>
          <w:rFonts w:hint="eastAsia"/>
          <w:color w:val="FF0000"/>
          <w:szCs w:val="21"/>
        </w:rPr>
        <w:t>投标人：</w:t>
      </w:r>
      <w:r>
        <w:rPr>
          <w:rFonts w:hint="eastAsia"/>
          <w:color w:val="FF0000"/>
          <w:szCs w:val="21"/>
          <w:u w:val="single"/>
        </w:rPr>
        <w:t xml:space="preserve">              </w:t>
      </w:r>
    </w:p>
    <w:p>
      <w:pPr>
        <w:spacing w:line="360" w:lineRule="auto"/>
        <w:ind w:firstLine="0"/>
      </w:pPr>
      <w:r>
        <w:rPr>
          <w:rFonts w:ascii="宋体" w:hAnsi="宋体" w:hint="eastAsia"/>
          <w:color w:val="FF0000"/>
          <w:szCs w:val="21"/>
        </w:rPr>
        <w:t xml:space="preserve">                                              日期：</w:t>
      </w:r>
      <w:r>
        <w:rPr>
          <w:rFonts w:ascii="宋体" w:hAnsi="宋体" w:hint="eastAsia"/>
          <w:color w:val="FF0000"/>
          <w:szCs w:val="21"/>
          <w:u w:val="single"/>
        </w:rPr>
        <w:t xml:space="preserve">    </w:t>
      </w:r>
      <w:r>
        <w:rPr>
          <w:rFonts w:ascii="宋体" w:hAnsi="宋体" w:hint="eastAsia"/>
          <w:color w:val="FF0000"/>
          <w:szCs w:val="21"/>
        </w:rPr>
        <w:t>年</w:t>
      </w:r>
      <w:r>
        <w:rPr>
          <w:rFonts w:ascii="宋体" w:hAnsi="宋体" w:hint="eastAsia"/>
          <w:color w:val="FF0000"/>
          <w:szCs w:val="21"/>
          <w:u w:val="single"/>
        </w:rPr>
        <w:t xml:space="preserve">   </w:t>
      </w:r>
      <w:r>
        <w:rPr>
          <w:rFonts w:ascii="宋体" w:hAnsi="宋体" w:hint="eastAsia"/>
          <w:color w:val="FF0000"/>
          <w:szCs w:val="21"/>
        </w:rPr>
        <w:t>月</w:t>
      </w:r>
      <w:r>
        <w:rPr>
          <w:rFonts w:ascii="宋体" w:hAnsi="宋体" w:hint="eastAsia"/>
          <w:color w:val="FF0000"/>
          <w:szCs w:val="21"/>
          <w:u w:val="single"/>
        </w:rPr>
        <w:t xml:space="preserve">   </w:t>
      </w:r>
      <w:r>
        <w:rPr>
          <w:rFonts w:ascii="宋体" w:hAnsi="宋体" w:hint="eastAsia"/>
          <w:color w:val="FF0000"/>
          <w:szCs w:val="21"/>
        </w:rPr>
        <w:t>日</w:t>
      </w:r>
    </w:p>
    <w:p>
      <w:pPr>
        <w:spacing w:line="360" w:lineRule="auto"/>
      </w:pPr>
    </w:p>
    <w:p>
      <w:pPr>
        <w:pStyle w:val="Heading3"/>
        <w:spacing w:before="120" w:after="120" w:line="360" w:lineRule="auto"/>
        <w:jc w:val="center"/>
        <w:rPr>
          <w:rFonts w:ascii="黑体" w:eastAsia="黑体"/>
          <w:b w:val="0"/>
          <w:kern w:val="0"/>
          <w:sz w:val="24"/>
        </w:rPr>
      </w:pPr>
      <w:r>
        <w:rPr>
          <w:rFonts w:ascii="黑体" w:eastAsia="黑体" w:hint="eastAsia"/>
          <w:b w:val="0"/>
          <w:kern w:val="0"/>
          <w:sz w:val="24"/>
        </w:rPr>
        <w:t>三、投标人情况及资格证明文件</w:t>
      </w:r>
    </w:p>
    <w:p>
      <w:pPr>
        <w:spacing w:line="360" w:lineRule="auto"/>
        <w:ind w:firstLine="2310" w:firstLineChars="1100"/>
        <w:outlineLvl w:val="3"/>
        <w:rPr>
          <w:rFonts w:ascii="黑体" w:eastAsia="黑体" w:hAnsi="宋体"/>
          <w:bCs/>
          <w:kern w:val="0"/>
          <w:sz w:val="24"/>
          <w:szCs w:val="32"/>
        </w:rPr>
      </w:pPr>
      <w:r>
        <w:rPr>
          <w:rFonts w:ascii="黑体" w:eastAsia="黑体" w:hAnsi="宋体" w:hint="eastAsia"/>
          <w:bCs/>
          <w:kern w:val="0"/>
          <w:sz w:val="24"/>
          <w:szCs w:val="32"/>
        </w:rPr>
        <w:t>（一）投标人资格证明文件</w:t>
      </w:r>
    </w:p>
    <w:p>
      <w:pPr>
        <w:spacing w:before="120" w:beforeLines="50" w:line="360" w:lineRule="auto"/>
        <w:ind w:firstLine="420" w:firstLineChars="200"/>
        <w:rPr>
          <w:b/>
          <w:bCs/>
          <w:color w:val="FF0000"/>
        </w:rPr>
      </w:pPr>
      <w:r>
        <w:rPr>
          <w:rFonts w:hint="eastAsia"/>
          <w:b/>
          <w:bCs/>
          <w:color w:val="FF0000"/>
        </w:rPr>
        <w:t>（特别提示：投标人须按本招标文件第一册第一章招标公告“申请人的资格要求”（即投标人资格要求）提供相关的资格证明资料，未提供或提供不完整、不符合要求的，将作投标无效处理</w:t>
      </w:r>
      <w:r>
        <w:rPr>
          <w:rFonts w:hint="eastAsia"/>
          <w:b/>
          <w:bCs/>
          <w:color w:val="FF0000"/>
          <w:lang w:eastAsia="zh-CN"/>
        </w:rPr>
        <w:t>，</w:t>
      </w:r>
      <w:r>
        <w:rPr>
          <w:rFonts w:ascii="Times New Roman" w:eastAsia="宋体" w:hint="eastAsia"/>
          <w:b/>
          <w:bCs/>
          <w:color w:val="FF0000"/>
          <w:lang w:val="en-US" w:eastAsia="zh-CN"/>
        </w:rPr>
        <w:t>其中要求提供《政府采购投标及履约承诺函》《供应商基本情况表》且已在规定章节中提供的，此处不重复提供</w:t>
      </w:r>
      <w:r>
        <w:rPr>
          <w:rFonts w:hint="eastAsia"/>
          <w:b/>
          <w:bCs/>
          <w:color w:val="FF0000"/>
        </w:rPr>
        <w:t>。）</w:t>
      </w:r>
    </w:p>
    <w:p>
      <w:pPr>
        <w:spacing w:line="360" w:lineRule="auto"/>
        <w:ind w:firstLine="420" w:firstLineChars="200"/>
        <w:rPr>
          <w:b/>
          <w:sz w:val="24"/>
        </w:rPr>
      </w:pPr>
    </w:p>
    <w:p>
      <w:pPr>
        <w:spacing w:line="360" w:lineRule="auto"/>
        <w:ind w:firstLine="420" w:firstLineChars="200"/>
        <w:outlineLvl w:val="3"/>
        <w:rPr>
          <w:rFonts w:ascii="黑体" w:eastAsia="黑体" w:hAnsi="宋体"/>
          <w:bCs/>
          <w:kern w:val="0"/>
          <w:sz w:val="24"/>
          <w:szCs w:val="32"/>
        </w:rPr>
      </w:pPr>
      <w:r>
        <w:rPr>
          <w:rFonts w:ascii="黑体" w:eastAsia="黑体" w:hAnsi="宋体" w:hint="eastAsia"/>
          <w:bCs/>
          <w:kern w:val="0"/>
          <w:sz w:val="24"/>
          <w:szCs w:val="32"/>
        </w:rPr>
        <w:t>（二）中小企业声明函、残疾人福利性单位声明函及监狱企业声明函</w:t>
      </w:r>
    </w:p>
    <w:p>
      <w:pPr>
        <w:spacing w:line="360" w:lineRule="auto"/>
        <w:jc w:val="left"/>
        <w:outlineLvl w:val="3"/>
        <w:rPr>
          <w:rFonts w:ascii="黑体" w:eastAsia="黑体" w:hAnsi="宋体"/>
          <w:bCs/>
          <w:kern w:val="0"/>
          <w:sz w:val="24"/>
          <w:szCs w:val="32"/>
        </w:rPr>
      </w:pP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填写指引：</w:t>
      </w:r>
    </w:p>
    <w:p>
      <w:pPr>
        <w:spacing w:line="360" w:lineRule="auto"/>
        <w:ind w:firstLine="420" w:firstLineChars="200"/>
        <w:outlineLvl w:val="3"/>
        <w:rPr>
          <w:rFonts w:ascii="黑体" w:eastAsia="黑体" w:hAnsi="黑体"/>
          <w:color w:val="FF0000"/>
          <w:szCs w:val="21"/>
        </w:rPr>
      </w:pPr>
      <w:r>
        <w:rPr>
          <w:rFonts w:ascii="黑体" w:eastAsia="黑体" w:hAnsi="宋体" w:hint="eastAsia"/>
          <w:bCs/>
          <w:color w:val="FF0000"/>
          <w:kern w:val="0"/>
          <w:szCs w:val="21"/>
        </w:rPr>
        <w:t>1、该部分内容由投标人根据自身实际情况填写，不符合要求的投标人可以不填写或直接删除相应的声明函。</w:t>
      </w:r>
      <w:r>
        <w:rPr>
          <w:rFonts w:ascii="黑体" w:eastAsia="黑体" w:hAnsi="黑体" w:hint="eastAsia"/>
          <w:color w:val="FF0000"/>
          <w:szCs w:val="21"/>
        </w:rPr>
        <w:t>投标人提供的声明函不属实的，属于提供虚假资料谋取中标，依照《中华人民共和国政府采购法》等国家有关规定追究相应责任。</w:t>
      </w:r>
    </w:p>
    <w:p>
      <w:pPr>
        <w:spacing w:line="360" w:lineRule="auto"/>
        <w:ind w:firstLine="420" w:firstLineChars="200"/>
        <w:outlineLvl w:val="3"/>
        <w:rPr>
          <w:rFonts w:ascii="黑体" w:eastAsia="黑体" w:hAnsi="黑体"/>
          <w:color w:val="FF0000"/>
          <w:szCs w:val="21"/>
        </w:rPr>
      </w:pPr>
      <w:r>
        <w:rPr>
          <w:rFonts w:ascii="黑体" w:eastAsia="黑体" w:hAnsi="黑体" w:hint="eastAsia"/>
          <w:color w:val="FF0000"/>
          <w:szCs w:val="21"/>
        </w:rPr>
        <w:t>2、该部分内容填写需要参考的相关文件：</w:t>
      </w:r>
    </w:p>
    <w:p>
      <w:pPr>
        <w:spacing w:line="360" w:lineRule="auto"/>
        <w:ind w:firstLine="420" w:firstLineChars="200"/>
        <w:outlineLvl w:val="3"/>
        <w:rPr>
          <w:rFonts w:ascii="黑体" w:eastAsia="黑体" w:hAnsi="黑体"/>
          <w:color w:val="FF0000"/>
          <w:szCs w:val="21"/>
        </w:rPr>
      </w:pPr>
      <w:r>
        <w:rPr>
          <w:rFonts w:ascii="黑体" w:eastAsia="黑体" w:hAnsi="黑体" w:hint="eastAsia"/>
          <w:color w:val="FF0000"/>
          <w:szCs w:val="21"/>
        </w:rPr>
        <w:t>(</w:t>
      </w:r>
      <w:r>
        <w:rPr>
          <w:rFonts w:ascii="黑体" w:eastAsia="黑体" w:hAnsi="黑体"/>
          <w:color w:val="FF0000"/>
          <w:szCs w:val="21"/>
        </w:rPr>
        <w:t>1</w:t>
      </w:r>
      <w:r>
        <w:rPr>
          <w:rFonts w:ascii="黑体" w:eastAsia="黑体" w:hAnsi="黑体" w:hint="eastAsia"/>
          <w:color w:val="FF0000"/>
          <w:szCs w:val="21"/>
        </w:rPr>
        <w:t>)财政部《政府采购促进中小企业发展管理办法》（财库〔2020〕46号）</w:t>
      </w:r>
    </w:p>
    <w:p>
      <w:pPr>
        <w:spacing w:line="360" w:lineRule="auto"/>
        <w:ind w:firstLine="420" w:firstLineChars="200"/>
        <w:outlineLvl w:val="3"/>
        <w:rPr>
          <w:rFonts w:ascii="黑体" w:eastAsia="黑体" w:hAnsi="黑体"/>
          <w:color w:val="FF0000"/>
          <w:szCs w:val="21"/>
        </w:rPr>
      </w:pPr>
      <w:r>
        <w:rPr>
          <w:rFonts w:ascii="黑体" w:eastAsia="黑体" w:hAnsi="黑体" w:hint="eastAsia"/>
          <w:color w:val="FF0000"/>
          <w:szCs w:val="21"/>
        </w:rPr>
        <w:t>(</w:t>
      </w:r>
      <w:r>
        <w:rPr>
          <w:rFonts w:ascii="黑体" w:eastAsia="黑体" w:hAnsi="黑体"/>
          <w:color w:val="FF0000"/>
          <w:szCs w:val="21"/>
        </w:rPr>
        <w:t>2</w:t>
      </w:r>
      <w:r>
        <w:rPr>
          <w:rFonts w:ascii="黑体" w:eastAsia="黑体" w:hAnsi="黑体" w:hint="eastAsia"/>
          <w:color w:val="FF0000"/>
          <w:szCs w:val="21"/>
        </w:rPr>
        <w:t>)</w:t>
      </w:r>
      <w:bookmarkStart w:id="38" w:name="_Hlk71925120"/>
      <w:r>
        <w:rPr>
          <w:rFonts w:ascii="黑体" w:eastAsia="黑体" w:hAnsi="黑体" w:hint="eastAsia"/>
          <w:color w:val="FF0000"/>
          <w:szCs w:val="21"/>
        </w:rPr>
        <w:t>《工业和信息化部、国家统计局、国家发展和改革委员会、财政部关于印发中小企业划型标准规定的通知》（工信部联企业〔2011〕300号</w:t>
      </w:r>
      <w:bookmarkEnd w:id="38"/>
      <w:r>
        <w:rPr>
          <w:rFonts w:ascii="黑体" w:eastAsia="黑体" w:hAnsi="黑体" w:hint="eastAsia"/>
          <w:color w:val="FF0000"/>
          <w:szCs w:val="21"/>
        </w:rPr>
        <w:t>）</w:t>
      </w:r>
    </w:p>
    <w:p>
      <w:pPr>
        <w:spacing w:line="360" w:lineRule="auto"/>
        <w:ind w:firstLine="420" w:firstLineChars="200"/>
        <w:outlineLvl w:val="3"/>
        <w:rPr>
          <w:rFonts w:ascii="黑体" w:eastAsia="黑体" w:hAnsi="黑体"/>
          <w:color w:val="FF0000"/>
          <w:szCs w:val="21"/>
        </w:rPr>
      </w:pPr>
      <w:r>
        <w:rPr>
          <w:rFonts w:ascii="黑体" w:eastAsia="黑体" w:hAnsi="黑体" w:hint="eastAsia"/>
          <w:color w:val="FF0000"/>
          <w:szCs w:val="21"/>
        </w:rPr>
        <w:t>(3)《统计上大中小微型企业划分办法(2017)》（国统字〔2017〕213号）</w:t>
      </w:r>
    </w:p>
    <w:p>
      <w:pPr>
        <w:spacing w:line="360" w:lineRule="auto"/>
        <w:ind w:firstLine="420" w:firstLineChars="200"/>
        <w:outlineLvl w:val="3"/>
        <w:rPr>
          <w:rFonts w:ascii="黑体" w:eastAsia="黑体" w:hAnsi="黑体"/>
          <w:color w:val="FF0000"/>
          <w:szCs w:val="21"/>
        </w:rPr>
      </w:pPr>
      <w:r>
        <w:rPr>
          <w:rFonts w:ascii="黑体" w:eastAsia="黑体" w:hAnsi="黑体" w:hint="eastAsia"/>
          <w:color w:val="FF0000"/>
          <w:szCs w:val="21"/>
        </w:rPr>
        <w:t>(4)《关于促进残疾人就业政府采购政策的通知》（财库〔2017〕141号）</w:t>
      </w:r>
    </w:p>
    <w:p>
      <w:pPr>
        <w:spacing w:line="360" w:lineRule="auto"/>
        <w:ind w:firstLine="420" w:firstLineChars="200"/>
        <w:outlineLvl w:val="3"/>
        <w:rPr>
          <w:rFonts w:ascii="黑体" w:eastAsia="黑体" w:hAnsi="黑体"/>
          <w:color w:val="FF0000"/>
          <w:szCs w:val="21"/>
        </w:rPr>
      </w:pPr>
      <w:r>
        <w:rPr>
          <w:rFonts w:ascii="黑体" w:eastAsia="黑体" w:hAnsi="黑体" w:hint="eastAsia"/>
          <w:color w:val="FF0000"/>
          <w:szCs w:val="21"/>
        </w:rPr>
        <w:t>(5)《关于政府采购支持监狱企业发展有关问题的通知》（财库〔2014〕68号）</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3、请依照提供的格式和内容填写声明函，不要随意变更格式；声明函不需要盖章或签字；</w:t>
      </w:r>
      <w:r>
        <w:rPr>
          <w:rFonts w:ascii="黑体" w:eastAsia="黑体" w:hAnsi="黑体" w:hint="eastAsia"/>
          <w:color w:val="FF0000"/>
          <w:szCs w:val="21"/>
        </w:rPr>
        <w:t>满足多项优惠政策的投标人，不重复享受多项价格扣除政策。</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4、声明函具体填写要求：</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（1）声明是中小企业须填写《中小企业声明函》的以下内容：</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第一处，在“单位名称”下划线处如实填写采购人名称（深圳公共资源交易中心不是本项目的采购人，而是组织实施机构）；</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第二处，在“项目名称”下划线处如实填写采购</w:t>
      </w:r>
      <w:r>
        <w:rPr>
          <w:rFonts w:ascii="黑体" w:eastAsia="黑体" w:hAnsi="宋体" w:hint="eastAsia"/>
          <w:bCs/>
          <w:color w:val="FF0000"/>
          <w:kern w:val="0"/>
          <w:szCs w:val="21"/>
          <w:lang w:val="en-US" w:eastAsia="zh-CN"/>
        </w:rPr>
        <w:t>文件中确定的</w:t>
      </w:r>
      <w:r>
        <w:rPr>
          <w:rFonts w:ascii="黑体" w:eastAsia="黑体" w:hAnsi="宋体" w:hint="eastAsia"/>
          <w:bCs/>
          <w:color w:val="FF0000"/>
          <w:kern w:val="0"/>
          <w:szCs w:val="21"/>
        </w:rPr>
        <w:t>项目名称</w:t>
      </w:r>
      <w:r>
        <w:rPr>
          <w:rFonts w:ascii="黑体" w:eastAsia="黑体" w:hAnsi="宋体" w:hint="eastAsia"/>
          <w:bCs/>
          <w:color w:val="FF0000"/>
          <w:kern w:val="0"/>
          <w:szCs w:val="21"/>
          <w:lang w:eastAsia="zh-CN"/>
        </w:rPr>
        <w:t>。对于分包方式面向中小企业采购的项目，应标明中小企业的具体分包内容；对于以联合体方式面向中小企业采购的项目，应标明联合体中中小企业所承担的具体内容</w:t>
      </w:r>
      <w:r>
        <w:rPr>
          <w:rFonts w:ascii="黑体" w:eastAsia="黑体" w:hAnsi="宋体" w:hint="eastAsia"/>
          <w:bCs/>
          <w:color w:val="FF0000"/>
          <w:kern w:val="0"/>
          <w:szCs w:val="21"/>
        </w:rPr>
        <w:t>；</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第三处，在“标的名称”下划线处填写所采购标的具体名称（以招标文件第一册第三章用户需求书“</w:t>
      </w:r>
      <w:r>
        <w:rPr>
          <w:rFonts w:ascii="黑体" w:eastAsia="黑体" w:hAnsi="宋体" w:hint="eastAsia"/>
          <w:bCs/>
          <w:color w:val="FF0000"/>
          <w:kern w:val="0"/>
          <w:szCs w:val="21"/>
          <w:lang w:val="en-US" w:eastAsia="zh-CN"/>
        </w:rPr>
        <w:t>服务需求</w:t>
      </w:r>
      <w:r>
        <w:rPr>
          <w:rFonts w:ascii="黑体" w:eastAsia="黑体" w:hAnsi="宋体" w:hint="eastAsia"/>
          <w:bCs/>
          <w:color w:val="FF0000"/>
          <w:kern w:val="0"/>
          <w:szCs w:val="21"/>
        </w:rPr>
        <w:t>明细”的“服务需求名称（标的名称）”一栏为准）；如果涉及多项</w:t>
      </w:r>
      <w:r>
        <w:rPr>
          <w:rFonts w:ascii="黑体" w:eastAsia="黑体" w:hAnsi="宋体" w:hint="eastAsia"/>
          <w:bCs/>
          <w:color w:val="FF0000"/>
          <w:kern w:val="0"/>
          <w:szCs w:val="21"/>
          <w:lang w:val="en-US" w:eastAsia="zh-CN"/>
        </w:rPr>
        <w:t>服务</w:t>
      </w:r>
      <w:r>
        <w:rPr>
          <w:rFonts w:ascii="黑体" w:eastAsia="黑体" w:hAnsi="宋体" w:hint="eastAsia"/>
          <w:bCs/>
          <w:color w:val="FF0000"/>
          <w:kern w:val="0"/>
          <w:szCs w:val="21"/>
        </w:rPr>
        <w:t>（标的）为同一企业</w:t>
      </w:r>
      <w:r>
        <w:rPr>
          <w:rFonts w:ascii="黑体" w:eastAsia="黑体" w:hAnsi="宋体" w:hint="eastAsia"/>
          <w:bCs/>
          <w:color w:val="FF0000"/>
          <w:kern w:val="0"/>
          <w:szCs w:val="21"/>
          <w:lang w:val="en-US" w:eastAsia="zh-CN"/>
        </w:rPr>
        <w:t>承接的</w:t>
      </w:r>
      <w:r>
        <w:rPr>
          <w:rFonts w:ascii="黑体" w:eastAsia="黑体" w:hAnsi="宋体" w:hint="eastAsia"/>
          <w:bCs/>
          <w:color w:val="FF0000"/>
          <w:kern w:val="0"/>
          <w:szCs w:val="21"/>
        </w:rPr>
        <w:t>，“标的名称”下划线处可以如实填写多项</w:t>
      </w:r>
      <w:r>
        <w:rPr>
          <w:rFonts w:ascii="黑体" w:eastAsia="黑体" w:hAnsi="宋体" w:hint="eastAsia"/>
          <w:bCs/>
          <w:color w:val="FF0000"/>
          <w:kern w:val="0"/>
          <w:szCs w:val="21"/>
          <w:lang w:val="en-US" w:eastAsia="zh-CN"/>
        </w:rPr>
        <w:t>服务</w:t>
      </w:r>
      <w:r>
        <w:rPr>
          <w:rFonts w:ascii="黑体" w:eastAsia="黑体" w:hAnsi="宋体" w:hint="eastAsia"/>
          <w:bCs/>
          <w:color w:val="FF0000"/>
          <w:kern w:val="0"/>
          <w:szCs w:val="21"/>
        </w:rPr>
        <w:t>；对于分包方式面向中小企业采购的项目</w:t>
      </w:r>
      <w:r>
        <w:rPr>
          <w:rFonts w:ascii="黑体" w:eastAsia="黑体" w:hAnsi="宋体" w:hint="eastAsia"/>
          <w:bCs/>
          <w:color w:val="FF0000"/>
          <w:kern w:val="0"/>
          <w:szCs w:val="21"/>
          <w:lang w:eastAsia="zh-CN"/>
        </w:rPr>
        <w:t>，</w:t>
      </w:r>
      <w:r>
        <w:rPr>
          <w:rFonts w:ascii="黑体" w:eastAsia="黑体" w:hAnsi="宋体" w:hint="eastAsia"/>
          <w:bCs/>
          <w:color w:val="FF0000"/>
          <w:kern w:val="0"/>
          <w:szCs w:val="21"/>
        </w:rPr>
        <w:t>“标的名称”应填写采购文件中注明的分包给中小企业的采购标的名称；对于以联合体方式面向中小企业采购的项目“标的名称”应填写采购文件中注明的联合体中中小企业承担的采购标的名称。</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第四处，在“</w:t>
      </w:r>
      <w:r>
        <w:rPr>
          <w:rFonts w:ascii="黑体" w:eastAsia="黑体" w:hAnsi="宋体" w:hint="eastAsia"/>
          <w:bCs/>
          <w:color w:val="FF0000"/>
          <w:kern w:val="0"/>
          <w:szCs w:val="21"/>
          <w:lang w:val="en-US" w:eastAsia="zh-CN"/>
        </w:rPr>
        <w:t>采购</w:t>
      </w:r>
      <w:r>
        <w:rPr>
          <w:rFonts w:ascii="黑体" w:eastAsia="黑体" w:hAnsi="宋体" w:hint="eastAsia"/>
          <w:bCs/>
          <w:color w:val="FF0000"/>
          <w:kern w:val="0"/>
          <w:szCs w:val="21"/>
        </w:rPr>
        <w:t>文件中明确的所属行业”下划线处填写采购标的对应的中小企业划分标准所属行业（所属行业以招标文件第一册第三章用户需求书“</w:t>
      </w:r>
      <w:r>
        <w:rPr>
          <w:rFonts w:ascii="黑体" w:eastAsia="黑体" w:hAnsi="宋体" w:hint="eastAsia"/>
          <w:bCs/>
          <w:color w:val="FF0000"/>
          <w:kern w:val="0"/>
          <w:szCs w:val="21"/>
          <w:lang w:val="en-US" w:eastAsia="zh-CN"/>
        </w:rPr>
        <w:t>服务需求</w:t>
      </w:r>
      <w:r>
        <w:rPr>
          <w:rFonts w:ascii="黑体" w:eastAsia="黑体" w:hAnsi="宋体" w:hint="eastAsia"/>
          <w:bCs/>
          <w:color w:val="FF0000"/>
          <w:kern w:val="0"/>
          <w:szCs w:val="21"/>
        </w:rPr>
        <w:t>明细”的“</w:t>
      </w:r>
      <w:r>
        <w:rPr>
          <w:rFonts w:ascii="黑体" w:eastAsia="黑体" w:hAnsi="宋体" w:hint="eastAsia"/>
          <w:bCs/>
          <w:color w:val="FF0000"/>
          <w:kern w:val="0"/>
          <w:szCs w:val="21"/>
          <w:lang w:val="en-US" w:eastAsia="zh-CN"/>
        </w:rPr>
        <w:t>标的所属行业</w:t>
      </w:r>
      <w:r>
        <w:rPr>
          <w:rFonts w:ascii="黑体" w:eastAsia="黑体" w:hAnsi="宋体" w:hint="eastAsia"/>
          <w:bCs/>
          <w:color w:val="FF0000"/>
          <w:kern w:val="0"/>
          <w:szCs w:val="21"/>
        </w:rPr>
        <w:t>”一栏为准）</w:t>
      </w:r>
      <w:r>
        <w:rPr>
          <w:rFonts w:ascii="黑体" w:eastAsia="黑体" w:hAnsi="宋体" w:hint="eastAsia"/>
          <w:bCs/>
          <w:color w:val="FF0000"/>
          <w:kern w:val="0"/>
          <w:szCs w:val="21"/>
          <w:lang w:eastAsia="zh-CN"/>
        </w:rPr>
        <w:t>，并应确保与采购标的涉及的服务承接商本身的所属行业保持一致。对于分包方式面向中小企业采购的项目，“采购文件中明确的所属行业”应按照采购文件中注明的分包给中小企业的采购标的所属行业填写，并应确保与该分包部分采购标的涉及的服务承接商本身的所属行业保持一致；对于以联合体方式面向中小企业采购的项目，“采购文件中明确的所属行业”应按照采购文件中注明的联合体中中小企业承担的采购标的所属行业填写，并应确保与该分包部分采购标的涉及的服务承接商本身的所属行业保持一致；</w:t>
      </w:r>
    </w:p>
    <w:p>
      <w:pPr>
        <w:spacing w:line="360" w:lineRule="auto"/>
        <w:ind w:firstLine="420" w:firstLineChars="200"/>
        <w:outlineLvl w:val="3"/>
        <w:rPr>
          <w:rFonts w:ascii="黑体" w:eastAsia="黑体" w:hAnsi="宋体" w:hint="eastAsia"/>
          <w:bCs/>
          <w:color w:val="FF0000"/>
          <w:kern w:val="0"/>
          <w:szCs w:val="21"/>
          <w:lang w:eastAsia="zh-CN"/>
        </w:rPr>
      </w:pPr>
      <w:r>
        <w:rPr>
          <w:rFonts w:ascii="黑体" w:eastAsia="黑体" w:hAnsi="宋体" w:hint="eastAsia"/>
          <w:bCs/>
          <w:color w:val="FF0000"/>
          <w:kern w:val="0"/>
          <w:szCs w:val="21"/>
        </w:rPr>
        <w:t>第五处，在“企业名称”下划线处如实填写</w:t>
      </w:r>
      <w:r>
        <w:rPr>
          <w:rFonts w:ascii="黑体" w:eastAsia="黑体" w:hAnsi="宋体" w:hint="eastAsia"/>
          <w:b/>
          <w:bCs w:val="0"/>
          <w:color w:val="FF0000"/>
          <w:kern w:val="0"/>
          <w:szCs w:val="21"/>
          <w:lang w:eastAsia="zh-CN"/>
        </w:rPr>
        <w:t>服务承接商</w:t>
      </w:r>
      <w:r>
        <w:rPr>
          <w:rFonts w:ascii="黑体" w:eastAsia="黑体" w:hAnsi="宋体" w:hint="eastAsia"/>
          <w:b/>
          <w:bCs w:val="0"/>
          <w:color w:val="FF0000"/>
          <w:kern w:val="0"/>
          <w:szCs w:val="21"/>
        </w:rPr>
        <w:t>名称</w:t>
      </w:r>
      <w:r>
        <w:rPr>
          <w:rFonts w:ascii="黑体" w:eastAsia="黑体" w:hAnsi="宋体" w:hint="eastAsia"/>
          <w:b/>
          <w:bCs w:val="0"/>
          <w:color w:val="FF0000"/>
          <w:kern w:val="0"/>
          <w:szCs w:val="21"/>
          <w:lang w:eastAsia="zh-CN"/>
        </w:rPr>
        <w:t>。</w:t>
      </w:r>
      <w:r>
        <w:rPr>
          <w:rFonts w:ascii="黑体" w:eastAsia="黑体" w:hAnsi="宋体" w:hint="eastAsia"/>
          <w:bCs/>
          <w:color w:val="FF0000"/>
          <w:kern w:val="0"/>
          <w:szCs w:val="21"/>
          <w:lang w:eastAsia="zh-CN"/>
        </w:rPr>
        <w:t>对于分包方式面向中小企业采购的项目，“企业名称”应填写分包部分采购标的对应的服务承接商；对于以联合体方式面向中小企业采购的项目，“企业名称”应填写联合体中中小企业承担采购标的对应的服务承接商；</w:t>
      </w:r>
    </w:p>
    <w:p>
      <w:pPr>
        <w:numPr>
          <w:ilvl w:val="0"/>
          <w:numId w:val="0"/>
        </w:numPr>
        <w:spacing w:line="360" w:lineRule="auto"/>
        <w:ind w:firstLine="420" w:firstLineChars="200"/>
        <w:outlineLvl w:val="3"/>
        <w:rPr>
          <w:rFonts w:ascii="黑体" w:eastAsia="黑体" w:hAnsi="宋体" w:hint="eastAsia"/>
          <w:bCs/>
          <w:color w:val="FF0000"/>
          <w:kern w:val="0"/>
          <w:szCs w:val="21"/>
        </w:rPr>
      </w:pPr>
      <w:r>
        <w:rPr>
          <w:rFonts w:ascii="黑体" w:eastAsia="黑体" w:hAnsi="宋体" w:cs="Times New Roman" w:hint="eastAsia"/>
          <w:bCs/>
          <w:color w:val="FF0000"/>
          <w:kern w:val="0"/>
          <w:sz w:val="21"/>
          <w:szCs w:val="21"/>
          <w:lang w:val="en-US" w:eastAsia="zh-CN" w:bidi="ar-SA"/>
        </w:rPr>
        <w:t>第六、</w:t>
      </w:r>
      <w:r>
        <w:rPr>
          <w:rFonts w:ascii="黑体" w:eastAsia="黑体" w:hAnsi="宋体" w:hint="eastAsia"/>
          <w:bCs/>
          <w:color w:val="FF0000"/>
          <w:kern w:val="0"/>
          <w:szCs w:val="21"/>
          <w:lang w:val="en-US" w:eastAsia="zh-CN"/>
        </w:rPr>
        <w:t>七、八处，</w:t>
      </w:r>
      <w:r>
        <w:rPr>
          <w:rFonts w:ascii="黑体" w:eastAsia="黑体" w:hAnsi="宋体" w:hint="eastAsia"/>
          <w:bCs/>
          <w:color w:val="FF0000"/>
          <w:kern w:val="0"/>
          <w:szCs w:val="21"/>
        </w:rPr>
        <w:t>在“从业人员”、“营业收入”、“资产总额”下划线处如实填写从业人员、营业收入、资产总额</w:t>
      </w:r>
      <w:r>
        <w:rPr>
          <w:rFonts w:ascii="黑体" w:eastAsia="黑体" w:hAnsi="宋体" w:hint="eastAsia"/>
          <w:bCs/>
          <w:color w:val="FF0000"/>
          <w:kern w:val="0"/>
          <w:szCs w:val="21"/>
          <w:lang w:eastAsia="zh-CN"/>
        </w:rPr>
        <w:t>。从业人员、资产总额指标以上年度末数据为依据，营业收入指标以上年度累计数据为依据。无上年度数据的新成立企业可不填报。</w:t>
      </w:r>
    </w:p>
    <w:p>
      <w:pPr>
        <w:numPr>
          <w:ilvl w:val="0"/>
          <w:numId w:val="0"/>
        </w:numPr>
        <w:spacing w:line="360" w:lineRule="auto"/>
        <w:ind w:firstLine="420" w:firstLineChars="200"/>
        <w:outlineLvl w:val="3"/>
        <w:rPr>
          <w:rFonts w:ascii="黑体" w:eastAsia="黑体" w:hAnsi="宋体" w:hint="eastAsia"/>
          <w:bCs/>
          <w:color w:val="FF0000"/>
          <w:kern w:val="0"/>
          <w:szCs w:val="21"/>
        </w:rPr>
      </w:pPr>
      <w:r>
        <w:rPr>
          <w:rFonts w:ascii="黑体" w:eastAsia="黑体" w:hAnsi="宋体" w:hint="eastAsia"/>
          <w:bCs/>
          <w:color w:val="FF0000"/>
          <w:kern w:val="0"/>
          <w:szCs w:val="21"/>
          <w:lang w:val="en-US" w:eastAsia="zh-CN"/>
        </w:rPr>
        <w:t>第九处，</w:t>
      </w:r>
      <w:r>
        <w:rPr>
          <w:rFonts w:ascii="黑体" w:eastAsia="黑体" w:hAnsi="宋体" w:hint="eastAsia"/>
          <w:bCs/>
          <w:color w:val="FF0000"/>
          <w:kern w:val="0"/>
          <w:szCs w:val="21"/>
        </w:rPr>
        <w:t>在“中型企业、小型企业、微型企业”下划线处应依据企业上年度从业人员、营业收入、资产总额等指标</w:t>
      </w:r>
      <w:r>
        <w:rPr>
          <w:rFonts w:ascii="黑体" w:eastAsia="黑体" w:hAnsi="宋体" w:hint="eastAsia"/>
          <w:bCs/>
          <w:color w:val="FF0000"/>
          <w:kern w:val="0"/>
          <w:szCs w:val="21"/>
          <w:lang w:eastAsia="zh-CN"/>
        </w:rPr>
        <w:t>，</w:t>
      </w:r>
      <w:r>
        <w:rPr>
          <w:rFonts w:ascii="黑体" w:eastAsia="黑体" w:hAnsi="宋体" w:hint="eastAsia"/>
          <w:bCs/>
          <w:color w:val="FF0000"/>
          <w:kern w:val="0"/>
          <w:szCs w:val="21"/>
        </w:rPr>
        <w:t>按照《中小企业划型标准规定》（工信部联企业〔2011〕300号）、《金融业企业划型标准规定》（银发〔2015〕309号）</w:t>
      </w:r>
      <w:r>
        <w:rPr>
          <w:rFonts w:ascii="黑体" w:eastAsia="黑体" w:hAnsi="宋体" w:hint="eastAsia"/>
          <w:bCs/>
          <w:color w:val="FF0000"/>
          <w:kern w:val="0"/>
          <w:szCs w:val="21"/>
          <w:lang w:eastAsia="zh-CN"/>
        </w:rPr>
        <w:t>，</w:t>
      </w:r>
      <w:r>
        <w:rPr>
          <w:rFonts w:ascii="黑体" w:eastAsia="黑体" w:hAnsi="宋体" w:hint="eastAsia"/>
          <w:bCs/>
          <w:color w:val="FF0000"/>
          <w:kern w:val="0"/>
          <w:szCs w:val="21"/>
        </w:rPr>
        <w:t>判断《中小企业声明函》载明的</w:t>
      </w:r>
      <w:r>
        <w:rPr>
          <w:rFonts w:ascii="黑体" w:eastAsia="黑体" w:hAnsi="宋体" w:hint="eastAsia"/>
          <w:bCs/>
          <w:color w:val="FF0000"/>
          <w:kern w:val="0"/>
          <w:szCs w:val="21"/>
          <w:lang w:eastAsia="zh-CN"/>
        </w:rPr>
        <w:t>服务承接商</w:t>
      </w:r>
      <w:r>
        <w:rPr>
          <w:rFonts w:ascii="黑体" w:eastAsia="黑体" w:hAnsi="宋体" w:hint="eastAsia"/>
          <w:bCs/>
          <w:color w:val="FF0000"/>
          <w:kern w:val="0"/>
          <w:szCs w:val="21"/>
        </w:rPr>
        <w:t>是否属于采购文件所属行业的中型企业/小型企业/微型企业。</w:t>
      </w:r>
    </w:p>
    <w:p>
      <w:pPr>
        <w:pStyle w:val="NoSpacing"/>
        <w:spacing w:line="360" w:lineRule="auto"/>
        <w:ind w:firstLine="420" w:firstLineChars="200"/>
        <w:rPr>
          <w:rFonts w:ascii="黑体" w:eastAsia="黑体" w:hAnsi="宋体" w:hint="eastAsia"/>
          <w:bCs/>
          <w:color w:val="FF0000"/>
          <w:kern w:val="0"/>
          <w:szCs w:val="21"/>
          <w:lang w:eastAsia="zh-CN"/>
        </w:rPr>
      </w:pPr>
      <w:r>
        <w:rPr>
          <w:rFonts w:ascii="黑体" w:eastAsia="黑体" w:hAnsi="宋体" w:hint="eastAsia"/>
          <w:bCs/>
          <w:color w:val="FF0000"/>
          <w:kern w:val="0"/>
          <w:szCs w:val="21"/>
          <w:lang w:eastAsia="zh-CN"/>
        </w:rPr>
        <w:t>（</w:t>
      </w:r>
      <w:r>
        <w:rPr>
          <w:rFonts w:ascii="黑体" w:eastAsia="黑体" w:hAnsi="宋体" w:hint="eastAsia"/>
          <w:bCs/>
          <w:color w:val="FF0000"/>
          <w:kern w:val="0"/>
          <w:szCs w:val="21"/>
          <w:lang w:val="en-US" w:eastAsia="zh-CN"/>
        </w:rPr>
        <w:t>2</w:t>
      </w:r>
      <w:r>
        <w:rPr>
          <w:rFonts w:ascii="黑体" w:eastAsia="黑体" w:hAnsi="宋体" w:hint="eastAsia"/>
          <w:bCs/>
          <w:color w:val="FF0000"/>
          <w:kern w:val="0"/>
          <w:szCs w:val="21"/>
          <w:lang w:eastAsia="zh-CN"/>
        </w:rPr>
        <w:t>）对于已纳入统计部门统计范围的企业，所属行业、从业人员、营业收入、资产总额、规模类型应与统计部门报表保持一致。对于未纳入统计部门统计范围的企业，应对照《国民经济行业分类》确定所属行业，当企业从事两种以上的经济活动时，按照企业从事的主要活动确定所属行业；从业人员、营业收入、资产总额应按照上年度末实际情况填报，并应确保在争议纠纷处理时，可提供相关数据的来源依据。</w:t>
      </w:r>
    </w:p>
    <w:p>
      <w:pPr>
        <w:spacing w:line="360" w:lineRule="auto"/>
        <w:ind w:firstLine="420" w:firstLineChars="200"/>
        <w:outlineLvl w:val="3"/>
        <w:rPr>
          <w:rFonts w:ascii="黑体" w:eastAsia="黑体" w:hAnsi="宋体" w:hint="eastAsia"/>
          <w:bCs/>
          <w:color w:val="FF0000"/>
          <w:kern w:val="0"/>
          <w:szCs w:val="21"/>
          <w:lang w:eastAsia="zh-CN"/>
        </w:rPr>
      </w:pPr>
      <w:r>
        <w:rPr>
          <w:rFonts w:ascii="黑体" w:eastAsia="黑体" w:hAnsi="宋体" w:hint="eastAsia"/>
          <w:bCs/>
          <w:color w:val="FF0000"/>
          <w:kern w:val="0"/>
          <w:szCs w:val="21"/>
          <w:lang w:eastAsia="zh-CN"/>
        </w:rPr>
        <w:t>（</w:t>
      </w:r>
      <w:r>
        <w:rPr>
          <w:rFonts w:ascii="黑体" w:eastAsia="黑体" w:hAnsi="宋体" w:hint="eastAsia"/>
          <w:bCs/>
          <w:color w:val="FF0000"/>
          <w:kern w:val="0"/>
          <w:szCs w:val="21"/>
          <w:lang w:val="en-US" w:eastAsia="zh-CN"/>
        </w:rPr>
        <w:t>3</w:t>
      </w:r>
      <w:r>
        <w:rPr>
          <w:rFonts w:ascii="黑体" w:eastAsia="黑体" w:hAnsi="宋体" w:hint="eastAsia"/>
          <w:bCs/>
          <w:color w:val="FF0000"/>
          <w:kern w:val="0"/>
          <w:szCs w:val="21"/>
          <w:lang w:eastAsia="zh-CN"/>
        </w:rPr>
        <w:t>）</w:t>
      </w:r>
      <w:r>
        <w:rPr>
          <w:rFonts w:ascii="黑体" w:eastAsia="黑体" w:hAnsi="宋体" w:hint="eastAsia"/>
          <w:bCs/>
          <w:color w:val="FF0000"/>
          <w:kern w:val="0"/>
          <w:szCs w:val="21"/>
        </w:rPr>
        <w:t>事业单位、社会组织等非企业主体不享受中小企业扶持政策</w:t>
      </w:r>
      <w:r>
        <w:rPr>
          <w:rFonts w:ascii="黑体" w:eastAsia="黑体" w:hAnsi="宋体" w:hint="eastAsia"/>
          <w:bCs/>
          <w:color w:val="FF0000"/>
          <w:kern w:val="0"/>
          <w:szCs w:val="21"/>
          <w:lang w:eastAsia="zh-CN"/>
        </w:rPr>
        <w:t>。</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w:t>
      </w:r>
      <w:r>
        <w:rPr>
          <w:rFonts w:ascii="黑体" w:eastAsia="黑体" w:hAnsi="宋体" w:hint="eastAsia"/>
          <w:bCs/>
          <w:color w:val="FF0000"/>
          <w:kern w:val="0"/>
          <w:szCs w:val="21"/>
          <w:lang w:val="en-US" w:eastAsia="zh-CN"/>
        </w:rPr>
        <w:t>4</w:t>
      </w:r>
      <w:r>
        <w:rPr>
          <w:rFonts w:ascii="黑体" w:eastAsia="黑体" w:hAnsi="宋体" w:hint="eastAsia"/>
          <w:bCs/>
          <w:color w:val="FF0000"/>
          <w:kern w:val="0"/>
          <w:szCs w:val="21"/>
        </w:rPr>
        <w:t>）声明是残疾人福利性单位须填写《残疾人福利性单位声明函》的相关内容，具体参照以上《中小企业声明函》填写要求执行。</w:t>
      </w:r>
    </w:p>
    <w:p>
      <w:pPr>
        <w:spacing w:line="360" w:lineRule="auto"/>
        <w:ind w:firstLine="420" w:firstLineChars="200"/>
        <w:outlineLvl w:val="3"/>
        <w:rPr>
          <w:rFonts w:ascii="黑体" w:eastAsia="黑体" w:hAnsi="宋体"/>
          <w:bCs/>
          <w:color w:val="FF0000"/>
          <w:kern w:val="0"/>
          <w:szCs w:val="21"/>
        </w:rPr>
      </w:pPr>
      <w:r>
        <w:rPr>
          <w:rFonts w:ascii="黑体" w:eastAsia="黑体" w:hAnsi="宋体" w:hint="eastAsia"/>
          <w:bCs/>
          <w:color w:val="FF0000"/>
          <w:kern w:val="0"/>
          <w:szCs w:val="21"/>
        </w:rPr>
        <w:t>（</w:t>
      </w:r>
      <w:r>
        <w:rPr>
          <w:rFonts w:ascii="黑体" w:eastAsia="黑体" w:hAnsi="宋体" w:hint="eastAsia"/>
          <w:bCs/>
          <w:color w:val="FF0000"/>
          <w:kern w:val="0"/>
          <w:szCs w:val="21"/>
          <w:lang w:val="en-US" w:eastAsia="zh-CN"/>
        </w:rPr>
        <w:t>5</w:t>
      </w:r>
      <w:r>
        <w:rPr>
          <w:rFonts w:ascii="黑体" w:eastAsia="黑体" w:hAnsi="宋体" w:hint="eastAsia"/>
          <w:bCs/>
          <w:color w:val="FF0000"/>
          <w:kern w:val="0"/>
          <w:szCs w:val="21"/>
        </w:rPr>
        <w:t>）声明是监狱企业须填写《监狱企业声明函》的三项内容（填写位置的字体已加粗），具体参照以上《中小企业声明函》填写要求执行。</w:t>
      </w:r>
    </w:p>
    <w:p>
      <w:pPr>
        <w:spacing w:line="360" w:lineRule="auto"/>
        <w:ind w:firstLine="420" w:firstLineChars="200"/>
        <w:outlineLvl w:val="3"/>
        <w:rPr>
          <w:rFonts w:ascii="黑体" w:eastAsia="黑体" w:hAnsi="宋体" w:hint="eastAsia"/>
          <w:bCs/>
          <w:color w:val="FF0000"/>
          <w:kern w:val="0"/>
          <w:szCs w:val="21"/>
          <w:lang w:val="en-US" w:eastAsia="zh-CN"/>
        </w:rPr>
      </w:pPr>
      <w:r>
        <w:rPr>
          <w:rFonts w:ascii="黑体" w:eastAsia="黑体" w:hAnsi="宋体" w:hint="eastAsia"/>
          <w:bCs/>
          <w:color w:val="FF0000"/>
          <w:kern w:val="0"/>
          <w:szCs w:val="21"/>
          <w:lang w:val="en-US" w:eastAsia="zh-CN"/>
        </w:rPr>
        <w:t>5、本项目属于服务类项目，相关服务承接商应当为中小企业或残疾人福利性单位或监狱企业，如包含硬件设备、产品等货物采购的，不再对其中涉及的货物制造商作出要求。</w:t>
      </w:r>
    </w:p>
    <w:p>
      <w:pPr>
        <w:spacing w:line="360" w:lineRule="auto"/>
        <w:ind w:firstLine="420" w:firstLineChars="200"/>
        <w:outlineLvl w:val="3"/>
        <w:rPr>
          <w:rFonts w:ascii="黑体" w:eastAsia="黑体" w:hAnsi="宋体" w:hint="eastAsia"/>
          <w:bCs/>
          <w:color w:val="FF0000"/>
          <w:kern w:val="0"/>
          <w:szCs w:val="21"/>
          <w:lang w:val="en-US" w:eastAsia="zh-CN"/>
        </w:rPr>
      </w:pPr>
      <w:r>
        <w:rPr>
          <w:rFonts w:ascii="黑体" w:eastAsia="黑体" w:hAnsi="宋体" w:hint="eastAsia"/>
          <w:bCs/>
          <w:color w:val="FF0000"/>
          <w:kern w:val="0"/>
          <w:szCs w:val="21"/>
          <w:lang w:val="en-US" w:eastAsia="zh-CN"/>
        </w:rPr>
        <w:t>6、若本项目属于专门面向中小企业、残疾人福利性单位或监狱企业，则声明函有效性由采购人或代理机构判定，如判定声明函无效的，相关供应商将作资格审查不通过处理；若本项目非专门面向中小企业、残疾人福利性单位或监狱企业，声明函的有效性由评审委员会判定，如评审委员会判定声明函无效，相关供应商不享受价格扣除（但不作投标无效处理）。</w:t>
      </w:r>
    </w:p>
    <w:p>
      <w:pPr>
        <w:spacing w:line="360" w:lineRule="auto"/>
        <w:ind w:firstLine="420" w:firstLineChars="200"/>
        <w:outlineLvl w:val="3"/>
        <w:rPr>
          <w:rFonts w:ascii="黑体" w:eastAsia="黑体" w:hAnsi="宋体" w:hint="eastAsia"/>
          <w:bCs/>
          <w:color w:val="FF0000"/>
          <w:kern w:val="0"/>
          <w:szCs w:val="21"/>
          <w:lang w:val="en-US" w:eastAsia="zh-CN"/>
        </w:rPr>
      </w:pPr>
      <w:r>
        <w:rPr>
          <w:rFonts w:ascii="黑体" w:eastAsia="黑体" w:hAnsi="宋体" w:hint="eastAsia"/>
          <w:bCs/>
          <w:color w:val="FF0000"/>
          <w:kern w:val="0"/>
          <w:szCs w:val="21"/>
          <w:lang w:val="en-US" w:eastAsia="zh-CN"/>
        </w:rPr>
        <w:t>7、采购人、代理机构、评审委员会在依法进行资格审查、评审过程中，发现《中小企业声明函》存在明显笔误或含义不明确的，应按规定要求供应商进行澄清、说明或补正。澄清修改后符合中小企业条件的供应商，可以享受中小企业扶持政策。</w:t>
      </w:r>
    </w:p>
    <w:p>
      <w:pPr>
        <w:pStyle w:val="BodyText"/>
        <w:rPr>
          <w:rFonts w:hint="default"/>
          <w:lang w:val="en-US" w:eastAsia="zh-CN"/>
        </w:rPr>
      </w:pPr>
    </w:p>
    <w:p>
      <w:pPr>
        <w:numPr>
          <w:ilvl w:val="0"/>
          <w:numId w:val="39"/>
        </w:numPr>
        <w:spacing w:line="360" w:lineRule="auto"/>
        <w:jc w:val="center"/>
        <w:outlineLvl w:val="3"/>
        <w:rPr>
          <w:b/>
          <w:sz w:val="24"/>
        </w:rPr>
      </w:pPr>
      <w:r>
        <w:rPr>
          <w:b/>
          <w:sz w:val="24"/>
        </w:rPr>
        <w:t>中小企业声明函（</w:t>
      </w:r>
      <w:r>
        <w:rPr>
          <w:rFonts w:hint="eastAsia"/>
          <w:b/>
          <w:sz w:val="24"/>
        </w:rPr>
        <w:t>服务</w:t>
      </w:r>
      <w:r>
        <w:rPr>
          <w:b/>
          <w:sz w:val="24"/>
        </w:rPr>
        <w:t>）</w:t>
      </w:r>
    </w:p>
    <w:p>
      <w:pPr>
        <w:pStyle w:val="BodyText"/>
        <w:numPr>
          <w:ilvl w:val="0"/>
          <w:numId w:val="0"/>
        </w:num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本公司（联合体）郑重声明，根据《政府采购促进中小企业发展管理办法》（财库﹝2020﹞46号）的规定，本公司（联合体）参加</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（单位名称）</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（项目名称）</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采购活动，服务全部由符合政策要求的中小企业承接。相关企业（含联合体中的中小企业、签订分包意向协议的中小企业）的具体情况如下：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1.</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（标的名称）</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 xml:space="preserve"> </w:t>
      </w:r>
      <w:r>
        <w:rPr>
          <w:rFonts w:asciiTheme="minorEastAsia" w:eastAsiaTheme="minorEastAsia" w:hAnsiTheme="minorEastAsia" w:cstheme="minorEastAsia" w:hint="eastAsia"/>
          <w:sz w:val="21"/>
          <w:szCs w:val="21"/>
        </w:rPr>
        <w:t>，属于</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（采购文件中明确的所属行业）</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sz w:val="21"/>
          <w:szCs w:val="21"/>
        </w:rPr>
        <w:t>行业</w:t>
      </w:r>
      <w:r>
        <w:rPr>
          <w:rFonts w:asciiTheme="minorEastAsia" w:eastAsiaTheme="minorEastAsia" w:hAnsiTheme="minorEastAsia" w:cstheme="minorEastAsia" w:hint="eastAsia"/>
          <w:kern w:val="2"/>
          <w:sz w:val="21"/>
          <w:szCs w:val="21"/>
          <w:lang w:val="en-US" w:eastAsia="zh-CN" w:bidi="ar-SA"/>
        </w:rPr>
        <w:t>；承接企业为</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（企业名称</w:t>
      </w:r>
      <w:r>
        <w:rPr>
          <w:rFonts w:asciiTheme="minorEastAsia" w:eastAsiaTheme="minorEastAsia" w:hAnsiTheme="minorEastAsia" w:cstheme="minorEastAsia" w:hint="eastAsia"/>
          <w:b/>
          <w:bCs/>
          <w:i/>
          <w:iCs/>
          <w:sz w:val="21"/>
          <w:szCs w:val="21"/>
          <w:u w:val="single"/>
          <w:lang w:eastAsia="zh-CN"/>
        </w:rPr>
        <w:t>，要求</w:t>
      </w:r>
      <w:r>
        <w:rPr>
          <w:rFonts w:asciiTheme="minorEastAsia" w:eastAsiaTheme="minorEastAsia" w:hAnsiTheme="minorEastAsia" w:cstheme="minorEastAsia" w:hint="eastAsia"/>
          <w:b/>
          <w:bCs/>
          <w:i/>
          <w:iCs/>
          <w:sz w:val="21"/>
          <w:szCs w:val="21"/>
          <w:u w:val="single"/>
          <w:lang w:val="en-US" w:eastAsia="zh-CN"/>
        </w:rPr>
        <w:t>承接企业本身</w:t>
      </w:r>
      <w:r>
        <w:rPr>
          <w:rFonts w:asciiTheme="minorEastAsia" w:eastAsiaTheme="minorEastAsia" w:hAnsiTheme="minorEastAsia" w:cstheme="minorEastAsia" w:hint="eastAsia"/>
          <w:b/>
          <w:bCs/>
          <w:i/>
          <w:iCs/>
          <w:sz w:val="21"/>
          <w:szCs w:val="21"/>
          <w:u w:val="single"/>
          <w:lang w:eastAsia="zh-CN"/>
        </w:rPr>
        <w:t>所属行业应当与招标文件要求的行业相一致</w:t>
      </w:r>
      <w:r>
        <w:rPr>
          <w:rFonts w:asciiTheme="minorEastAsia" w:eastAsiaTheme="minorEastAsia" w:hAnsiTheme="minorEastAsia" w:cstheme="minorEastAsia" w:hint="eastAsia"/>
          <w:b/>
          <w:bCs/>
          <w:i/>
          <w:iCs/>
          <w:sz w:val="21"/>
          <w:szCs w:val="21"/>
          <w:u w:val="single"/>
        </w:rPr>
        <w:t>）</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，从业人员</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人，营业收入为</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万元，资产总额为</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万元，属于</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（中型企业、小型企业、微型企业）</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2.</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（标的名称）</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 xml:space="preserve"> </w:t>
      </w:r>
      <w:r>
        <w:rPr>
          <w:rFonts w:asciiTheme="minorEastAsia" w:eastAsiaTheme="minorEastAsia" w:hAnsiTheme="minorEastAsia" w:cstheme="minorEastAsia" w:hint="eastAsia"/>
          <w:sz w:val="21"/>
          <w:szCs w:val="21"/>
        </w:rPr>
        <w:t>，属于</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（采购文件中明确的所属行业）</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sz w:val="21"/>
          <w:szCs w:val="21"/>
        </w:rPr>
        <w:t>行业</w:t>
      </w:r>
      <w:r>
        <w:rPr>
          <w:rFonts w:asciiTheme="minorEastAsia" w:eastAsiaTheme="minorEastAsia" w:hAnsiTheme="minorEastAsia" w:cstheme="minorEastAsia" w:hint="eastAsia"/>
          <w:kern w:val="2"/>
          <w:sz w:val="21"/>
          <w:szCs w:val="21"/>
          <w:lang w:val="en-US" w:eastAsia="zh-CN" w:bidi="ar-SA"/>
        </w:rPr>
        <w:t>；承接企业为</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（企业名称</w:t>
      </w:r>
      <w:r>
        <w:rPr>
          <w:rFonts w:asciiTheme="minorEastAsia" w:eastAsiaTheme="minorEastAsia" w:hAnsiTheme="minorEastAsia" w:cstheme="minorEastAsia" w:hint="eastAsia"/>
          <w:b/>
          <w:bCs/>
          <w:i/>
          <w:iCs/>
          <w:sz w:val="21"/>
          <w:szCs w:val="21"/>
          <w:u w:val="single"/>
          <w:lang w:eastAsia="zh-CN"/>
        </w:rPr>
        <w:t>，要求</w:t>
      </w:r>
      <w:r>
        <w:rPr>
          <w:rFonts w:asciiTheme="minorEastAsia" w:eastAsiaTheme="minorEastAsia" w:hAnsiTheme="minorEastAsia" w:cstheme="minorEastAsia" w:hint="eastAsia"/>
          <w:b/>
          <w:bCs/>
          <w:i/>
          <w:iCs/>
          <w:sz w:val="21"/>
          <w:szCs w:val="21"/>
          <w:u w:val="single"/>
          <w:lang w:val="en-US" w:eastAsia="zh-CN"/>
        </w:rPr>
        <w:t>承接企业本身</w:t>
      </w:r>
      <w:r>
        <w:rPr>
          <w:rFonts w:asciiTheme="minorEastAsia" w:eastAsiaTheme="minorEastAsia" w:hAnsiTheme="minorEastAsia" w:cstheme="minorEastAsia" w:hint="eastAsia"/>
          <w:b/>
          <w:bCs/>
          <w:i/>
          <w:iCs/>
          <w:sz w:val="21"/>
          <w:szCs w:val="21"/>
          <w:u w:val="single"/>
          <w:lang w:eastAsia="zh-CN"/>
        </w:rPr>
        <w:t>所属行业应当与招标文件要求的行业相一致</w:t>
      </w:r>
      <w:r>
        <w:rPr>
          <w:rFonts w:asciiTheme="minorEastAsia" w:eastAsiaTheme="minorEastAsia" w:hAnsiTheme="minorEastAsia" w:cstheme="minorEastAsia" w:hint="eastAsia"/>
          <w:b/>
          <w:bCs/>
          <w:i/>
          <w:iCs/>
          <w:sz w:val="21"/>
          <w:szCs w:val="21"/>
          <w:u w:val="single"/>
        </w:rPr>
        <w:t>）</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，从业人员</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人，营业收入为</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万元，资产总额为</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万元，属于</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（中型企业、小型企业、微型企业）</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以上企业，不属于大企业的分支机构，不存在控股股东为大企业的情形，也不存在与大企业的负责人为同一人的情形。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本企业对上述声明内容的真实性负责。如有虚假，将依法承担相应责任。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3"/>
        <w:rPr>
          <w:rFonts w:asciiTheme="minorEastAsia" w:eastAsiaTheme="minorEastAsia" w:hAnsiTheme="minorEastAsia" w:cstheme="minorEastAsia" w:hint="eastAsia"/>
          <w:kern w:val="2"/>
          <w:sz w:val="21"/>
          <w:szCs w:val="21"/>
          <w:lang w:val="en-US" w:eastAsia="zh-CN" w:bidi="ar-SA"/>
        </w:rPr>
      </w:pPr>
      <w:bookmarkStart w:id="39" w:name="_Hlk73562275"/>
      <w:r>
        <w:rPr>
          <w:rFonts w:asciiTheme="minorEastAsia" w:eastAsiaTheme="minorEastAsia" w:hAnsiTheme="minorEastAsia" w:cstheme="minorEastAsia" w:hint="eastAsia"/>
          <w:kern w:val="2"/>
          <w:sz w:val="21"/>
          <w:szCs w:val="21"/>
          <w:lang w:val="en-US" w:eastAsia="zh-CN" w:bidi="ar-SA"/>
        </w:rPr>
        <w:t>本投标人已知悉《政府采购促进中小企业发展管理办法》（财库〔2020〕 46 号）、《中小企业划型标准规定》（工信部联企〔2011〕 300 号）、《统计上大中小微型企业划分办法（2017）》等规定，承诺提供的声明函内容是真实的，并知悉根据《政府采购促进中小企业发展管理办法》（财库〔2020〕46 号）第二十条规定，投标人按照本办法规定提供声明函内容不实的，属于提供虚假材料谋取中标，依照《政府采购法》等政府采购有关法律法规规定追究相应责任。</w:t>
      </w:r>
      <w:bookmarkEnd w:id="39"/>
    </w:p>
    <w:p>
      <w:pPr>
        <w:spacing w:line="360" w:lineRule="auto"/>
        <w:ind w:firstLine="420" w:firstLineChars="200"/>
      </w:pPr>
    </w:p>
    <w:p>
      <w:pPr>
        <w:spacing w:line="360" w:lineRule="auto"/>
        <w:jc w:val="center"/>
        <w:outlineLvl w:val="3"/>
        <w:rPr>
          <w:b/>
          <w:sz w:val="24"/>
        </w:rPr>
      </w:pPr>
      <w:r>
        <w:rPr>
          <w:rFonts w:hint="eastAsia"/>
          <w:b/>
          <w:sz w:val="24"/>
        </w:rPr>
        <w:t>2、残疾人福利性单位声明函</w:t>
      </w:r>
      <w:r>
        <w:rPr>
          <w:rFonts w:hint="eastAsia"/>
          <w:b/>
          <w:sz w:val="24"/>
          <w:lang w:eastAsia="zh-CN"/>
        </w:rPr>
        <w:t>（</w:t>
      </w:r>
      <w:r>
        <w:rPr>
          <w:rFonts w:hint="eastAsia"/>
          <w:b/>
          <w:sz w:val="24"/>
          <w:lang w:val="en-US" w:eastAsia="zh-CN"/>
        </w:rPr>
        <w:t>服务</w:t>
      </w:r>
      <w:r>
        <w:rPr>
          <w:rFonts w:hint="eastAsia"/>
          <w:b/>
          <w:sz w:val="24"/>
        </w:rPr>
        <w:t>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本单位郑重声明，根据《财政部 民政部 中国残疾人联合会关于促进残疾人就业政府采购政策的通知》（财库〔2017〕141号）的规定，本单位为符合条件的残疾人福利性单位，且本单位参加</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（单位名称）</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单位的</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b/>
          <w:bCs/>
          <w:i/>
          <w:iCs/>
          <w:sz w:val="21"/>
          <w:szCs w:val="21"/>
          <w:u w:val="single"/>
        </w:rPr>
        <w:t>（项目名称）</w:t>
      </w:r>
      <w:r>
        <w:rPr>
          <w:rFonts w:asciiTheme="minorEastAsia" w:eastAsiaTheme="minorEastAsia" w:hAnsiTheme="minorEastAsia" w:cstheme="minorEastAsia" w:hint="eastAsia"/>
          <w:b/>
          <w:bCs/>
          <w:i/>
          <w:iCs/>
          <w:sz w:val="21"/>
          <w:szCs w:val="21"/>
          <w:u w:val="single"/>
          <w:lang w:val="en-US" w:eastAsia="zh-CN"/>
        </w:rPr>
        <w:t xml:space="preserve">    </w:t>
      </w:r>
      <w:r>
        <w:rPr>
          <w:rFonts w:asciiTheme="minorEastAsia" w:eastAsiaTheme="minorEastAsia" w:hAnsiTheme="minorEastAsia" w:cstheme="minorEastAsia" w:hint="eastAsia"/>
          <w:kern w:val="2"/>
          <w:sz w:val="21"/>
          <w:szCs w:val="21"/>
          <w:lang w:val="en-US" w:eastAsia="zh-CN" w:bidi="ar-SA"/>
        </w:rPr>
        <w:t>项目采购活动由本单位提供服务。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本单位对上述声明的真实性负责。如有虚假，将依法承担相应责任。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Theme="minorEastAsia" w:eastAsiaTheme="minorEastAsia" w:hAnsiTheme="minorEastAsia" w:cstheme="minorEastAsia" w:hint="eastAsia"/>
          <w:kern w:val="2"/>
          <w:sz w:val="21"/>
          <w:szCs w:val="21"/>
          <w:lang w:val="en-US" w:eastAsia="zh-CN" w:bidi="ar-SA"/>
        </w:rPr>
      </w:pPr>
      <w:r>
        <w:rPr>
          <w:rFonts w:asciiTheme="minorEastAsia" w:eastAsiaTheme="minorEastAsia" w:hAnsiTheme="minorEastAsia" w:cstheme="minorEastAsia" w:hint="eastAsia"/>
          <w:kern w:val="2"/>
          <w:sz w:val="21"/>
          <w:szCs w:val="21"/>
          <w:lang w:val="en-US" w:eastAsia="zh-CN" w:bidi="ar-SA"/>
        </w:rPr>
        <w:t>本投标人已知悉《财政部民政部中国残疾人联合会关于促进残疾人就业政府采购政策的通知》（财库〔2017〕141号）的规定，承诺提供的声明函内容是真实的，如提供声明函内容不实，则依法追究相关法律责任。</w:t>
      </w:r>
    </w:p>
    <w:p>
      <w:pPr>
        <w:spacing w:line="360" w:lineRule="auto"/>
        <w:ind w:firstLine="420" w:firstLineChars="200"/>
        <w:rPr>
          <w:rFonts w:ascii="宋体" w:hAnsi="宋体"/>
          <w:szCs w:val="21"/>
        </w:rPr>
      </w:pPr>
    </w:p>
    <w:p>
      <w:pPr>
        <w:spacing w:line="360" w:lineRule="auto"/>
        <w:ind w:firstLine="420" w:firstLineChars="200"/>
        <w:rPr>
          <w:rFonts w:ascii="宋体" w:hAnsi="宋体"/>
          <w:szCs w:val="21"/>
        </w:rPr>
      </w:pPr>
    </w:p>
    <w:p>
      <w:pPr>
        <w:spacing w:line="360" w:lineRule="auto"/>
        <w:ind w:firstLine="420" w:firstLineChars="200"/>
        <w:rPr>
          <w:rFonts w:ascii="宋体" w:hAnsi="宋体"/>
          <w:szCs w:val="21"/>
        </w:rPr>
      </w:pPr>
    </w:p>
    <w:p>
      <w:pPr>
        <w:spacing w:line="360" w:lineRule="auto"/>
        <w:jc w:val="center"/>
        <w:outlineLvl w:val="3"/>
        <w:rPr>
          <w:b/>
          <w:sz w:val="24"/>
        </w:rPr>
      </w:pPr>
      <w:r>
        <w:rPr>
          <w:rFonts w:hint="eastAsia"/>
          <w:b/>
          <w:sz w:val="24"/>
        </w:rPr>
        <w:t>3、监狱企业声明函【服务类，监狱企业如需享受优惠政策，还须另行提供省级以上监狱管理局、戒毒管理局（含新疆生产建设兵团）出具的监狱企业证明文件】</w:t>
      </w:r>
    </w:p>
    <w:p>
      <w:pPr>
        <w:spacing w:line="360" w:lineRule="auto"/>
        <w:ind w:firstLine="420" w:firstLineChars="200"/>
        <w:rPr>
          <w:rFonts w:ascii="宋体" w:hAnsi="宋体"/>
          <w:szCs w:val="21"/>
        </w:rPr>
      </w:pPr>
      <w:r>
        <w:rPr>
          <w:rFonts w:ascii="宋体" w:hAnsi="宋体" w:hint="eastAsia"/>
          <w:szCs w:val="21"/>
        </w:rPr>
        <w:t>本投标人郑重声明，根据《财政部司法部关于政府采购支持监狱企业发展有关问题的通知》（财库〔</w:t>
      </w:r>
      <w:r>
        <w:rPr>
          <w:rFonts w:ascii="宋体" w:hAnsi="宋体"/>
          <w:szCs w:val="21"/>
        </w:rPr>
        <w:t>2014</w:t>
      </w:r>
      <w:r>
        <w:rPr>
          <w:rFonts w:ascii="宋体" w:hAnsi="宋体" w:hint="eastAsia"/>
          <w:szCs w:val="21"/>
        </w:rPr>
        <w:t>〕</w:t>
      </w:r>
      <w:r>
        <w:rPr>
          <w:rFonts w:ascii="宋体" w:hAnsi="宋体"/>
          <w:szCs w:val="21"/>
        </w:rPr>
        <w:t>68</w:t>
      </w:r>
      <w:r>
        <w:rPr>
          <w:rFonts w:ascii="宋体" w:hAnsi="宋体" w:hint="eastAsia"/>
          <w:szCs w:val="21"/>
        </w:rPr>
        <w:t>号）的规定，本投标人</w:t>
      </w:r>
      <w:r>
        <w:rPr>
          <w:rFonts w:ascii="宋体" w:hAnsi="宋体" w:cstheme="minorBidi"/>
          <w:szCs w:val="21"/>
        </w:rPr>
        <w:t>参加</w:t>
      </w:r>
      <w:r>
        <w:rPr>
          <w:rFonts w:ascii="宋体" w:hAnsi="宋体"/>
          <w:b/>
          <w:bCs/>
          <w:szCs w:val="21"/>
          <w:u w:val="single"/>
        </w:rPr>
        <w:t>（</w:t>
      </w:r>
      <w:r>
        <w:rPr>
          <w:rFonts w:ascii="宋体" w:hAnsi="宋体" w:hint="eastAsia"/>
          <w:b/>
          <w:bCs/>
          <w:szCs w:val="21"/>
          <w:u w:val="single"/>
        </w:rPr>
        <w:t>采购人</w:t>
      </w:r>
      <w:r>
        <w:rPr>
          <w:rFonts w:ascii="宋体" w:hAnsi="宋体"/>
          <w:b/>
          <w:bCs/>
          <w:szCs w:val="21"/>
          <w:u w:val="single"/>
        </w:rPr>
        <w:t>名称）</w:t>
      </w:r>
      <w:r>
        <w:rPr>
          <w:rFonts w:ascii="宋体" w:hAnsi="宋体"/>
          <w:szCs w:val="21"/>
        </w:rPr>
        <w:t>的</w:t>
      </w:r>
      <w:r>
        <w:rPr>
          <w:rFonts w:ascii="宋体" w:hAnsi="宋体"/>
          <w:b/>
          <w:bCs/>
          <w:szCs w:val="21"/>
          <w:u w:val="single"/>
        </w:rPr>
        <w:t>（项目名称）</w:t>
      </w:r>
      <w:r>
        <w:rPr>
          <w:rFonts w:ascii="宋体" w:hAnsi="宋体"/>
          <w:szCs w:val="21"/>
        </w:rPr>
        <w:t>采购活动，</w:t>
      </w:r>
      <w:r>
        <w:rPr>
          <w:rFonts w:ascii="宋体" w:hAnsi="宋体" w:hint="eastAsia"/>
          <w:szCs w:val="21"/>
        </w:rPr>
        <w:t>服务</w:t>
      </w:r>
      <w:r>
        <w:rPr>
          <w:rFonts w:ascii="宋体" w:hAnsi="宋体"/>
          <w:szCs w:val="21"/>
        </w:rPr>
        <w:t>全部由符合政策要求的</w:t>
      </w:r>
      <w:r>
        <w:rPr>
          <w:rFonts w:ascii="宋体" w:hAnsi="宋体" w:hint="eastAsia"/>
          <w:szCs w:val="21"/>
        </w:rPr>
        <w:t>监狱企业承接</w:t>
      </w:r>
      <w:r>
        <w:rPr>
          <w:rFonts w:ascii="宋体" w:hAnsi="宋体"/>
          <w:szCs w:val="21"/>
        </w:rPr>
        <w:t>。相关</w:t>
      </w:r>
      <w:r>
        <w:rPr>
          <w:rFonts w:ascii="宋体" w:hAnsi="宋体" w:hint="eastAsia"/>
          <w:szCs w:val="21"/>
        </w:rPr>
        <w:t>监狱企业</w:t>
      </w:r>
      <w:r>
        <w:rPr>
          <w:rFonts w:ascii="宋体" w:hAnsi="宋体"/>
          <w:szCs w:val="21"/>
        </w:rPr>
        <w:t>的具体情况如下：</w:t>
      </w:r>
    </w:p>
    <w:p>
      <w:pPr>
        <w:spacing w:line="360" w:lineRule="auto"/>
        <w:ind w:firstLine="420" w:firstLineChars="200"/>
        <w:rPr>
          <w:rFonts w:ascii="宋体" w:hAnsi="宋体"/>
          <w:szCs w:val="21"/>
        </w:rPr>
      </w:pPr>
      <w:r>
        <w:rPr>
          <w:rFonts w:ascii="宋体" w:hAnsi="宋体"/>
          <w:szCs w:val="21"/>
        </w:rPr>
        <w:t>1.</w:t>
      </w:r>
      <w:r>
        <w:rPr>
          <w:rFonts w:ascii="宋体" w:hAnsi="宋体"/>
          <w:b/>
          <w:bCs/>
          <w:szCs w:val="21"/>
          <w:u w:val="single"/>
        </w:rPr>
        <w:t xml:space="preserve"> </w:t>
      </w:r>
      <w:r>
        <w:rPr>
          <w:rFonts w:ascii="宋体" w:hAnsi="宋体"/>
          <w:b/>
          <w:bCs/>
          <w:i/>
          <w:iCs/>
          <w:szCs w:val="21"/>
          <w:u w:val="single"/>
        </w:rPr>
        <w:t>（标的名称</w:t>
      </w:r>
      <w:r>
        <w:rPr>
          <w:rFonts w:ascii="宋体" w:hAnsi="宋体"/>
          <w:b/>
          <w:bCs/>
          <w:szCs w:val="21"/>
          <w:u w:val="single"/>
        </w:rPr>
        <w:t>）</w:t>
      </w:r>
      <w:r>
        <w:rPr>
          <w:rFonts w:ascii="宋体" w:hAnsi="宋体"/>
          <w:szCs w:val="21"/>
        </w:rPr>
        <w:t xml:space="preserve"> </w:t>
      </w:r>
      <w:r>
        <w:rPr>
          <w:rFonts w:ascii="宋体" w:hAnsi="宋体" w:hint="eastAsia"/>
          <w:szCs w:val="21"/>
        </w:rPr>
        <w:t>，承接单位</w:t>
      </w:r>
      <w:r>
        <w:rPr>
          <w:rFonts w:ascii="宋体" w:hAnsi="宋体"/>
          <w:szCs w:val="21"/>
        </w:rPr>
        <w:t>为</w:t>
      </w:r>
      <w:r>
        <w:rPr>
          <w:rFonts w:ascii="宋体" w:hAnsi="宋体"/>
          <w:b/>
          <w:bCs/>
          <w:i/>
          <w:iCs/>
          <w:szCs w:val="21"/>
          <w:u w:val="single"/>
        </w:rPr>
        <w:t>（</w:t>
      </w:r>
      <w:r>
        <w:rPr>
          <w:rFonts w:ascii="宋体" w:hAnsi="宋体" w:hint="eastAsia"/>
          <w:b/>
          <w:bCs/>
          <w:i/>
          <w:iCs/>
          <w:szCs w:val="21"/>
          <w:u w:val="single"/>
        </w:rPr>
        <w:t>企业</w:t>
      </w:r>
      <w:r>
        <w:rPr>
          <w:rFonts w:ascii="宋体" w:hAnsi="宋体"/>
          <w:b/>
          <w:bCs/>
          <w:i/>
          <w:iCs/>
          <w:szCs w:val="21"/>
          <w:u w:val="single"/>
        </w:rPr>
        <w:t>名称）</w:t>
      </w:r>
      <w:r>
        <w:rPr>
          <w:rFonts w:ascii="宋体" w:hAnsi="宋体"/>
          <w:szCs w:val="21"/>
        </w:rPr>
        <w:t>，属于</w:t>
      </w:r>
      <w:r>
        <w:rPr>
          <w:rFonts w:ascii="宋体" w:hAnsi="宋体" w:hint="eastAsia"/>
          <w:b/>
          <w:bCs/>
          <w:i/>
          <w:iCs/>
          <w:szCs w:val="21"/>
          <w:u w:val="single"/>
        </w:rPr>
        <w:t>监狱企业</w:t>
      </w:r>
      <w:r>
        <w:rPr>
          <w:rFonts w:ascii="宋体" w:hAnsi="宋体"/>
          <w:szCs w:val="21"/>
        </w:rPr>
        <w:t>；</w:t>
      </w:r>
    </w:p>
    <w:p>
      <w:pPr>
        <w:spacing w:line="360" w:lineRule="auto"/>
        <w:ind w:firstLine="420" w:firstLineChars="200"/>
        <w:rPr>
          <w:rFonts w:ascii="宋体" w:hAnsi="宋体"/>
          <w:szCs w:val="21"/>
        </w:rPr>
      </w:pPr>
      <w:r>
        <w:rPr>
          <w:rFonts w:ascii="宋体" w:hAnsi="宋体"/>
          <w:szCs w:val="21"/>
        </w:rPr>
        <w:t>2.</w:t>
      </w:r>
      <w:r>
        <w:rPr>
          <w:rFonts w:ascii="宋体" w:hAnsi="宋体"/>
          <w:b/>
          <w:bCs/>
          <w:szCs w:val="21"/>
          <w:u w:val="single"/>
        </w:rPr>
        <w:t xml:space="preserve"> </w:t>
      </w:r>
      <w:r>
        <w:rPr>
          <w:rFonts w:ascii="宋体" w:hAnsi="宋体"/>
          <w:b/>
          <w:bCs/>
          <w:i/>
          <w:iCs/>
          <w:szCs w:val="21"/>
          <w:u w:val="single"/>
        </w:rPr>
        <w:t>（标的名称）</w:t>
      </w:r>
      <w:r>
        <w:rPr>
          <w:rFonts w:ascii="宋体" w:hAnsi="宋体"/>
          <w:i/>
          <w:iCs/>
          <w:szCs w:val="21"/>
        </w:rPr>
        <w:t xml:space="preserve"> </w:t>
      </w:r>
      <w:r>
        <w:rPr>
          <w:rFonts w:ascii="宋体" w:hAnsi="宋体" w:hint="eastAsia"/>
          <w:szCs w:val="21"/>
        </w:rPr>
        <w:t>，承接单位</w:t>
      </w:r>
      <w:r>
        <w:rPr>
          <w:rFonts w:ascii="宋体" w:hAnsi="宋体"/>
          <w:szCs w:val="21"/>
        </w:rPr>
        <w:t>为</w:t>
      </w:r>
      <w:r>
        <w:rPr>
          <w:rFonts w:ascii="宋体" w:hAnsi="宋体"/>
          <w:b/>
          <w:bCs/>
          <w:i/>
          <w:iCs/>
          <w:szCs w:val="21"/>
          <w:u w:val="single"/>
        </w:rPr>
        <w:t>（</w:t>
      </w:r>
      <w:r>
        <w:rPr>
          <w:rFonts w:ascii="宋体" w:hAnsi="宋体" w:hint="eastAsia"/>
          <w:b/>
          <w:bCs/>
          <w:i/>
          <w:iCs/>
          <w:szCs w:val="21"/>
          <w:u w:val="single"/>
        </w:rPr>
        <w:t>企业</w:t>
      </w:r>
      <w:r>
        <w:rPr>
          <w:rFonts w:ascii="宋体" w:hAnsi="宋体"/>
          <w:b/>
          <w:bCs/>
          <w:i/>
          <w:iCs/>
          <w:szCs w:val="21"/>
          <w:u w:val="single"/>
        </w:rPr>
        <w:t>名称）</w:t>
      </w:r>
      <w:r>
        <w:rPr>
          <w:rFonts w:ascii="宋体" w:hAnsi="宋体"/>
          <w:szCs w:val="21"/>
        </w:rPr>
        <w:t>，属于</w:t>
      </w:r>
      <w:r>
        <w:rPr>
          <w:rFonts w:ascii="宋体" w:hAnsi="宋体" w:hint="eastAsia"/>
          <w:b/>
          <w:bCs/>
          <w:i/>
          <w:iCs/>
          <w:szCs w:val="21"/>
          <w:u w:val="single"/>
        </w:rPr>
        <w:t>监狱企业</w:t>
      </w:r>
      <w:r>
        <w:rPr>
          <w:rFonts w:ascii="宋体" w:hAnsi="宋体" w:hint="eastAsia"/>
          <w:szCs w:val="21"/>
        </w:rPr>
        <w:t>。</w:t>
      </w:r>
    </w:p>
    <w:p>
      <w:pPr>
        <w:spacing w:line="360" w:lineRule="auto"/>
        <w:ind w:firstLine="420" w:firstLineChars="200"/>
        <w:outlineLvl w:val="3"/>
        <w:rPr>
          <w:rFonts w:ascii="宋体" w:hAnsi="宋体"/>
          <w:szCs w:val="21"/>
        </w:rPr>
      </w:pPr>
      <w:r>
        <w:rPr>
          <w:rFonts w:ascii="宋体" w:hAnsi="宋体"/>
          <w:szCs w:val="21"/>
        </w:rPr>
        <w:t xml:space="preserve">…… </w:t>
      </w:r>
    </w:p>
    <w:p>
      <w:pPr>
        <w:spacing w:line="360" w:lineRule="auto"/>
        <w:ind w:firstLine="420" w:firstLineChars="200"/>
        <w:rPr>
          <w:rFonts w:ascii="宋体" w:hAnsi="宋体"/>
          <w:szCs w:val="21"/>
        </w:rPr>
      </w:pPr>
      <w:r>
        <w:rPr>
          <w:rFonts w:ascii="宋体" w:hAnsi="宋体" w:cstheme="minorBidi"/>
          <w:szCs w:val="21"/>
        </w:rPr>
        <w:t>本</w:t>
      </w:r>
      <w:r>
        <w:rPr>
          <w:rFonts w:ascii="宋体" w:hAnsi="宋体" w:cstheme="minorBidi" w:hint="eastAsia"/>
          <w:szCs w:val="21"/>
        </w:rPr>
        <w:t>投标人</w:t>
      </w:r>
      <w:r>
        <w:rPr>
          <w:rFonts w:ascii="宋体" w:hAnsi="宋体"/>
          <w:szCs w:val="21"/>
        </w:rPr>
        <w:t>对上述声明内容的真实性负责。如有虚假，将依法承担相应责任。</w:t>
      </w:r>
    </w:p>
    <w:p>
      <w:pPr>
        <w:spacing w:line="360" w:lineRule="auto"/>
        <w:ind w:firstLine="420" w:firstLineChars="200"/>
        <w:rPr>
          <w:rFonts w:ascii="宋体" w:hAnsi="宋体"/>
          <w:szCs w:val="21"/>
        </w:rPr>
      </w:pPr>
      <w:r>
        <w:rPr>
          <w:rFonts w:ascii="宋体" w:hAnsi="宋体" w:hint="eastAsia"/>
          <w:szCs w:val="21"/>
        </w:rPr>
        <w:t>附：省级以上监狱管理局、戒毒管理局（含新疆生产建设兵团）出具的监狱企业证明文件。</w:t>
      </w:r>
    </w:p>
    <w:p>
      <w:pPr>
        <w:spacing w:line="360" w:lineRule="auto"/>
        <w:ind w:left="723" w:hanging="630" w:hangingChars="300"/>
        <w:rPr>
          <w:b/>
          <w:sz w:val="24"/>
        </w:rPr>
      </w:pPr>
    </w:p>
    <w:p>
      <w:pPr>
        <w:spacing w:line="360" w:lineRule="auto"/>
        <w:ind w:left="723" w:hanging="630" w:hangingChars="300"/>
        <w:rPr>
          <w:b/>
          <w:sz w:val="24"/>
        </w:rPr>
      </w:pPr>
    </w:p>
    <w:p>
      <w:pPr>
        <w:pStyle w:val="Heading3"/>
        <w:spacing w:line="360" w:lineRule="auto"/>
        <w:jc w:val="center"/>
        <w:rPr>
          <w:rFonts w:ascii="黑体" w:eastAsia="黑体"/>
          <w:b w:val="0"/>
          <w:sz w:val="24"/>
          <w:szCs w:val="24"/>
        </w:rPr>
      </w:pPr>
      <w:r>
        <w:rPr>
          <w:rFonts w:ascii="黑体" w:eastAsia="黑体" w:hint="eastAsia"/>
          <w:b w:val="0"/>
          <w:sz w:val="24"/>
          <w:szCs w:val="24"/>
        </w:rPr>
        <w:t>四、项目详细报价</w:t>
      </w:r>
    </w:p>
    <w:p>
      <w:pPr>
        <w:pStyle w:val="BodyText2"/>
        <w:jc w:val="center"/>
      </w:pPr>
      <w:r>
        <w:rPr>
          <w:rFonts w:hint="eastAsia"/>
          <w:b/>
          <w:bCs/>
        </w:rPr>
        <w:t>（一）</w:t>
      </w:r>
      <w:r>
        <w:rPr>
          <w:rFonts w:hint="eastAsia"/>
          <w:b/>
        </w:rPr>
        <w:t>分项报价表</w:t>
      </w:r>
    </w:p>
    <w:tbl>
      <w:tblPr>
        <w:tblStyle w:val="TableNormal"/>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246"/>
        <w:gridCol w:w="2625"/>
        <w:gridCol w:w="2034"/>
      </w:tblGrid>
      <w:tr>
        <w:tblPrEx>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20"/>
          <w:jc w:val="center"/>
        </w:trPr>
        <w:tc>
          <w:tcPr>
            <w:tcW w:w="3246" w:type="dxa"/>
            <w:tcBorders>
              <w:top w:val="double" w:sz="4" w:space="0" w:color="auto"/>
              <w:bottom w:val="single" w:sz="4" w:space="0" w:color="auto"/>
            </w:tcBorders>
            <w:vAlign w:val="center"/>
          </w:tcPr>
          <w:p>
            <w:pPr>
              <w:widowControl/>
              <w:adjustRightInd w:val="0"/>
              <w:snapToGrid w:val="0"/>
              <w:spacing w:line="360" w:lineRule="auto"/>
              <w:jc w:val="center"/>
              <w:rPr>
                <w:rFonts w:ascii="宋体" w:hAnsi="宋体"/>
                <w:snapToGrid w:val="0"/>
                <w:kern w:val="0"/>
                <w:sz w:val="24"/>
                <w:szCs w:val="21"/>
              </w:rPr>
            </w:pPr>
            <w:r>
              <w:rPr>
                <w:rFonts w:ascii="宋体" w:hAnsi="宋体" w:hint="eastAsia"/>
                <w:snapToGrid w:val="0"/>
                <w:kern w:val="0"/>
                <w:sz w:val="24"/>
                <w:szCs w:val="21"/>
              </w:rPr>
              <w:t>项目名称</w:t>
            </w:r>
          </w:p>
        </w:tc>
        <w:tc>
          <w:tcPr>
            <w:tcW w:w="2625" w:type="dxa"/>
            <w:tcBorders>
              <w:top w:val="double" w:sz="4" w:space="0" w:color="auto"/>
              <w:bottom w:val="single" w:sz="4" w:space="0" w:color="auto"/>
            </w:tcBorders>
            <w:vAlign w:val="center"/>
          </w:tcPr>
          <w:p>
            <w:pPr>
              <w:widowControl/>
              <w:adjustRightInd w:val="0"/>
              <w:snapToGrid w:val="0"/>
              <w:spacing w:line="360" w:lineRule="auto"/>
              <w:jc w:val="center"/>
              <w:rPr>
                <w:rFonts w:ascii="宋体" w:hAnsi="宋体"/>
                <w:snapToGrid w:val="0"/>
                <w:kern w:val="0"/>
                <w:sz w:val="24"/>
                <w:szCs w:val="21"/>
              </w:rPr>
            </w:pPr>
            <w:r>
              <w:rPr>
                <w:rFonts w:ascii="宋体" w:hAnsi="宋体" w:hint="eastAsia"/>
                <w:snapToGrid w:val="0"/>
                <w:kern w:val="0"/>
                <w:sz w:val="24"/>
                <w:szCs w:val="21"/>
              </w:rPr>
              <w:t>投标报价（元）</w:t>
            </w:r>
          </w:p>
        </w:tc>
        <w:tc>
          <w:tcPr>
            <w:tcW w:w="2034" w:type="dxa"/>
            <w:tcBorders>
              <w:top w:val="double" w:sz="4" w:space="0" w:color="auto"/>
              <w:bottom w:val="single" w:sz="4" w:space="0" w:color="auto"/>
            </w:tcBorders>
            <w:vAlign w:val="center"/>
          </w:tcPr>
          <w:p>
            <w:pPr>
              <w:widowControl/>
              <w:adjustRightInd w:val="0"/>
              <w:snapToGrid w:val="0"/>
              <w:spacing w:line="360" w:lineRule="auto"/>
              <w:jc w:val="center"/>
              <w:rPr>
                <w:rFonts w:ascii="宋体" w:hAnsi="宋体"/>
                <w:snapToGrid w:val="0"/>
                <w:kern w:val="0"/>
                <w:sz w:val="24"/>
                <w:szCs w:val="21"/>
              </w:rPr>
            </w:pPr>
            <w:r>
              <w:rPr>
                <w:rFonts w:ascii="宋体" w:hAnsi="宋体" w:hint="eastAsia"/>
                <w:snapToGrid w:val="0"/>
                <w:kern w:val="0"/>
                <w:sz w:val="24"/>
                <w:szCs w:val="21"/>
              </w:rPr>
              <w:t>备注</w:t>
            </w:r>
          </w:p>
        </w:tc>
      </w:tr>
      <w:tr>
        <w:tblPrEx>
          <w:tblW w:w="0" w:type="auto"/>
          <w:jc w:val="center"/>
          <w:tblLayout w:type="fixed"/>
          <w:tblCellMar>
            <w:top w:w="0" w:type="dxa"/>
            <w:left w:w="108" w:type="dxa"/>
            <w:bottom w:w="0" w:type="dxa"/>
            <w:right w:w="108" w:type="dxa"/>
          </w:tblCellMar>
        </w:tblPrEx>
        <w:trPr>
          <w:cantSplit/>
          <w:trHeight w:val="738"/>
          <w:jc w:val="center"/>
        </w:trPr>
        <w:tc>
          <w:tcPr>
            <w:tcW w:w="3246" w:type="dxa"/>
            <w:tcBorders>
              <w:top w:val="single" w:sz="4" w:space="0" w:color="auto"/>
            </w:tcBorders>
            <w:vAlign w:val="center"/>
          </w:tcPr>
          <w:p>
            <w:pPr>
              <w:widowControl/>
              <w:adjustRightInd w:val="0"/>
              <w:snapToGrid w:val="0"/>
              <w:spacing w:line="360" w:lineRule="auto"/>
              <w:jc w:val="center"/>
              <w:rPr>
                <w:rFonts w:ascii="宋体" w:hAnsi="宋体"/>
                <w:snapToGrid w:val="0"/>
                <w:kern w:val="0"/>
                <w:sz w:val="24"/>
                <w:szCs w:val="21"/>
                <w:u w:val="single"/>
              </w:rPr>
            </w:pPr>
            <w:r>
              <w:rPr>
                <w:rFonts w:ascii="宋体" w:hAnsi="宋体" w:hint="eastAsia"/>
                <w:snapToGrid w:val="0"/>
                <w:kern w:val="0"/>
                <w:sz w:val="24"/>
                <w:szCs w:val="21"/>
                <w:u w:val="single"/>
              </w:rPr>
              <w:t>深圳市龙岗区人民医院物业管理服务</w:t>
            </w:r>
          </w:p>
        </w:tc>
        <w:tc>
          <w:tcPr>
            <w:tcW w:w="2625" w:type="dxa"/>
            <w:tcBorders>
              <w:top w:val="single" w:sz="4" w:space="0" w:color="auto"/>
            </w:tcBorders>
            <w:vAlign w:val="center"/>
          </w:tcPr>
          <w:p>
            <w:pPr>
              <w:widowControl/>
              <w:adjustRightInd w:val="0"/>
              <w:snapToGrid w:val="0"/>
              <w:spacing w:line="360" w:lineRule="auto"/>
              <w:jc w:val="left"/>
            </w:pPr>
            <w:r>
              <w:rPr>
                <w:rFonts w:ascii="宋体" w:hAnsi="宋体" w:hint="eastAsia"/>
                <w:snapToGrid w:val="0"/>
                <w:kern w:val="0"/>
                <w:sz w:val="24"/>
                <w:szCs w:val="21"/>
              </w:rPr>
              <w:t>小写：</w:t>
            </w:r>
          </w:p>
        </w:tc>
        <w:tc>
          <w:tcPr>
            <w:tcW w:w="2034" w:type="dxa"/>
            <w:tcBorders>
              <w:top w:val="single" w:sz="4" w:space="0" w:color="auto"/>
            </w:tcBorders>
            <w:vAlign w:val="center"/>
          </w:tcPr>
          <w:p>
            <w:pPr>
              <w:widowControl/>
              <w:adjustRightInd w:val="0"/>
              <w:snapToGrid w:val="0"/>
              <w:spacing w:line="360" w:lineRule="auto"/>
              <w:jc w:val="center"/>
              <w:rPr>
                <w:rFonts w:ascii="宋体" w:hAnsi="宋体"/>
                <w:snapToGrid w:val="0"/>
                <w:kern w:val="0"/>
                <w:sz w:val="24"/>
                <w:szCs w:val="21"/>
              </w:rPr>
            </w:pPr>
          </w:p>
        </w:tc>
      </w:tr>
    </w:tbl>
    <w:p>
      <w:pPr>
        <w:spacing w:line="360" w:lineRule="auto"/>
        <w:ind w:left="632" w:hanging="630" w:hangingChars="300"/>
        <w:rPr>
          <w:b/>
          <w:color w:val="0000FF"/>
          <w:szCs w:val="21"/>
        </w:rPr>
      </w:pPr>
      <w:r>
        <w:rPr>
          <w:rFonts w:hint="eastAsia"/>
          <w:b/>
          <w:color w:val="0000FF"/>
          <w:szCs w:val="21"/>
        </w:rPr>
        <w:t>注：</w:t>
      </w:r>
    </w:p>
    <w:p>
      <w:pPr>
        <w:widowControl/>
        <w:snapToGrid w:val="0"/>
        <w:spacing w:line="360" w:lineRule="auto"/>
        <w:ind w:firstLine="0" w:firstLineChars="0"/>
        <w:jc w:val="left"/>
        <w:rPr>
          <w:rFonts w:ascii="宋体" w:hAnsi="宋体"/>
          <w:color w:val="0000FF"/>
          <w:kern w:val="0"/>
          <w:szCs w:val="21"/>
        </w:rPr>
      </w:pPr>
      <w:r>
        <w:rPr>
          <w:rFonts w:ascii="宋体" w:hAnsi="宋体" w:hint="eastAsia"/>
          <w:color w:val="0000FF"/>
          <w:kern w:val="0"/>
          <w:szCs w:val="21"/>
        </w:rPr>
        <w:t>投标人的投标报价不得超过预算金额，否则将导致投标被否决。</w:t>
      </w:r>
    </w:p>
    <w:p>
      <w:pPr>
        <w:spacing w:line="360" w:lineRule="auto"/>
        <w:ind w:firstLine="420" w:firstLineChars="200"/>
        <w:rPr>
          <w:rFonts w:hAnsi="宋体"/>
          <w:b/>
          <w:bCs/>
          <w:sz w:val="24"/>
        </w:rPr>
      </w:pPr>
    </w:p>
    <w:p>
      <w:pPr>
        <w:tabs>
          <w:tab w:val="left" w:pos="720"/>
        </w:tabs>
        <w:spacing w:line="360" w:lineRule="auto"/>
        <w:jc w:val="center"/>
        <w:rPr>
          <w:b/>
          <w:sz w:val="24"/>
        </w:rPr>
      </w:pPr>
      <w:r>
        <w:rPr>
          <w:rFonts w:hint="eastAsia"/>
          <w:b/>
          <w:sz w:val="24"/>
        </w:rPr>
        <w:t>（二）投标人认为需要涉及的其他内容报价清单</w:t>
      </w:r>
    </w:p>
    <w:p>
      <w:pPr>
        <w:spacing w:line="360" w:lineRule="auto"/>
        <w:rPr>
          <w:b/>
          <w:bCs/>
        </w:rPr>
      </w:pPr>
    </w:p>
    <w:p>
      <w:pPr>
        <w:spacing w:line="360" w:lineRule="auto"/>
      </w:pPr>
    </w:p>
    <w:p>
      <w:pPr>
        <w:pStyle w:val="BodyText"/>
        <w:ind w:firstLine="0" w:firstLineChars="0"/>
      </w:pPr>
    </w:p>
    <w:p>
      <w:pPr>
        <w:spacing w:line="360" w:lineRule="auto"/>
        <w:ind w:left="718" w:firstLine="1418" w:leftChars="342" w:firstLineChars="675"/>
        <w:rPr>
          <w:rFonts w:ascii="黑体" w:eastAsia="黑体" w:hAnsi="宋体" w:cs="Times New Roman" w:hint="eastAsia"/>
          <w:b w:val="0"/>
          <w:bCs/>
          <w:kern w:val="2"/>
          <w:sz w:val="24"/>
          <w:szCs w:val="24"/>
          <w:lang w:val="en-US" w:eastAsia="zh-CN" w:bidi="ar-SA"/>
        </w:rPr>
      </w:pPr>
      <w:r>
        <w:rPr>
          <w:rFonts w:ascii="黑体" w:eastAsia="黑体" w:hAnsi="宋体" w:cs="Times New Roman" w:hint="eastAsia"/>
          <w:b w:val="0"/>
          <w:bCs/>
          <w:kern w:val="2"/>
          <w:sz w:val="24"/>
          <w:szCs w:val="24"/>
          <w:lang w:val="en-US" w:eastAsia="zh-CN" w:bidi="ar-SA"/>
        </w:rPr>
        <w:t>五、供应商认证情况</w:t>
      </w:r>
    </w:p>
    <w:p>
      <w:pPr>
        <w:pStyle w:val="NormalIndent"/>
        <w:spacing w:line="360" w:lineRule="auto"/>
        <w:ind w:firstLine="0"/>
        <w:rPr>
          <w:rFonts w:ascii="黑体" w:eastAsia="黑体" w:hAnsi="宋体" w:cs="Times New Roman" w:hint="eastAsia"/>
          <w:b w:val="0"/>
          <w:bCs/>
          <w:kern w:val="2"/>
          <w:sz w:val="24"/>
          <w:szCs w:val="24"/>
          <w:lang w:val="en-US" w:eastAsia="zh-CN" w:bidi="ar-SA"/>
        </w:rPr>
      </w:pPr>
      <w:r>
        <w:rPr>
          <w:rFonts w:asciiTheme="minorEastAsia" w:eastAsiaTheme="minorEastAsia" w:hAnsiTheme="minorEastAsia" w:cstheme="minorEastAsia" w:hint="eastAsia"/>
          <w:color w:val="FF0000"/>
          <w:sz w:val="24"/>
        </w:rPr>
        <w:t>（特别提示：投标人须按本招标文件评标信息中这一评审因素要求，提供证明资料）</w:t>
      </w:r>
    </w:p>
    <w:p>
      <w:pPr>
        <w:spacing w:line="360" w:lineRule="auto"/>
        <w:ind w:left="718" w:firstLine="1418" w:leftChars="342" w:firstLineChars="675"/>
        <w:rPr>
          <w:rFonts w:ascii="黑体" w:eastAsia="黑体" w:hAnsi="宋体" w:cs="Times New Roman" w:hint="eastAsia"/>
          <w:b w:val="0"/>
          <w:bCs/>
          <w:kern w:val="2"/>
          <w:sz w:val="24"/>
          <w:szCs w:val="24"/>
          <w:lang w:val="en-US" w:eastAsia="zh-CN" w:bidi="ar-SA"/>
        </w:rPr>
      </w:pPr>
      <w:r>
        <w:rPr>
          <w:rFonts w:ascii="黑体" w:eastAsia="黑体" w:hAnsi="宋体" w:cs="Times New Roman" w:hint="eastAsia"/>
          <w:b w:val="0"/>
          <w:bCs/>
          <w:kern w:val="2"/>
          <w:sz w:val="24"/>
          <w:szCs w:val="24"/>
          <w:lang w:val="en-US" w:eastAsia="zh-CN" w:bidi="ar-SA"/>
        </w:rPr>
        <w:t>六、企业荣誉</w:t>
      </w:r>
    </w:p>
    <w:p>
      <w:pPr>
        <w:pStyle w:val="NormalIndent"/>
        <w:spacing w:line="360" w:lineRule="auto"/>
        <w:ind w:firstLine="0"/>
        <w:rPr>
          <w:rFonts w:ascii="黑体" w:eastAsia="黑体" w:hAnsi="宋体" w:cs="Times New Roman" w:hint="eastAsia"/>
          <w:b w:val="0"/>
          <w:bCs/>
          <w:kern w:val="2"/>
          <w:sz w:val="24"/>
          <w:szCs w:val="24"/>
          <w:lang w:val="en-US" w:eastAsia="zh-CN" w:bidi="ar-SA"/>
        </w:rPr>
      </w:pPr>
      <w:r>
        <w:rPr>
          <w:rFonts w:asciiTheme="minorEastAsia" w:eastAsiaTheme="minorEastAsia" w:hAnsiTheme="minorEastAsia" w:cstheme="minorEastAsia" w:hint="eastAsia"/>
          <w:color w:val="FF0000"/>
          <w:sz w:val="24"/>
        </w:rPr>
        <w:t>（特别提示：投标人须按本招标文件评标信息中这一评审因素要求，提供证明资料）</w:t>
      </w:r>
    </w:p>
    <w:p>
      <w:pPr>
        <w:spacing w:line="360" w:lineRule="auto"/>
        <w:ind w:left="718" w:firstLine="1418" w:leftChars="342" w:firstLineChars="675"/>
        <w:rPr>
          <w:rFonts w:ascii="黑体" w:eastAsia="黑体" w:hAnsi="宋体" w:cs="Times New Roman" w:hint="eastAsia"/>
          <w:b w:val="0"/>
          <w:bCs/>
          <w:kern w:val="2"/>
          <w:sz w:val="24"/>
          <w:szCs w:val="24"/>
          <w:lang w:val="en-US" w:eastAsia="zh-CN" w:bidi="ar-SA"/>
        </w:rPr>
      </w:pPr>
      <w:r>
        <w:rPr>
          <w:rFonts w:ascii="黑体" w:eastAsia="黑体" w:hAnsi="宋体" w:cs="Times New Roman" w:hint="eastAsia"/>
          <w:b w:val="0"/>
          <w:bCs/>
          <w:kern w:val="2"/>
          <w:sz w:val="24"/>
          <w:szCs w:val="24"/>
          <w:lang w:val="en-US" w:eastAsia="zh-CN" w:bidi="ar-SA"/>
        </w:rPr>
        <w:t>七、同类型项目业绩及履约评价</w:t>
      </w:r>
    </w:p>
    <w:p>
      <w:pPr>
        <w:pStyle w:val="NormalIndent"/>
        <w:spacing w:line="360" w:lineRule="auto"/>
        <w:ind w:firstLine="0"/>
      </w:pPr>
      <w:r>
        <w:rPr>
          <w:rFonts w:asciiTheme="minorEastAsia" w:eastAsiaTheme="minorEastAsia" w:hAnsiTheme="minorEastAsia" w:cstheme="minorEastAsia" w:hint="eastAsia"/>
          <w:color w:val="FF0000"/>
          <w:sz w:val="24"/>
        </w:rPr>
        <w:t>（特别提示：投标人须按本招标文件评标信息中这一评审因素要求，提供证明资料）</w:t>
      </w:r>
    </w:p>
    <w:p>
      <w:pPr>
        <w:numPr>
          <w:ilvl w:val="0"/>
          <w:numId w:val="40"/>
        </w:numPr>
        <w:spacing w:line="360" w:lineRule="auto"/>
        <w:ind w:left="718" w:firstLine="1418" w:leftChars="342" w:firstLineChars="675"/>
        <w:rPr>
          <w:rFonts w:ascii="黑体" w:eastAsia="黑体" w:hAnsi="宋体" w:cs="Times New Roman" w:hint="eastAsia"/>
          <w:b w:val="0"/>
          <w:bCs/>
          <w:kern w:val="2"/>
          <w:sz w:val="24"/>
          <w:szCs w:val="24"/>
          <w:lang w:val="en-US" w:eastAsia="zh-CN" w:bidi="ar-SA"/>
        </w:rPr>
      </w:pPr>
      <w:r>
        <w:rPr>
          <w:rFonts w:ascii="黑体" w:eastAsia="黑体" w:hAnsi="宋体" w:cs="Times New Roman" w:hint="eastAsia"/>
          <w:b w:val="0"/>
          <w:bCs/>
          <w:kern w:val="2"/>
          <w:sz w:val="24"/>
          <w:szCs w:val="24"/>
          <w:lang w:val="en-US" w:eastAsia="zh-CN" w:bidi="ar-SA"/>
        </w:rPr>
        <w:t>分包意向协议</w:t>
      </w:r>
    </w:p>
    <w:p>
      <w:pPr>
        <w:pStyle w:val="BodyText"/>
        <w:numPr>
          <w:numId w:val="0"/>
        </w:numPr>
        <w:rPr>
          <w:rFonts w:asciiTheme="minorEastAsia" w:eastAsiaTheme="minorEastAsia" w:hAnsiTheme="minorEastAsia" w:cstheme="minorEastAsia" w:hint="eastAsia"/>
          <w:b w:val="0"/>
          <w:bCs w:val="0"/>
          <w:color w:val="FF0000"/>
          <w:kern w:val="2"/>
          <w:sz w:val="24"/>
          <w:szCs w:val="20"/>
          <w:lang w:val="en-US" w:eastAsia="zh-CN" w:bidi="ar-SA"/>
        </w:rPr>
      </w:pPr>
      <w:r>
        <w:rPr>
          <w:rFonts w:asciiTheme="minorEastAsia" w:eastAsiaTheme="minorEastAsia" w:hAnsiTheme="minorEastAsia" w:cstheme="minorEastAsia" w:hint="eastAsia"/>
          <w:b w:val="0"/>
          <w:bCs w:val="0"/>
          <w:color w:val="FF0000"/>
          <w:kern w:val="2"/>
          <w:sz w:val="24"/>
          <w:szCs w:val="20"/>
          <w:lang w:val="en-US" w:eastAsia="zh-CN" w:bidi="ar-SA"/>
        </w:rPr>
        <w:t>（</w:t>
      </w:r>
      <w:r>
        <w:rPr>
          <w:rFonts w:asciiTheme="minorEastAsia" w:eastAsiaTheme="minorEastAsia" w:hAnsiTheme="minorEastAsia" w:cstheme="minorEastAsia" w:hint="eastAsia"/>
          <w:b w:val="0"/>
          <w:bCs w:val="0"/>
          <w:color w:val="FF0000"/>
          <w:kern w:val="2"/>
          <w:sz w:val="24"/>
          <w:szCs w:val="20"/>
          <w:lang w:val="en-US" w:eastAsia="zh-CN" w:bidi="ar-SA"/>
        </w:rPr>
        <w:t>特别提示：投标人须按本招标文件</w:t>
      </w:r>
      <w:bookmarkStart w:id="40" w:name="_GoBack"/>
      <w:bookmarkEnd w:id="40"/>
      <w:r>
        <w:rPr>
          <w:rFonts w:asciiTheme="minorEastAsia" w:eastAsiaTheme="minorEastAsia" w:hAnsiTheme="minorEastAsia" w:cstheme="minorEastAsia" w:hint="eastAsia"/>
          <w:b w:val="0"/>
          <w:bCs w:val="0"/>
          <w:color w:val="FF0000"/>
          <w:kern w:val="2"/>
          <w:sz w:val="24"/>
          <w:szCs w:val="20"/>
          <w:lang w:val="en-US" w:eastAsia="zh-CN" w:bidi="ar-SA"/>
        </w:rPr>
        <w:t>要求，提供证明资料）</w:t>
      </w:r>
    </w:p>
    <w:p>
      <w:pPr>
        <w:spacing w:line="360" w:lineRule="auto"/>
        <w:ind w:firstLine="1260" w:firstLineChars="600"/>
        <w:rPr>
          <w:b/>
          <w:color w:val="FF0000"/>
          <w:sz w:val="24"/>
        </w:rPr>
      </w:pPr>
      <w:r>
        <w:rPr>
          <w:rFonts w:hint="eastAsia"/>
          <w:b/>
          <w:color w:val="FF0000"/>
          <w:sz w:val="24"/>
        </w:rPr>
        <w:t>（信息公开部分的内容到此为止！以下为信息不公开部分。）</w:t>
      </w:r>
    </w:p>
    <w:p>
      <w:pPr>
        <w:rPr>
          <w:rFonts w:ascii="仿宋_GB2312" w:eastAsia="仿宋_GB2312"/>
          <w:b/>
          <w:sz w:val="30"/>
          <w:szCs w:val="30"/>
        </w:rPr>
      </w:pPr>
      <w:r>
        <w:rPr>
          <w:rFonts w:ascii="仿宋_GB2312" w:eastAsia="仿宋_GB2312" w:hint="eastAsia"/>
          <w:b/>
          <w:sz w:val="30"/>
          <w:szCs w:val="30"/>
        </w:rPr>
        <w:br w:type="page"/>
      </w:r>
    </w:p>
    <w:p>
      <w:pPr>
        <w:outlineLvl w:val="1"/>
        <w:rPr>
          <w:rFonts w:ascii="宋体" w:hAnsi="宋体" w:hint="eastAsia"/>
          <w:b/>
          <w:color w:val="FF0000"/>
          <w:sz w:val="28"/>
          <w:szCs w:val="28"/>
        </w:rPr>
      </w:pPr>
      <w:r>
        <w:rPr>
          <w:rFonts w:ascii="宋体" w:hAnsi="宋体" w:hint="eastAsia"/>
          <w:b/>
          <w:color w:val="FF0000"/>
          <w:sz w:val="28"/>
          <w:szCs w:val="28"/>
        </w:rPr>
        <w:t>投标文件附件（信息不公开部分）</w:t>
      </w:r>
    </w:p>
    <w:p>
      <w:pPr>
        <w:pStyle w:val="NoSpacing"/>
        <w:rPr>
          <w:rFonts w:ascii="宋体" w:hAnsi="宋体" w:hint="eastAsia"/>
          <w:b/>
          <w:color w:val="FF0000"/>
          <w:sz w:val="28"/>
          <w:szCs w:val="28"/>
        </w:rPr>
      </w:pPr>
    </w:p>
    <w:p>
      <w:pPr>
        <w:widowControl w:val="0"/>
        <w:snapToGrid w:val="0"/>
        <w:spacing w:before="0" w:after="0" w:line="360" w:lineRule="auto"/>
        <w:jc w:val="center"/>
        <w:outlineLvl w:val="0"/>
        <w:rPr>
          <w:rFonts w:ascii="黑体" w:eastAsia="黑体" w:hAnsi="宋体" w:cs="Times New Roman" w:hint="eastAsia"/>
          <w:b w:val="0"/>
          <w:bCs/>
          <w:kern w:val="2"/>
          <w:sz w:val="24"/>
          <w:szCs w:val="32"/>
          <w:lang w:val="en-US" w:eastAsia="zh-CN" w:bidi="ar-SA"/>
        </w:rPr>
      </w:pPr>
      <w:r>
        <w:rPr>
          <w:rFonts w:ascii="黑体" w:eastAsia="黑体" w:hAnsi="宋体" w:cs="Times New Roman" w:hint="eastAsia"/>
          <w:b w:val="0"/>
          <w:bCs/>
          <w:kern w:val="2"/>
          <w:sz w:val="24"/>
          <w:szCs w:val="32"/>
          <w:lang w:val="en-US" w:eastAsia="zh-CN" w:bidi="ar-SA"/>
        </w:rPr>
        <w:t>一、供应商基本情况表</w:t>
      </w:r>
    </w:p>
    <w:tbl>
      <w:tblPr>
        <w:tblStyle w:val="TableGrid"/>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700"/>
        <w:gridCol w:w="645"/>
        <w:gridCol w:w="1530"/>
        <w:gridCol w:w="904"/>
        <w:gridCol w:w="752"/>
        <w:gridCol w:w="1146"/>
        <w:gridCol w:w="1429"/>
        <w:gridCol w:w="1420"/>
      </w:tblGrid>
      <w:tr>
        <w:tblPrEx>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789" w:type="pct"/>
            <w:gridSpan w:val="2"/>
            <w:noWrap w:val="0"/>
            <w:vAlign w:val="center"/>
          </w:tcPr>
          <w:p>
            <w:pPr>
              <w:spacing w:line="360" w:lineRule="auto"/>
              <w:jc w:val="both"/>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投标（响应）供应商</w:t>
            </w:r>
          </w:p>
        </w:tc>
        <w:tc>
          <w:tcPr>
            <w:tcW w:w="1427" w:type="pct"/>
            <w:gridSpan w:val="2"/>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1113" w:type="pct"/>
            <w:gridSpan w:val="2"/>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项目名称及编号</w:t>
            </w:r>
          </w:p>
        </w:tc>
        <w:tc>
          <w:tcPr>
            <w:tcW w:w="1669" w:type="pct"/>
            <w:gridSpan w:val="2"/>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r>
      <w:tr>
        <w:tblPrEx>
          <w:tblW w:w="4998" w:type="pct"/>
          <w:jc w:val="center"/>
          <w:tblCellMar>
            <w:top w:w="0" w:type="dxa"/>
            <w:left w:w="108" w:type="dxa"/>
            <w:bottom w:w="0" w:type="dxa"/>
            <w:right w:w="108" w:type="dxa"/>
          </w:tblCellMar>
        </w:tblPrEx>
        <w:trPr>
          <w:jc w:val="center"/>
        </w:trPr>
        <w:tc>
          <w:tcPr>
            <w:tcW w:w="5000" w:type="pct"/>
            <w:gridSpan w:val="8"/>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b/>
                <w:bCs/>
                <w:color w:val="auto"/>
                <w:sz w:val="21"/>
                <w:szCs w:val="21"/>
                <w:vertAlign w:val="baseline"/>
                <w:lang w:val="en-US" w:eastAsia="zh-CN"/>
              </w:rPr>
              <w:t>投标（响应）供应商相关人员情况</w:t>
            </w:r>
          </w:p>
        </w:tc>
      </w:tr>
      <w:tr>
        <w:tblPrEx>
          <w:tblW w:w="4998" w:type="pct"/>
          <w:jc w:val="center"/>
          <w:tblCellMar>
            <w:top w:w="0" w:type="dxa"/>
            <w:left w:w="108" w:type="dxa"/>
            <w:bottom w:w="0" w:type="dxa"/>
            <w:right w:w="108" w:type="dxa"/>
          </w:tblCellMar>
        </w:tblPrEx>
        <w:trPr>
          <w:jc w:val="center"/>
        </w:trPr>
        <w:tc>
          <w:tcPr>
            <w:tcW w:w="411" w:type="pct"/>
            <w:tcBorders>
              <w:bottom w:val="single" w:sz="4" w:space="0" w:color="auto"/>
            </w:tcBorders>
            <w:noWrap w:val="0"/>
            <w:vAlign w:val="center"/>
          </w:tcPr>
          <w:p>
            <w:pPr>
              <w:snapToGrid w:val="0"/>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序号</w:t>
            </w:r>
          </w:p>
        </w:tc>
        <w:tc>
          <w:tcPr>
            <w:tcW w:w="1275" w:type="pct"/>
            <w:gridSpan w:val="2"/>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职务</w:t>
            </w:r>
          </w:p>
        </w:tc>
        <w:tc>
          <w:tcPr>
            <w:tcW w:w="529" w:type="pct"/>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姓名</w:t>
            </w:r>
          </w:p>
        </w:tc>
        <w:tc>
          <w:tcPr>
            <w:tcW w:w="1113" w:type="pct"/>
            <w:gridSpan w:val="2"/>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身份证号码</w:t>
            </w:r>
          </w:p>
        </w:tc>
        <w:tc>
          <w:tcPr>
            <w:tcW w:w="838" w:type="pct"/>
            <w:tcBorders>
              <w:bottom w:val="single" w:sz="4" w:space="0" w:color="auto"/>
            </w:tcBorders>
            <w:noWrap w:val="0"/>
            <w:vAlign w:val="center"/>
          </w:tcPr>
          <w:p>
            <w:pPr>
              <w:snapToGrid w:val="0"/>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劳动合同</w:t>
            </w:r>
          </w:p>
          <w:p>
            <w:pPr>
              <w:snapToGrid w:val="0"/>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关系单位</w:t>
            </w:r>
          </w:p>
        </w:tc>
        <w:tc>
          <w:tcPr>
            <w:tcW w:w="830" w:type="pct"/>
            <w:tcBorders>
              <w:bottom w:val="single" w:sz="4" w:space="0" w:color="auto"/>
            </w:tcBorders>
            <w:noWrap w:val="0"/>
            <w:vAlign w:val="center"/>
          </w:tcPr>
          <w:p>
            <w:pPr>
              <w:snapToGrid w:val="0"/>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缴纳社会</w:t>
            </w:r>
          </w:p>
          <w:p>
            <w:pPr>
              <w:snapToGrid w:val="0"/>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保险单位</w:t>
            </w:r>
          </w:p>
        </w:tc>
      </w:tr>
      <w:tr>
        <w:tblPrEx>
          <w:tblW w:w="4998" w:type="pct"/>
          <w:jc w:val="center"/>
          <w:tblCellMar>
            <w:top w:w="0" w:type="dxa"/>
            <w:left w:w="108" w:type="dxa"/>
            <w:bottom w:w="0" w:type="dxa"/>
            <w:right w:w="108" w:type="dxa"/>
          </w:tblCellMar>
        </w:tblPrEx>
        <w:trPr>
          <w:jc w:val="center"/>
        </w:trPr>
        <w:tc>
          <w:tcPr>
            <w:tcW w:w="411"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1</w:t>
            </w:r>
          </w:p>
        </w:tc>
        <w:tc>
          <w:tcPr>
            <w:tcW w:w="1275"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lang w:eastAsia="zh-CN"/>
              </w:rPr>
            </w:pPr>
            <w:r>
              <w:rPr>
                <w:rFonts w:ascii="宋体" w:eastAsia="宋体" w:hAnsi="宋体" w:cs="宋体" w:hint="eastAsia"/>
                <w:color w:val="auto"/>
                <w:sz w:val="21"/>
                <w:szCs w:val="21"/>
                <w:highlight w:val="none"/>
              </w:rPr>
              <w:t>法定代表人</w:t>
            </w:r>
            <w:r>
              <w:rPr>
                <w:rFonts w:ascii="宋体" w:eastAsia="宋体" w:hAnsi="宋体" w:cs="宋体" w:hint="eastAsia"/>
                <w:color w:val="auto"/>
                <w:sz w:val="21"/>
                <w:szCs w:val="21"/>
                <w:highlight w:val="none"/>
                <w:lang w:val="en-US" w:eastAsia="zh-CN"/>
              </w:rPr>
              <w:t>/单位负责人/主要经营负责人</w:t>
            </w:r>
          </w:p>
        </w:tc>
        <w:tc>
          <w:tcPr>
            <w:tcW w:w="529"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1113"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8"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0"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r>
      <w:tr>
        <w:tblPrEx>
          <w:tblW w:w="4998" w:type="pct"/>
          <w:jc w:val="center"/>
          <w:tblCellMar>
            <w:top w:w="0" w:type="dxa"/>
            <w:left w:w="108" w:type="dxa"/>
            <w:bottom w:w="0" w:type="dxa"/>
            <w:right w:w="108" w:type="dxa"/>
          </w:tblCellMar>
        </w:tblPrEx>
        <w:trPr>
          <w:jc w:val="center"/>
        </w:trPr>
        <w:tc>
          <w:tcPr>
            <w:tcW w:w="411" w:type="pct"/>
            <w:tcBorders>
              <w:top w:val="single" w:sz="4" w:space="0" w:color="auto"/>
              <w:left w:val="single" w:sz="4" w:space="0" w:color="auto"/>
              <w:bottom w:val="single" w:sz="4" w:space="0" w:color="auto"/>
              <w:right w:val="single" w:sz="4" w:space="0" w:color="auto"/>
            </w:tcBorders>
            <w:noWrap w:val="0"/>
            <w:vAlign w:val="center"/>
          </w:tcPr>
          <w:p>
            <w:pPr>
              <w:spacing w:beforeLines="0" w:afterLines="0"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rPr>
              <w:t>2</w:t>
            </w:r>
          </w:p>
        </w:tc>
        <w:tc>
          <w:tcPr>
            <w:tcW w:w="1275"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highlight w:val="none"/>
              </w:rPr>
              <w:t>项目投标授权代表人</w:t>
            </w:r>
          </w:p>
        </w:tc>
        <w:tc>
          <w:tcPr>
            <w:tcW w:w="529"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1113"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8"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0"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r>
      <w:tr>
        <w:tblPrEx>
          <w:tblW w:w="4998" w:type="pct"/>
          <w:jc w:val="center"/>
          <w:tblCellMar>
            <w:top w:w="0" w:type="dxa"/>
            <w:left w:w="108" w:type="dxa"/>
            <w:bottom w:w="0" w:type="dxa"/>
            <w:right w:w="108" w:type="dxa"/>
          </w:tblCellMar>
        </w:tblPrEx>
        <w:trPr>
          <w:jc w:val="center"/>
        </w:trPr>
        <w:tc>
          <w:tcPr>
            <w:tcW w:w="411" w:type="pct"/>
            <w:tcBorders>
              <w:top w:val="single" w:sz="4" w:space="0" w:color="auto"/>
            </w:tcBorders>
            <w:noWrap w:val="0"/>
            <w:vAlign w:val="center"/>
          </w:tcPr>
          <w:p>
            <w:pPr>
              <w:spacing w:beforeLines="0" w:afterLines="0"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rPr>
              <w:t>3</w:t>
            </w:r>
          </w:p>
        </w:tc>
        <w:tc>
          <w:tcPr>
            <w:tcW w:w="1275" w:type="pct"/>
            <w:gridSpan w:val="2"/>
            <w:tcBorders>
              <w:top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highlight w:val="none"/>
              </w:rPr>
              <w:t>项目负责人</w:t>
            </w:r>
          </w:p>
        </w:tc>
        <w:tc>
          <w:tcPr>
            <w:tcW w:w="529" w:type="pct"/>
            <w:tcBorders>
              <w:top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1113" w:type="pct"/>
            <w:gridSpan w:val="2"/>
            <w:tcBorders>
              <w:top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8" w:type="pct"/>
            <w:tcBorders>
              <w:top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0" w:type="pct"/>
            <w:tcBorders>
              <w:top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r>
      <w:tr>
        <w:tblPrEx>
          <w:tblW w:w="4998" w:type="pct"/>
          <w:jc w:val="center"/>
          <w:tblCellMar>
            <w:top w:w="0" w:type="dxa"/>
            <w:left w:w="108" w:type="dxa"/>
            <w:bottom w:w="0" w:type="dxa"/>
            <w:right w:w="108" w:type="dxa"/>
          </w:tblCellMar>
        </w:tblPrEx>
        <w:trPr>
          <w:jc w:val="center"/>
        </w:trPr>
        <w:tc>
          <w:tcPr>
            <w:tcW w:w="411" w:type="pct"/>
            <w:noWrap w:val="0"/>
            <w:vAlign w:val="center"/>
          </w:tcPr>
          <w:p>
            <w:pPr>
              <w:spacing w:beforeLines="0" w:afterLines="0"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rPr>
              <w:t>4</w:t>
            </w:r>
          </w:p>
        </w:tc>
        <w:tc>
          <w:tcPr>
            <w:tcW w:w="1275" w:type="pct"/>
            <w:gridSpan w:val="2"/>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highlight w:val="none"/>
              </w:rPr>
              <w:t>主要技术人员</w:t>
            </w:r>
          </w:p>
        </w:tc>
        <w:tc>
          <w:tcPr>
            <w:tcW w:w="529" w:type="pct"/>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1113" w:type="pct"/>
            <w:gridSpan w:val="2"/>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8" w:type="pct"/>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0" w:type="pct"/>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r>
      <w:tr>
        <w:tblPrEx>
          <w:tblW w:w="4998" w:type="pct"/>
          <w:jc w:val="center"/>
          <w:tblCellMar>
            <w:top w:w="0" w:type="dxa"/>
            <w:left w:w="108" w:type="dxa"/>
            <w:bottom w:w="0" w:type="dxa"/>
            <w:right w:w="108" w:type="dxa"/>
          </w:tblCellMar>
        </w:tblPrEx>
        <w:trPr>
          <w:jc w:val="center"/>
        </w:trPr>
        <w:tc>
          <w:tcPr>
            <w:tcW w:w="411" w:type="pct"/>
            <w:noWrap w:val="0"/>
            <w:vAlign w:val="center"/>
          </w:tcPr>
          <w:p>
            <w:pPr>
              <w:spacing w:beforeLines="0" w:afterLines="0"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rPr>
              <w:t>5</w:t>
            </w:r>
          </w:p>
        </w:tc>
        <w:tc>
          <w:tcPr>
            <w:tcW w:w="1275" w:type="pct"/>
            <w:gridSpan w:val="2"/>
            <w:noWrap w:val="0"/>
            <w:vAlign w:val="center"/>
          </w:tcPr>
          <w:p>
            <w:pPr>
              <w:widowControl w:val="0"/>
              <w:snapToGrid w:val="0"/>
              <w:spacing w:line="360" w:lineRule="auto"/>
              <w:ind w:left="0" w:firstLine="0" w:leftChars="0" w:firstLineChars="0"/>
              <w:jc w:val="center"/>
              <w:rPr>
                <w:rFonts w:ascii="宋体" w:eastAsia="宋体" w:hAnsi="宋体" w:cs="宋体" w:hint="eastAsia"/>
                <w:color w:val="auto"/>
                <w:kern w:val="2"/>
                <w:sz w:val="21"/>
                <w:szCs w:val="21"/>
                <w:lang w:val="en-US" w:eastAsia="zh-CN" w:bidi="ar-SA"/>
              </w:rPr>
            </w:pPr>
            <w:r>
              <w:rPr>
                <w:rFonts w:ascii="宋体" w:eastAsia="宋体" w:hAnsi="宋体" w:cs="宋体" w:hint="eastAsia"/>
                <w:color w:val="auto"/>
                <w:kern w:val="2"/>
                <w:sz w:val="21"/>
                <w:szCs w:val="21"/>
                <w:highlight w:val="none"/>
                <w:lang w:val="en-US" w:eastAsia="zh-CN" w:bidi="ar-SA"/>
              </w:rPr>
              <w:t>投标文件编制人员</w:t>
            </w:r>
          </w:p>
        </w:tc>
        <w:tc>
          <w:tcPr>
            <w:tcW w:w="529" w:type="pct"/>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1113" w:type="pct"/>
            <w:gridSpan w:val="2"/>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8" w:type="pct"/>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c>
          <w:tcPr>
            <w:tcW w:w="830" w:type="pct"/>
            <w:noWrap w:val="0"/>
            <w:vAlign w:val="center"/>
          </w:tcPr>
          <w:p>
            <w:pPr>
              <w:spacing w:line="360" w:lineRule="auto"/>
              <w:jc w:val="center"/>
              <w:rPr>
                <w:rFonts w:ascii="宋体" w:eastAsia="宋体" w:hAnsi="宋体" w:cs="宋体" w:hint="eastAsia"/>
                <w:color w:val="auto"/>
                <w:sz w:val="21"/>
                <w:szCs w:val="21"/>
                <w:vertAlign w:val="baseline"/>
                <w:lang w:val="en-US" w:eastAsia="zh-CN"/>
              </w:rPr>
            </w:pPr>
          </w:p>
        </w:tc>
      </w:tr>
      <w:tr>
        <w:tblPrEx>
          <w:tblW w:w="4998" w:type="pct"/>
          <w:jc w:val="center"/>
          <w:tblCellMar>
            <w:top w:w="0" w:type="dxa"/>
            <w:left w:w="108" w:type="dxa"/>
            <w:bottom w:w="0" w:type="dxa"/>
            <w:right w:w="108" w:type="dxa"/>
          </w:tblCellMar>
        </w:tblPrEx>
        <w:trPr>
          <w:jc w:val="center"/>
        </w:trPr>
        <w:tc>
          <w:tcPr>
            <w:tcW w:w="5000" w:type="pct"/>
            <w:gridSpan w:val="8"/>
            <w:noWrap w:val="0"/>
            <w:vAlign w:val="center"/>
          </w:tcPr>
          <w:p>
            <w:pPr>
              <w:spacing w:line="360" w:lineRule="auto"/>
              <w:jc w:val="both"/>
              <w:rPr>
                <w:rFonts w:ascii="宋体" w:eastAsia="宋体" w:hAnsi="宋体" w:cs="宋体" w:hint="eastAsia"/>
                <w:color w:val="auto"/>
                <w:sz w:val="21"/>
                <w:szCs w:val="21"/>
                <w:vertAlign w:val="baseline"/>
                <w:lang w:val="en-US" w:eastAsia="zh-CN"/>
              </w:rPr>
            </w:pPr>
            <w:r>
              <w:rPr>
                <w:rFonts w:ascii="宋体" w:eastAsia="宋体" w:hAnsi="宋体" w:cs="宋体" w:hint="eastAsia"/>
                <w:b/>
                <w:bCs/>
                <w:color w:val="auto"/>
                <w:sz w:val="21"/>
                <w:szCs w:val="21"/>
                <w:highlight w:val="none"/>
                <w:vertAlign w:val="baseline"/>
                <w:lang w:val="en-US" w:eastAsia="zh-CN"/>
              </w:rPr>
              <w:t>说明：同一职务有多人担任（如主要技术人员），应分行填写。</w:t>
            </w:r>
          </w:p>
        </w:tc>
      </w:tr>
      <w:tr>
        <w:tblPrEx>
          <w:tblW w:w="4998" w:type="pct"/>
          <w:jc w:val="center"/>
          <w:tblCellMar>
            <w:top w:w="0" w:type="dxa"/>
            <w:left w:w="108" w:type="dxa"/>
            <w:bottom w:w="0" w:type="dxa"/>
            <w:right w:w="108" w:type="dxa"/>
          </w:tblCellMar>
        </w:tblPrEx>
        <w:trPr>
          <w:trHeight w:val="539"/>
          <w:jc w:val="center"/>
        </w:trPr>
        <w:tc>
          <w:tcPr>
            <w:tcW w:w="5000" w:type="pct"/>
            <w:gridSpan w:val="8"/>
            <w:noWrap w:val="0"/>
            <w:vAlign w:val="center"/>
          </w:tcPr>
          <w:p>
            <w:pPr>
              <w:spacing w:line="360" w:lineRule="auto"/>
              <w:jc w:val="center"/>
              <w:rPr>
                <w:rFonts w:ascii="宋体" w:eastAsia="宋体" w:hAnsi="宋体" w:cs="宋体" w:hint="eastAsia"/>
                <w:b/>
                <w:bCs/>
                <w:color w:val="auto"/>
                <w:sz w:val="21"/>
                <w:szCs w:val="21"/>
                <w:vertAlign w:val="baseline"/>
                <w:lang w:val="en-US" w:eastAsia="zh-CN"/>
              </w:rPr>
            </w:pPr>
            <w:r>
              <w:rPr>
                <w:rFonts w:ascii="宋体" w:eastAsia="宋体" w:hAnsi="宋体" w:cs="宋体" w:hint="eastAsia"/>
                <w:b/>
                <w:bCs/>
                <w:color w:val="auto"/>
                <w:sz w:val="21"/>
                <w:szCs w:val="21"/>
                <w:vertAlign w:val="baseline"/>
                <w:lang w:val="en-US" w:eastAsia="zh-CN"/>
              </w:rPr>
              <w:t>投标（响应）供应商关联关系情况</w:t>
            </w:r>
          </w:p>
        </w:tc>
      </w:tr>
      <w:tr>
        <w:tblPrEx>
          <w:tblW w:w="4998" w:type="pct"/>
          <w:jc w:val="center"/>
          <w:tblCellMar>
            <w:top w:w="0" w:type="dxa"/>
            <w:left w:w="108" w:type="dxa"/>
            <w:bottom w:w="0" w:type="dxa"/>
            <w:right w:w="108" w:type="dxa"/>
          </w:tblCellMar>
        </w:tblPrEx>
        <w:trPr>
          <w:jc w:val="center"/>
        </w:trPr>
        <w:tc>
          <w:tcPr>
            <w:tcW w:w="411" w:type="pct"/>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序号</w:t>
            </w:r>
          </w:p>
        </w:tc>
        <w:tc>
          <w:tcPr>
            <w:tcW w:w="1275" w:type="pct"/>
            <w:gridSpan w:val="2"/>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vertAlign w:val="baseline"/>
                <w:lang w:val="en-US" w:eastAsia="zh-CN"/>
              </w:rPr>
              <w:t>关联关系类型</w:t>
            </w:r>
          </w:p>
        </w:tc>
        <w:tc>
          <w:tcPr>
            <w:tcW w:w="971" w:type="pct"/>
            <w:gridSpan w:val="2"/>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vertAlign w:val="baseline"/>
                <w:lang w:val="en-US" w:eastAsia="zh-CN"/>
              </w:rPr>
            </w:pPr>
            <w:r>
              <w:rPr>
                <w:rFonts w:ascii="宋体" w:eastAsia="宋体" w:hAnsi="宋体" w:cs="宋体" w:hint="eastAsia"/>
                <w:color w:val="auto"/>
                <w:sz w:val="21"/>
                <w:szCs w:val="21"/>
                <w:highlight w:val="none"/>
                <w:vertAlign w:val="baseline"/>
                <w:lang w:val="en-US" w:eastAsia="zh-CN"/>
              </w:rPr>
              <w:t>关联主体名称</w:t>
            </w:r>
          </w:p>
        </w:tc>
        <w:tc>
          <w:tcPr>
            <w:tcW w:w="2340" w:type="pct"/>
            <w:gridSpan w:val="3"/>
            <w:tcBorders>
              <w:bottom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vertAlign w:val="baseline"/>
                <w:lang w:val="en-US" w:eastAsia="zh-CN"/>
              </w:rPr>
            </w:pPr>
            <w:r>
              <w:rPr>
                <w:rFonts w:ascii="宋体" w:eastAsia="宋体" w:hAnsi="宋体" w:cs="宋体" w:hint="eastAsia"/>
                <w:color w:val="auto"/>
                <w:sz w:val="21"/>
                <w:szCs w:val="21"/>
                <w:highlight w:val="none"/>
                <w:vertAlign w:val="baseline"/>
                <w:lang w:val="en-US" w:eastAsia="zh-CN"/>
              </w:rPr>
              <w:t>备注</w:t>
            </w:r>
          </w:p>
        </w:tc>
      </w:tr>
      <w:tr>
        <w:tblPrEx>
          <w:tblW w:w="4998" w:type="pct"/>
          <w:jc w:val="center"/>
          <w:tblCellMar>
            <w:top w:w="0" w:type="dxa"/>
            <w:left w:w="108" w:type="dxa"/>
            <w:bottom w:w="0" w:type="dxa"/>
            <w:right w:w="108" w:type="dxa"/>
          </w:tblCellMar>
        </w:tblPrEx>
        <w:trPr>
          <w:jc w:val="center"/>
        </w:trPr>
        <w:tc>
          <w:tcPr>
            <w:tcW w:w="411"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1</w:t>
            </w:r>
          </w:p>
        </w:tc>
        <w:tc>
          <w:tcPr>
            <w:tcW w:w="1275"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控股股东</w:t>
            </w:r>
          </w:p>
        </w:tc>
        <w:tc>
          <w:tcPr>
            <w:tcW w:w="971"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vertAlign w:val="baseline"/>
                <w:lang w:val="en-US" w:eastAsia="zh-CN"/>
              </w:rPr>
            </w:pPr>
          </w:p>
        </w:tc>
        <w:tc>
          <w:tcPr>
            <w:tcW w:w="2340" w:type="pct"/>
            <w:gridSpan w:val="3"/>
            <w:tcBorders>
              <w:top w:val="single" w:sz="4" w:space="0" w:color="auto"/>
              <w:left w:val="single" w:sz="4" w:space="0" w:color="auto"/>
              <w:bottom w:val="single" w:sz="4" w:space="0" w:color="auto"/>
              <w:right w:val="single" w:sz="4" w:space="0" w:color="auto"/>
            </w:tcBorders>
            <w:noWrap w:val="0"/>
            <w:vAlign w:val="center"/>
          </w:tcPr>
          <w:p>
            <w:pPr>
              <w:snapToGrid w:val="0"/>
              <w:spacing w:line="360" w:lineRule="auto"/>
              <w:jc w:val="both"/>
              <w:rPr>
                <w:rFonts w:ascii="宋体" w:eastAsia="宋体" w:hAnsi="宋体" w:cs="宋体" w:hint="eastAsia"/>
                <w:color w:val="auto"/>
                <w:sz w:val="21"/>
                <w:szCs w:val="21"/>
                <w:highlight w:val="none"/>
                <w:vertAlign w:val="baseline"/>
                <w:lang w:val="en-US" w:eastAsia="zh-CN"/>
              </w:rPr>
            </w:pPr>
            <w:r>
              <w:rPr>
                <w:rFonts w:ascii="宋体" w:eastAsia="宋体" w:hAnsi="宋体" w:cs="宋体" w:hint="eastAsia"/>
                <w:color w:val="auto"/>
                <w:sz w:val="21"/>
                <w:szCs w:val="21"/>
                <w:highlight w:val="none"/>
                <w:vertAlign w:val="baseline"/>
                <w:lang w:val="en-US" w:eastAsia="zh-CN"/>
              </w:rPr>
              <w:t>指出资额（或持有股份）占投标（响应）供应商资本总额（或股本总额）50%以上的股东，以及出资额（或持有股份）的比例虽然不足50%，但依其出资额（或持有股份）所享有的表决权已足以对投标（响应）供应商股东会（或股东大会）的决议产生重要影响的股东。</w:t>
            </w:r>
          </w:p>
        </w:tc>
      </w:tr>
      <w:tr>
        <w:tblPrEx>
          <w:tblW w:w="4998" w:type="pct"/>
          <w:jc w:val="center"/>
          <w:tblCellMar>
            <w:top w:w="0" w:type="dxa"/>
            <w:left w:w="108" w:type="dxa"/>
            <w:bottom w:w="0" w:type="dxa"/>
            <w:right w:w="108" w:type="dxa"/>
          </w:tblCellMar>
        </w:tblPrEx>
        <w:trPr>
          <w:trHeight w:val="789"/>
          <w:jc w:val="center"/>
        </w:trPr>
        <w:tc>
          <w:tcPr>
            <w:tcW w:w="411" w:type="pct"/>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vertAlign w:val="baseline"/>
                <w:lang w:val="en-US" w:eastAsia="zh-CN"/>
              </w:rPr>
            </w:pPr>
            <w:r>
              <w:rPr>
                <w:rFonts w:ascii="宋体" w:eastAsia="宋体" w:hAnsi="宋体" w:cs="宋体" w:hint="eastAsia"/>
                <w:color w:val="auto"/>
                <w:sz w:val="21"/>
                <w:szCs w:val="21"/>
                <w:vertAlign w:val="baseline"/>
                <w:lang w:val="en-US" w:eastAsia="zh-CN"/>
              </w:rPr>
              <w:t>2</w:t>
            </w:r>
          </w:p>
        </w:tc>
        <w:tc>
          <w:tcPr>
            <w:tcW w:w="1275"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管理关系</w:t>
            </w:r>
          </w:p>
        </w:tc>
        <w:tc>
          <w:tcPr>
            <w:tcW w:w="971" w:type="pct"/>
            <w:gridSpan w:val="2"/>
            <w:tcBorders>
              <w:top w:val="single" w:sz="4" w:space="0" w:color="auto"/>
              <w:left w:val="single" w:sz="4" w:space="0" w:color="auto"/>
              <w:bottom w:val="single" w:sz="4" w:space="0" w:color="auto"/>
              <w:right w:val="single" w:sz="4" w:space="0" w:color="auto"/>
            </w:tcBorders>
            <w:noWrap w:val="0"/>
            <w:vAlign w:val="center"/>
          </w:tcPr>
          <w:p>
            <w:pPr>
              <w:spacing w:line="360" w:lineRule="auto"/>
              <w:jc w:val="center"/>
              <w:rPr>
                <w:rFonts w:ascii="宋体" w:eastAsia="宋体" w:hAnsi="宋体" w:cs="宋体" w:hint="eastAsia"/>
                <w:color w:val="auto"/>
                <w:sz w:val="21"/>
                <w:szCs w:val="21"/>
                <w:highlight w:val="none"/>
                <w:vertAlign w:val="baseline"/>
                <w:lang w:val="en-US" w:eastAsia="zh-CN"/>
              </w:rPr>
            </w:pPr>
          </w:p>
        </w:tc>
        <w:tc>
          <w:tcPr>
            <w:tcW w:w="2340" w:type="pct"/>
            <w:gridSpan w:val="3"/>
            <w:tcBorders>
              <w:top w:val="single" w:sz="4" w:space="0" w:color="auto"/>
              <w:left w:val="single" w:sz="4" w:space="0" w:color="auto"/>
              <w:bottom w:val="single" w:sz="4" w:space="0" w:color="auto"/>
              <w:right w:val="single" w:sz="4" w:space="0" w:color="auto"/>
            </w:tcBorders>
            <w:noWrap w:val="0"/>
            <w:vAlign w:val="center"/>
          </w:tcPr>
          <w:p>
            <w:pPr>
              <w:snapToGrid w:val="0"/>
              <w:spacing w:line="360" w:lineRule="auto"/>
              <w:jc w:val="both"/>
              <w:rPr>
                <w:rFonts w:ascii="宋体" w:eastAsia="宋体" w:hAnsi="宋体" w:cs="宋体" w:hint="eastAsia"/>
                <w:color w:val="auto"/>
                <w:sz w:val="21"/>
                <w:szCs w:val="21"/>
                <w:highlight w:val="none"/>
                <w:vertAlign w:val="baseline"/>
                <w:lang w:val="en-US" w:eastAsia="zh-CN"/>
              </w:rPr>
            </w:pPr>
            <w:r>
              <w:rPr>
                <w:rFonts w:ascii="宋体" w:eastAsia="宋体" w:hAnsi="宋体" w:cs="宋体" w:hint="eastAsia"/>
                <w:color w:val="auto"/>
                <w:sz w:val="21"/>
                <w:szCs w:val="21"/>
                <w:highlight w:val="none"/>
                <w:vertAlign w:val="baseline"/>
                <w:lang w:val="en-US" w:eastAsia="zh-CN"/>
              </w:rPr>
              <w:t>指对投标（响应）供应商不具有出资持股关系，但对其存在管理关系的主体。</w:t>
            </w:r>
          </w:p>
        </w:tc>
      </w:tr>
      <w:tr>
        <w:tblPrEx>
          <w:tblW w:w="4998" w:type="pct"/>
          <w:jc w:val="center"/>
          <w:tblCellMar>
            <w:top w:w="0" w:type="dxa"/>
            <w:left w:w="108" w:type="dxa"/>
            <w:bottom w:w="0" w:type="dxa"/>
            <w:right w:w="108" w:type="dxa"/>
          </w:tblCellMar>
        </w:tblPrEx>
        <w:trPr>
          <w:trHeight w:val="455"/>
          <w:jc w:val="center"/>
        </w:trPr>
        <w:tc>
          <w:tcPr>
            <w:tcW w:w="5000" w:type="pct"/>
            <w:gridSpan w:val="8"/>
            <w:tcBorders>
              <w:top w:val="single" w:sz="4" w:space="0" w:color="auto"/>
              <w:left w:val="single" w:sz="4" w:space="0" w:color="auto"/>
              <w:bottom w:val="single" w:sz="4" w:space="0" w:color="auto"/>
              <w:right w:val="single" w:sz="4" w:space="0" w:color="auto"/>
            </w:tcBorders>
            <w:noWrap w:val="0"/>
            <w:vAlign w:val="center"/>
          </w:tcPr>
          <w:p>
            <w:pPr>
              <w:snapToGrid w:val="0"/>
              <w:spacing w:line="360" w:lineRule="auto"/>
              <w:jc w:val="both"/>
              <w:rPr>
                <w:rFonts w:ascii="宋体" w:eastAsia="宋体" w:hAnsi="宋体" w:cs="宋体" w:hint="eastAsia"/>
                <w:color w:val="auto"/>
                <w:sz w:val="21"/>
                <w:szCs w:val="21"/>
                <w:highlight w:val="none"/>
                <w:vertAlign w:val="baseline"/>
                <w:lang w:val="en-US" w:eastAsia="zh-CN"/>
              </w:rPr>
            </w:pPr>
            <w:r>
              <w:rPr>
                <w:rFonts w:ascii="宋体" w:eastAsia="宋体" w:hAnsi="宋体" w:cs="宋体" w:hint="eastAsia"/>
                <w:b/>
                <w:bCs/>
                <w:color w:val="auto"/>
                <w:sz w:val="21"/>
                <w:szCs w:val="21"/>
                <w:highlight w:val="none"/>
                <w:vertAlign w:val="baseline"/>
                <w:lang w:val="en-US" w:eastAsia="zh-CN"/>
              </w:rPr>
              <w:t>说明：同一关联关系类型有多个主体的，应分行填写。</w:t>
            </w:r>
          </w:p>
        </w:tc>
      </w:tr>
    </w:tbl>
    <w:p>
      <w:pPr>
        <w:pStyle w:val="NoSpacing"/>
        <w:rPr>
          <w:rFonts w:ascii="宋体" w:hAnsi="宋体" w:hint="eastAsia"/>
          <w:b/>
          <w:color w:val="FF0000"/>
          <w:sz w:val="28"/>
          <w:szCs w:val="28"/>
        </w:rPr>
      </w:pPr>
    </w:p>
    <w:p>
      <w:pPr>
        <w:pStyle w:val="Heading3"/>
        <w:spacing w:line="360" w:lineRule="auto"/>
        <w:jc w:val="center"/>
        <w:rPr>
          <w:rFonts w:ascii="黑体" w:eastAsia="黑体"/>
          <w:b w:val="0"/>
          <w:sz w:val="24"/>
        </w:rPr>
      </w:pPr>
      <w:r>
        <w:rPr>
          <w:rFonts w:ascii="黑体" w:eastAsia="黑体" w:hint="eastAsia"/>
          <w:b w:val="0"/>
          <w:sz w:val="24"/>
          <w:lang w:val="en-US" w:eastAsia="zh-CN"/>
        </w:rPr>
        <w:t>二</w:t>
      </w:r>
      <w:r>
        <w:rPr>
          <w:rFonts w:ascii="黑体" w:eastAsia="黑体" w:hint="eastAsia"/>
          <w:b w:val="0"/>
          <w:sz w:val="24"/>
        </w:rPr>
        <w:t>、</w:t>
      </w:r>
      <w:bookmarkStart w:id="41" w:name="_Hlk72092499"/>
      <w:r>
        <w:rPr>
          <w:rFonts w:ascii="黑体" w:eastAsia="黑体" w:hint="eastAsia"/>
          <w:b w:val="0"/>
          <w:sz w:val="24"/>
        </w:rPr>
        <w:t>法定代表人（负责人）证明书</w:t>
      </w:r>
      <w:bookmarkEnd w:id="41"/>
    </w:p>
    <w:p>
      <w:pPr>
        <w:spacing w:line="360" w:lineRule="auto"/>
        <w:rPr>
          <w:sz w:val="24"/>
        </w:rPr>
      </w:pPr>
    </w:p>
    <w:p>
      <w:pPr>
        <w:spacing w:line="360" w:lineRule="auto"/>
        <w:ind w:firstLine="420" w:firstLineChars="200"/>
        <w:rPr>
          <w:rFonts w:eastAsia="宋体" w:hint="default"/>
          <w:szCs w:val="21"/>
          <w:lang w:val="en-US" w:eastAsia="zh-CN"/>
        </w:rPr>
      </w:pPr>
      <w:r>
        <w:rPr>
          <w:rFonts w:hint="eastAsia"/>
          <w:szCs w:val="21"/>
          <w:u w:val="single"/>
        </w:rPr>
        <w:t xml:space="preserve">         </w:t>
      </w:r>
      <w:r>
        <w:rPr>
          <w:rFonts w:ascii="Times New Roman" w:eastAsia="宋体" w:hint="eastAsia"/>
          <w:szCs w:val="21"/>
          <w:u w:val="single"/>
          <w:lang w:val="en-US" w:eastAsia="zh-CN"/>
        </w:rPr>
        <w:t xml:space="preserve">  </w:t>
      </w:r>
      <w:r>
        <w:rPr>
          <w:rFonts w:hint="eastAsia"/>
          <w:szCs w:val="21"/>
          <w:u w:val="single"/>
        </w:rPr>
        <w:t xml:space="preserve">   </w:t>
      </w:r>
      <w:r>
        <w:rPr>
          <w:rFonts w:ascii="Times New Roman" w:eastAsia="宋体" w:hint="eastAsia"/>
          <w:szCs w:val="21"/>
          <w:u w:val="single"/>
          <w:lang w:val="en-US" w:eastAsia="zh-CN"/>
        </w:rPr>
        <w:t xml:space="preserve">   </w:t>
      </w:r>
      <w:r>
        <w:rPr>
          <w:rFonts w:eastAsia="宋体" w:hint="eastAsia"/>
          <w:szCs w:val="21"/>
          <w:u w:val="none"/>
          <w:lang w:eastAsia="zh-CN"/>
        </w:rPr>
        <w:t>（</w:t>
      </w:r>
      <w:r>
        <w:rPr>
          <w:rFonts w:ascii="Times New Roman" w:eastAsia="宋体" w:hint="eastAsia"/>
          <w:szCs w:val="21"/>
          <w:u w:val="none"/>
          <w:lang w:val="en-US" w:eastAsia="zh-CN"/>
        </w:rPr>
        <w:t>姓名</w:t>
      </w:r>
      <w:r>
        <w:rPr>
          <w:rFonts w:eastAsia="宋体" w:hint="eastAsia"/>
          <w:szCs w:val="21"/>
          <w:u w:val="none"/>
          <w:lang w:eastAsia="zh-CN"/>
        </w:rPr>
        <w:t>）</w:t>
      </w:r>
      <w:r>
        <w:rPr>
          <w:rFonts w:hint="eastAsia"/>
          <w:szCs w:val="21"/>
        </w:rPr>
        <w:t>，现任我单位</w:t>
      </w:r>
      <w:r>
        <w:rPr>
          <w:rFonts w:hint="eastAsia"/>
          <w:szCs w:val="21"/>
          <w:u w:val="single"/>
        </w:rPr>
        <w:t xml:space="preserve">     </w:t>
      </w:r>
      <w:r>
        <w:rPr>
          <w:rFonts w:ascii="Times New Roman" w:eastAsia="宋体" w:hint="eastAsia"/>
          <w:szCs w:val="21"/>
          <w:u w:val="single"/>
          <w:lang w:val="en-US" w:eastAsia="zh-CN"/>
        </w:rPr>
        <w:t xml:space="preserve">    </w:t>
      </w:r>
      <w:r>
        <w:rPr>
          <w:rFonts w:hint="eastAsia"/>
          <w:szCs w:val="21"/>
          <w:u w:val="single"/>
        </w:rPr>
        <w:t xml:space="preserve">    </w:t>
      </w:r>
      <w:r>
        <w:rPr>
          <w:rFonts w:hint="eastAsia"/>
          <w:szCs w:val="21"/>
        </w:rPr>
        <w:t>职务，为法定代表人（负责人），</w:t>
      </w:r>
      <w:r>
        <w:rPr>
          <w:rFonts w:ascii="Times New Roman" w:eastAsia="宋体" w:hint="eastAsia"/>
          <w:szCs w:val="21"/>
          <w:lang w:val="en-US" w:eastAsia="zh-CN"/>
        </w:rPr>
        <w:t>身份证件</w:t>
      </w:r>
      <w:r>
        <w:rPr>
          <w:rFonts w:hint="eastAsia"/>
          <w:szCs w:val="21"/>
        </w:rPr>
        <w:t>号</w:t>
      </w:r>
      <w:r>
        <w:rPr>
          <w:rFonts w:ascii="Times New Roman" w:eastAsia="宋体" w:hint="eastAsia"/>
          <w:szCs w:val="21"/>
          <w:lang w:val="en-US" w:eastAsia="zh-CN"/>
        </w:rPr>
        <w:t>为</w:t>
      </w:r>
      <w:r>
        <w:rPr>
          <w:rFonts w:hint="eastAsia"/>
          <w:szCs w:val="21"/>
        </w:rPr>
        <w:t>：</w:t>
      </w:r>
      <w:r>
        <w:rPr>
          <w:rFonts w:hint="eastAsia"/>
          <w:szCs w:val="21"/>
          <w:u w:val="single"/>
        </w:rPr>
        <w:t xml:space="preserve">                                     </w:t>
      </w:r>
      <w:r>
        <w:rPr>
          <w:rFonts w:eastAsia="宋体" w:hint="eastAsia"/>
          <w:szCs w:val="21"/>
          <w:u w:val="none"/>
          <w:lang w:eastAsia="zh-CN"/>
        </w:rPr>
        <w:t>，</w:t>
      </w:r>
      <w:r>
        <w:rPr>
          <w:rFonts w:hint="eastAsia"/>
          <w:szCs w:val="21"/>
        </w:rPr>
        <w:t>联系电话：</w:t>
      </w:r>
      <w:r>
        <w:rPr>
          <w:rFonts w:ascii="Times New Roman" w:eastAsia="宋体" w:hint="eastAsia"/>
          <w:szCs w:val="21"/>
          <w:u w:val="single"/>
          <w:lang w:val="en-US" w:eastAsia="zh-CN"/>
        </w:rPr>
        <w:t xml:space="preserve">                </w:t>
      </w:r>
      <w:r>
        <w:rPr>
          <w:rFonts w:ascii="Times New Roman" w:eastAsia="宋体" w:hint="eastAsia"/>
          <w:szCs w:val="21"/>
          <w:lang w:val="en-US" w:eastAsia="zh-CN"/>
        </w:rPr>
        <w:t>。</w:t>
      </w:r>
    </w:p>
    <w:p>
      <w:pPr>
        <w:spacing w:line="360" w:lineRule="auto"/>
        <w:ind w:firstLine="420" w:firstLineChars="200"/>
        <w:rPr>
          <w:szCs w:val="21"/>
        </w:rPr>
      </w:pPr>
      <w:r>
        <w:rPr>
          <w:rFonts w:hint="eastAsia"/>
          <w:szCs w:val="21"/>
        </w:rPr>
        <w:t>特此证明。</w:t>
      </w:r>
    </w:p>
    <w:p>
      <w:pPr>
        <w:spacing w:line="360" w:lineRule="auto"/>
        <w:ind w:firstLine="420" w:firstLineChars="200"/>
        <w:rPr>
          <w:rFonts w:hint="eastAsia"/>
          <w:szCs w:val="21"/>
        </w:rPr>
      </w:pPr>
      <w:r>
        <w:rPr>
          <w:rFonts w:hint="eastAsia"/>
          <w:szCs w:val="21"/>
        </w:rPr>
        <w:t>说明：1、法定代表人为投标人（企业事业单位、国家机关、社会团体）的主要行政负责人。</w:t>
      </w:r>
    </w:p>
    <w:p>
      <w:pPr>
        <w:numPr>
          <w:ilvl w:val="0"/>
          <w:numId w:val="41"/>
        </w:numPr>
        <w:spacing w:line="360" w:lineRule="auto"/>
        <w:ind w:firstLine="420" w:firstLineChars="200"/>
        <w:rPr>
          <w:rFonts w:hint="eastAsia"/>
          <w:color w:val="auto"/>
          <w:szCs w:val="21"/>
          <w:lang w:val="en-US" w:eastAsia="zh-CN"/>
        </w:rPr>
      </w:pPr>
      <w:r>
        <w:rPr>
          <w:rFonts w:eastAsia="宋体" w:hint="eastAsia"/>
          <w:color w:val="auto"/>
          <w:szCs w:val="21"/>
        </w:rPr>
        <w:t>本证明书要供法定代表人（负责人）</w:t>
      </w:r>
      <w:r>
        <w:rPr>
          <w:rFonts w:ascii="Times New Roman" w:eastAsia="宋体" w:hint="eastAsia"/>
          <w:color w:val="auto"/>
          <w:szCs w:val="21"/>
          <w:lang w:val="en-US" w:eastAsia="zh-CN"/>
        </w:rPr>
        <w:t>相关身份证明文件：身份证扫描件（正反两面）；港澳台居民可提供来往通行证扫描件；非中国国籍管辖范围人员，可提供公安部门认可的身份证明材料扫描件。</w:t>
      </w:r>
    </w:p>
    <w:p>
      <w:pPr>
        <w:numPr>
          <w:ilvl w:val="0"/>
          <w:numId w:val="41"/>
        </w:numPr>
        <w:spacing w:line="360" w:lineRule="auto"/>
        <w:ind w:firstLine="420" w:firstLineChars="200"/>
        <w:rPr>
          <w:szCs w:val="21"/>
        </w:rPr>
      </w:pPr>
      <w:r>
        <w:rPr>
          <w:rFonts w:eastAsia="宋体" w:hint="eastAsia"/>
          <w:color w:val="auto"/>
          <w:szCs w:val="21"/>
        </w:rPr>
        <w:t>本项目投标授权代表为法定代表人（负责人）的，无需提供</w:t>
      </w:r>
      <w:r>
        <w:rPr>
          <w:rFonts w:hint="eastAsia"/>
          <w:color w:val="auto"/>
          <w:szCs w:val="21"/>
        </w:rPr>
        <w:t>《投标文件签署授权委托书》</w:t>
      </w:r>
      <w:r>
        <w:rPr>
          <w:rFonts w:eastAsia="宋体" w:hint="eastAsia"/>
          <w:color w:val="auto"/>
          <w:szCs w:val="21"/>
        </w:rPr>
        <w:t>。</w:t>
      </w:r>
    </w:p>
    <w:p>
      <w:pPr>
        <w:numPr>
          <w:ilvl w:val="0"/>
          <w:numId w:val="41"/>
        </w:numPr>
        <w:spacing w:line="360" w:lineRule="auto"/>
        <w:ind w:firstLine="420" w:firstLineChars="200"/>
        <w:rPr>
          <w:szCs w:val="21"/>
        </w:rPr>
      </w:pPr>
      <w:r>
        <w:rPr>
          <w:rFonts w:hint="eastAsia"/>
          <w:szCs w:val="21"/>
        </w:rPr>
        <w:t>内容必须填写真实、清楚，涂改无效，不得转让、买卖。</w:t>
      </w:r>
    </w:p>
    <w:p>
      <w:pPr>
        <w:spacing w:line="360" w:lineRule="auto"/>
      </w:pPr>
      <w:r>
        <w:rPr>
          <w:rFonts w:ascii="宋体" w:hAnsi="宋体" w:cs="宋体" w:hint="eastAsia"/>
          <w:b/>
          <w:szCs w:val="21"/>
        </w:rPr>
        <w:t>附1：要求必须提供法定代表人（负责人）</w:t>
      </w:r>
      <w:r>
        <w:rPr>
          <w:rFonts w:ascii="宋体" w:hAnsi="宋体" w:cs="宋体" w:hint="eastAsia"/>
          <w:b/>
          <w:szCs w:val="21"/>
          <w:lang w:val="en-US" w:eastAsia="zh-CN"/>
        </w:rPr>
        <w:t>证件</w:t>
      </w:r>
      <w:r>
        <w:rPr>
          <w:rFonts w:ascii="宋体" w:hAnsi="宋体" w:cs="宋体" w:hint="eastAsia"/>
          <w:b/>
          <w:szCs w:val="21"/>
        </w:rPr>
        <w:t>扫描件（正反两面）</w:t>
      </w:r>
    </w:p>
    <w:tbl>
      <w:tblPr>
        <w:tblStyle w:val="TableGrid"/>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4"/>
        <w:gridCol w:w="4265"/>
      </w:tblGrid>
      <w:tr>
        <w:tblPrEx>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4264" w:type="dxa"/>
            <w:vAlign w:val="top"/>
          </w:tcPr>
          <w:p>
            <w:pPr>
              <w:spacing w:line="360" w:lineRule="auto"/>
              <w:jc w:val="center"/>
              <w:rPr>
                <w:rFonts w:hint="eastAsia"/>
                <w:lang w:val="en-US" w:eastAsia="zh-CN"/>
              </w:rPr>
            </w:pPr>
            <w:r>
              <w:rPr>
                <w:rFonts w:ascii="Times New Roman" w:eastAsia="宋体" w:hint="eastAsia"/>
                <w:lang w:val="en-US" w:eastAsia="zh-CN"/>
              </w:rPr>
              <w:t>证件扫描件正面</w:t>
            </w:r>
          </w:p>
          <w:p>
            <w:pPr>
              <w:pStyle w:val="BodyText"/>
              <w:jc w:val="center"/>
              <w:rPr>
                <w:rFonts w:hint="eastAsia"/>
                <w:lang w:val="en-US" w:eastAsia="zh-CN"/>
              </w:rPr>
            </w:pPr>
          </w:p>
          <w:p>
            <w:pPr>
              <w:pStyle w:val="BodyText2"/>
              <w:jc w:val="center"/>
              <w:rPr>
                <w:rFonts w:hint="default"/>
                <w:lang w:val="en-US" w:eastAsia="zh-CN"/>
              </w:rPr>
            </w:pPr>
          </w:p>
        </w:tc>
        <w:tc>
          <w:tcPr>
            <w:tcW w:w="4265" w:type="dxa"/>
            <w:vAlign w:val="top"/>
          </w:tcPr>
          <w:p>
            <w:pPr>
              <w:spacing w:line="360" w:lineRule="auto"/>
              <w:jc w:val="center"/>
              <w:rPr>
                <w:rFonts w:hint="eastAsia"/>
                <w:lang w:val="en-US" w:eastAsia="zh-CN"/>
              </w:rPr>
            </w:pPr>
            <w:r>
              <w:rPr>
                <w:rFonts w:ascii="Times New Roman" w:eastAsia="宋体" w:hint="eastAsia"/>
                <w:lang w:val="en-US" w:eastAsia="zh-CN"/>
              </w:rPr>
              <w:t>证件扫描件反面</w:t>
            </w:r>
          </w:p>
          <w:p>
            <w:pPr>
              <w:pStyle w:val="BodyText"/>
              <w:jc w:val="center"/>
              <w:rPr>
                <w:rFonts w:hint="eastAsia"/>
                <w:lang w:val="en-US" w:eastAsia="zh-CN"/>
              </w:rPr>
            </w:pPr>
          </w:p>
          <w:p>
            <w:pPr>
              <w:pStyle w:val="BodyText2"/>
              <w:jc w:val="center"/>
              <w:rPr>
                <w:rFonts w:hint="eastAsia"/>
                <w:sz w:val="24"/>
                <w:vertAlign w:val="baseline"/>
                <w:lang w:val="en-US" w:eastAsia="zh-CN"/>
              </w:rPr>
            </w:pPr>
          </w:p>
        </w:tc>
      </w:tr>
    </w:tbl>
    <w:p>
      <w:pPr>
        <w:keepNext/>
        <w:keepLines/>
        <w:spacing w:line="360" w:lineRule="auto"/>
        <w:rPr>
          <w:rFonts w:ascii="宋体" w:hAnsi="宋体" w:cs="宋体" w:hint="eastAsia"/>
          <w:b/>
          <w:szCs w:val="21"/>
          <w:highlight w:val="yellow"/>
        </w:rPr>
      </w:pPr>
      <w:r>
        <w:rPr>
          <w:rFonts w:ascii="宋体" w:hAnsi="宋体" w:cs="宋体" w:hint="eastAsia"/>
          <w:b/>
          <w:szCs w:val="21"/>
          <w:highlight w:val="yellow"/>
        </w:rPr>
        <w:t>附2：提供法定代表人（负责人）社保证明文件</w:t>
      </w:r>
    </w:p>
    <w:p>
      <w:pPr>
        <w:keepNext/>
        <w:keepLines/>
        <w:numPr>
          <w:ilvl w:val="255"/>
          <w:numId w:val="0"/>
        </w:numPr>
        <w:spacing w:line="360" w:lineRule="auto"/>
        <w:ind w:left="600" w:firstLine="0" w:leftChars="0" w:firstLineChars="0"/>
        <w:rPr>
          <w:rFonts w:ascii="宋体" w:hAnsi="宋体" w:cs="宋体" w:hint="eastAsia"/>
          <w:b/>
          <w:szCs w:val="21"/>
          <w:highlight w:val="yellow"/>
        </w:rPr>
      </w:pPr>
      <w:r>
        <w:rPr>
          <w:rFonts w:ascii="宋体" w:hAnsi="宋体" w:cs="宋体" w:hint="eastAsia"/>
          <w:b/>
          <w:szCs w:val="21"/>
          <w:highlight w:val="yellow"/>
        </w:rPr>
        <w:t>1.提供开标日前近</w:t>
      </w:r>
      <w:r>
        <w:rPr>
          <w:rFonts w:ascii="宋体" w:hAnsi="宋体" w:cs="宋体" w:hint="eastAsia"/>
          <w:b/>
          <w:szCs w:val="21"/>
          <w:highlight w:val="yellow"/>
          <w:lang w:val="en-US" w:eastAsia="zh-CN"/>
        </w:rPr>
        <w:t>一</w:t>
      </w:r>
      <w:r>
        <w:rPr>
          <w:rFonts w:ascii="宋体" w:hAnsi="宋体" w:cs="宋体" w:hint="eastAsia"/>
          <w:b/>
          <w:szCs w:val="21"/>
          <w:highlight w:val="yellow"/>
        </w:rPr>
        <w:t>个月</w:t>
      </w:r>
      <w:r>
        <w:rPr>
          <w:rFonts w:ascii="宋体" w:hAnsi="宋体" w:cs="宋体" w:hint="eastAsia"/>
          <w:b/>
          <w:szCs w:val="21"/>
          <w:highlight w:val="yellow"/>
          <w:lang w:val="en-US" w:eastAsia="zh-CN"/>
        </w:rPr>
        <w:t>载有</w:t>
      </w:r>
      <w:r>
        <w:rPr>
          <w:rFonts w:ascii="宋体" w:hAnsi="宋体" w:cs="宋体" w:hint="eastAsia"/>
          <w:b/>
          <w:szCs w:val="21"/>
          <w:highlight w:val="yellow"/>
        </w:rPr>
        <w:t>社保部门公章的社保缴交证明材料；</w:t>
      </w:r>
    </w:p>
    <w:p>
      <w:pPr>
        <w:keepNext/>
        <w:keepLines/>
        <w:numPr>
          <w:ilvl w:val="255"/>
          <w:numId w:val="0"/>
        </w:numPr>
        <w:spacing w:line="360" w:lineRule="auto"/>
        <w:ind w:left="600" w:firstLine="0" w:leftChars="0" w:firstLineChars="0"/>
        <w:rPr>
          <w:rFonts w:ascii="宋体" w:hAnsi="宋体" w:cs="宋体" w:hint="eastAsia"/>
          <w:b/>
          <w:szCs w:val="21"/>
          <w:highlight w:val="yellow"/>
        </w:rPr>
      </w:pPr>
      <w:r>
        <w:rPr>
          <w:rFonts w:ascii="宋体" w:hAnsi="宋体" w:cs="宋体" w:hint="eastAsia"/>
          <w:b/>
          <w:szCs w:val="21"/>
          <w:highlight w:val="yellow"/>
        </w:rPr>
        <w:t>2.若供应商成立不足一个月，需提供成立情况说明函（格式自拟），无需提供相关人员社保；</w:t>
      </w:r>
    </w:p>
    <w:p>
      <w:pPr>
        <w:keepNext/>
        <w:keepLines/>
        <w:numPr>
          <w:ilvl w:val="255"/>
          <w:numId w:val="0"/>
        </w:numPr>
        <w:spacing w:line="360" w:lineRule="auto"/>
        <w:ind w:left="600" w:firstLine="0" w:leftChars="0" w:firstLineChars="0"/>
        <w:rPr>
          <w:rFonts w:ascii="Times New Roman" w:eastAsia="宋体" w:hAnsi="Times New Roman" w:cs="Times New Roman" w:hint="default"/>
          <w:b/>
          <w:color w:val="FF0000"/>
          <w:kern w:val="2"/>
          <w:sz w:val="21"/>
          <w:szCs w:val="21"/>
          <w:highlight w:val="yellow"/>
          <w:lang w:val="en-US" w:eastAsia="zh-CN" w:bidi="ar-SA"/>
        </w:rPr>
      </w:pPr>
      <w:r>
        <w:rPr>
          <w:rFonts w:ascii="宋体" w:hAnsi="宋体" w:cs="宋体" w:hint="eastAsia"/>
          <w:b/>
          <w:szCs w:val="21"/>
          <w:highlight w:val="yellow"/>
        </w:rPr>
        <w:t>3.如依法不需要缴纳社会保险的，应提供相应文件证明</w:t>
      </w:r>
      <w:r>
        <w:rPr>
          <w:rFonts w:hint="eastAsia"/>
        </w:rPr>
        <w:t>；</w:t>
      </w:r>
    </w:p>
    <w:p>
      <w:pPr>
        <w:pStyle w:val="NoSpacing"/>
        <w:spacing w:line="360" w:lineRule="auto"/>
        <w:rPr>
          <w:rFonts w:ascii="黑体" w:eastAsia="黑体" w:hAnsi="黑体" w:cs="黑体" w:hint="eastAsia"/>
          <w:b/>
          <w:bCs/>
          <w:color w:val="auto"/>
          <w:sz w:val="24"/>
          <w:szCs w:val="24"/>
          <w:u w:val="none"/>
          <w:lang w:val="en-US" w:eastAsia="zh-CN"/>
        </w:rPr>
      </w:pPr>
    </w:p>
    <w:p>
      <w:pPr>
        <w:pStyle w:val="NoSpacing"/>
        <w:spacing w:line="360" w:lineRule="auto"/>
        <w:rPr>
          <w:sz w:val="24"/>
        </w:rPr>
      </w:pPr>
      <w:r>
        <w:rPr>
          <w:rFonts w:ascii="黑体" w:eastAsia="黑体" w:hAnsi="黑体" w:cs="黑体" w:hint="eastAsia"/>
          <w:b/>
          <w:bCs/>
          <w:color w:val="auto"/>
          <w:sz w:val="24"/>
          <w:szCs w:val="24"/>
          <w:u w:val="none"/>
          <w:lang w:val="en-US" w:eastAsia="zh-CN"/>
        </w:rPr>
        <w:t>温馨提示</w:t>
      </w:r>
      <w:r>
        <w:rPr>
          <w:rFonts w:ascii="黑体" w:eastAsia="黑体" w:hAnsi="黑体" w:cs="黑体" w:hint="eastAsia"/>
          <w:color w:val="auto"/>
          <w:sz w:val="24"/>
          <w:szCs w:val="24"/>
          <w:u w:val="none"/>
          <w:lang w:val="en-US" w:eastAsia="zh-CN"/>
        </w:rPr>
        <w:t>：</w:t>
      </w:r>
      <w:r>
        <w:rPr>
          <w:rFonts w:ascii="Times New Roman" w:eastAsia="宋体" w:hAnsi="Times New Roman" w:cs="Times New Roman" w:hint="eastAsia"/>
          <w:kern w:val="2"/>
          <w:sz w:val="21"/>
          <w:szCs w:val="21"/>
          <w:lang w:val="en-US" w:eastAsia="zh-CN" w:bidi="ar-SA"/>
        </w:rPr>
        <w:t>为避免出现《深圳经济特区政府采购条例实施细则》第七十五条第二项所列情形，请投标供应商核实</w:t>
      </w:r>
      <w:r>
        <w:rPr>
          <w:rFonts w:ascii="Times New Roman" w:hAnsi="Times New Roman" w:cs="Times New Roman" w:hint="eastAsia"/>
          <w:kern w:val="2"/>
          <w:sz w:val="21"/>
          <w:szCs w:val="21"/>
          <w:lang w:val="en-US" w:eastAsia="zh-CN" w:bidi="ar-SA"/>
        </w:rPr>
        <w:t>贵单位</w:t>
      </w:r>
      <w:r>
        <w:rPr>
          <w:rFonts w:ascii="Times New Roman" w:eastAsia="宋体" w:hAnsi="Times New Roman" w:cs="Times New Roman" w:hint="eastAsia"/>
          <w:kern w:val="2"/>
          <w:sz w:val="21"/>
          <w:szCs w:val="21"/>
          <w:lang w:val="en-US" w:eastAsia="zh-CN" w:bidi="ar-SA"/>
        </w:rPr>
        <w:t>法定代表人、本项目投标授权代表人、项目负责人（如有）、主要技术人员（如有）等是否在</w:t>
      </w:r>
      <w:r>
        <w:rPr>
          <w:rFonts w:ascii="Times New Roman" w:hAnsi="Times New Roman" w:cs="Times New Roman" w:hint="eastAsia"/>
          <w:kern w:val="2"/>
          <w:sz w:val="21"/>
          <w:szCs w:val="21"/>
          <w:lang w:val="en-US" w:eastAsia="zh-CN" w:bidi="ar-SA"/>
        </w:rPr>
        <w:t>贵单位</w:t>
      </w:r>
      <w:r>
        <w:rPr>
          <w:rFonts w:ascii="Times New Roman" w:eastAsia="宋体" w:hAnsi="Times New Roman" w:cs="Times New Roman" w:hint="eastAsia"/>
          <w:kern w:val="2"/>
          <w:sz w:val="21"/>
          <w:szCs w:val="21"/>
          <w:lang w:val="en-US" w:eastAsia="zh-CN" w:bidi="ar-SA"/>
        </w:rPr>
        <w:t>缴纳社会保险。</w:t>
      </w:r>
    </w:p>
    <w:p>
      <w:pPr>
        <w:spacing w:line="360" w:lineRule="auto"/>
        <w:rPr>
          <w:sz w:val="24"/>
        </w:rPr>
      </w:pPr>
    </w:p>
    <w:p>
      <w:pPr>
        <w:pStyle w:val="Heading3"/>
        <w:spacing w:before="120" w:after="120" w:line="360" w:lineRule="auto"/>
        <w:jc w:val="center"/>
        <w:rPr>
          <w:rFonts w:ascii="黑体" w:eastAsia="黑体"/>
          <w:b w:val="0"/>
          <w:sz w:val="24"/>
        </w:rPr>
      </w:pPr>
      <w:r>
        <w:rPr>
          <w:rFonts w:ascii="黑体" w:eastAsia="黑体" w:hint="eastAsia"/>
          <w:b w:val="0"/>
          <w:sz w:val="24"/>
          <w:lang w:val="en-US" w:eastAsia="zh-CN"/>
        </w:rPr>
        <w:t>三</w:t>
      </w:r>
      <w:r>
        <w:rPr>
          <w:rFonts w:ascii="黑体" w:eastAsia="黑体" w:hint="eastAsia"/>
          <w:b w:val="0"/>
          <w:sz w:val="24"/>
        </w:rPr>
        <w:t>、投标文件签署授权委托书</w:t>
      </w:r>
    </w:p>
    <w:p>
      <w:pPr>
        <w:spacing w:line="360" w:lineRule="auto"/>
        <w:ind w:firstLine="420" w:firstLineChars="200"/>
        <w:rPr>
          <w:rFonts w:hint="eastAsia"/>
          <w:szCs w:val="21"/>
        </w:rPr>
      </w:pPr>
      <w:r>
        <w:rPr>
          <w:rFonts w:hint="eastAsia"/>
          <w:szCs w:val="21"/>
        </w:rPr>
        <w:t>本授权委托书声明：我</w:t>
      </w:r>
      <w:r>
        <w:rPr>
          <w:rFonts w:hint="eastAsia"/>
          <w:szCs w:val="21"/>
          <w:u w:val="single"/>
        </w:rPr>
        <w:t xml:space="preserve">           </w:t>
      </w:r>
      <w:r>
        <w:rPr>
          <w:rFonts w:hint="eastAsia"/>
          <w:szCs w:val="21"/>
        </w:rPr>
        <w:t>（姓名）系</w:t>
      </w:r>
      <w:r>
        <w:rPr>
          <w:rFonts w:hint="eastAsia"/>
          <w:szCs w:val="21"/>
          <w:u w:val="single"/>
        </w:rPr>
        <w:t xml:space="preserve">             </w:t>
      </w:r>
      <w:r>
        <w:rPr>
          <w:rFonts w:hint="eastAsia"/>
          <w:szCs w:val="21"/>
        </w:rPr>
        <w:t>（投标人名称）的法定代表人（负责人），现授权委托</w:t>
      </w:r>
      <w:r>
        <w:rPr>
          <w:rFonts w:hint="eastAsia"/>
          <w:szCs w:val="21"/>
          <w:u w:val="single"/>
        </w:rPr>
        <w:t xml:space="preserve">            </w:t>
      </w:r>
      <w:r>
        <w:rPr>
          <w:rFonts w:hint="eastAsia"/>
          <w:szCs w:val="21"/>
        </w:rPr>
        <w:t>（姓名）为我单位签署本项目已递交的投标文件的法定代表人（负责人）的授权委托代理人，代理人全权代表我所签署的本项目已递交的投标文件内容我均承认。</w:t>
      </w:r>
    </w:p>
    <w:p>
      <w:pPr>
        <w:spacing w:line="360" w:lineRule="auto"/>
        <w:ind w:firstLine="420" w:firstLineChars="200"/>
        <w:rPr>
          <w:rFonts w:hint="eastAsia"/>
          <w:szCs w:val="21"/>
        </w:rPr>
      </w:pPr>
      <w:r>
        <w:rPr>
          <w:rFonts w:hint="eastAsia"/>
          <w:szCs w:val="21"/>
        </w:rPr>
        <w:t>代理人无转委托权，特此委托。</w:t>
      </w:r>
    </w:p>
    <w:p>
      <w:pPr>
        <w:spacing w:line="360" w:lineRule="auto"/>
        <w:ind w:firstLine="420" w:firstLineChars="200"/>
        <w:rPr>
          <w:rFonts w:hint="eastAsia"/>
          <w:szCs w:val="21"/>
        </w:rPr>
      </w:pPr>
    </w:p>
    <w:p>
      <w:pPr>
        <w:spacing w:line="360" w:lineRule="auto"/>
        <w:ind w:firstLine="420" w:firstLineChars="200"/>
        <w:rPr>
          <w:rFonts w:hint="eastAsia"/>
          <w:szCs w:val="21"/>
          <w:u w:val="none"/>
          <w:lang w:eastAsia="zh-CN"/>
        </w:rPr>
      </w:pPr>
      <w:r>
        <w:rPr>
          <w:rFonts w:hint="eastAsia"/>
          <w:szCs w:val="21"/>
        </w:rPr>
        <w:t>代理人</w:t>
      </w:r>
      <w:r>
        <w:rPr>
          <w:rFonts w:eastAsia="宋体" w:hint="eastAsia"/>
          <w:szCs w:val="21"/>
          <w:lang w:eastAsia="zh-CN"/>
        </w:rPr>
        <w:t>：</w:t>
      </w:r>
      <w:r>
        <w:rPr>
          <w:rFonts w:hint="eastAsia"/>
          <w:szCs w:val="21"/>
          <w:u w:val="single"/>
        </w:rPr>
        <w:t xml:space="preserve">      </w:t>
      </w:r>
      <w:r>
        <w:rPr>
          <w:rFonts w:ascii="Times New Roman" w:eastAsia="宋体" w:hint="eastAsia"/>
          <w:szCs w:val="21"/>
          <w:u w:val="single"/>
          <w:lang w:val="en-US" w:eastAsia="zh-CN"/>
        </w:rPr>
        <w:t xml:space="preserve">  </w:t>
      </w:r>
      <w:r>
        <w:rPr>
          <w:rFonts w:hint="eastAsia"/>
          <w:szCs w:val="21"/>
          <w:u w:val="single"/>
        </w:rPr>
        <w:t xml:space="preserve">      </w:t>
      </w:r>
      <w:r>
        <w:rPr>
          <w:rFonts w:eastAsia="宋体" w:hint="eastAsia"/>
          <w:szCs w:val="21"/>
          <w:u w:val="none"/>
          <w:lang w:eastAsia="zh-CN"/>
        </w:rPr>
        <w:t>；</w:t>
      </w:r>
    </w:p>
    <w:p>
      <w:pPr>
        <w:spacing w:line="360" w:lineRule="auto"/>
        <w:ind w:firstLine="420" w:firstLineChars="200"/>
        <w:rPr>
          <w:rFonts w:hint="eastAsia"/>
          <w:szCs w:val="21"/>
          <w:u w:val="none"/>
          <w:lang w:eastAsia="zh-CN"/>
        </w:rPr>
      </w:pPr>
      <w:r>
        <w:rPr>
          <w:rFonts w:hint="eastAsia"/>
          <w:szCs w:val="21"/>
        </w:rPr>
        <w:t>身份</w:t>
      </w:r>
      <w:r>
        <w:rPr>
          <w:rFonts w:ascii="Times New Roman" w:eastAsia="宋体" w:hint="eastAsia"/>
          <w:szCs w:val="21"/>
          <w:lang w:val="en-US" w:eastAsia="zh-CN"/>
        </w:rPr>
        <w:t>证件号</w:t>
      </w:r>
      <w:r>
        <w:rPr>
          <w:rFonts w:hint="eastAsia"/>
          <w:szCs w:val="21"/>
        </w:rPr>
        <w:t>：</w:t>
      </w:r>
      <w:r>
        <w:rPr>
          <w:rFonts w:hint="eastAsia"/>
          <w:szCs w:val="21"/>
          <w:u w:val="single"/>
        </w:rPr>
        <w:t xml:space="preserve">                        </w:t>
      </w:r>
      <w:r>
        <w:rPr>
          <w:rFonts w:eastAsia="宋体" w:hint="eastAsia"/>
          <w:szCs w:val="21"/>
          <w:u w:val="none"/>
          <w:lang w:eastAsia="zh-CN"/>
        </w:rPr>
        <w:t>，</w:t>
      </w:r>
      <w:r>
        <w:rPr>
          <w:rFonts w:hint="eastAsia"/>
          <w:szCs w:val="21"/>
        </w:rPr>
        <w:t>职务：</w:t>
      </w:r>
      <w:r>
        <w:rPr>
          <w:rFonts w:hint="eastAsia"/>
          <w:szCs w:val="21"/>
          <w:u w:val="single"/>
        </w:rPr>
        <w:t xml:space="preserve">   </w:t>
      </w:r>
      <w:r>
        <w:rPr>
          <w:rFonts w:ascii="Times New Roman" w:eastAsia="宋体" w:hint="eastAsia"/>
          <w:szCs w:val="21"/>
          <w:u w:val="single"/>
          <w:lang w:val="en-US" w:eastAsia="zh-CN"/>
        </w:rPr>
        <w:t xml:space="preserve">         </w:t>
      </w:r>
      <w:r>
        <w:rPr>
          <w:rFonts w:hint="eastAsia"/>
          <w:szCs w:val="21"/>
          <w:u w:val="single"/>
        </w:rPr>
        <w:t xml:space="preserve">    </w:t>
      </w:r>
      <w:r>
        <w:rPr>
          <w:rFonts w:eastAsia="宋体" w:hint="eastAsia"/>
          <w:szCs w:val="21"/>
          <w:u w:val="none"/>
          <w:lang w:eastAsia="zh-CN"/>
        </w:rPr>
        <w:t>；</w:t>
      </w:r>
    </w:p>
    <w:p>
      <w:pPr>
        <w:spacing w:line="360" w:lineRule="auto"/>
        <w:ind w:firstLine="420" w:firstLineChars="200"/>
        <w:rPr>
          <w:rFonts w:hint="default"/>
          <w:szCs w:val="21"/>
          <w:u w:val="none"/>
          <w:lang w:val="en-US" w:eastAsia="zh-CN"/>
        </w:rPr>
      </w:pPr>
      <w:r>
        <w:rPr>
          <w:rFonts w:hint="eastAsia"/>
          <w:szCs w:val="21"/>
        </w:rPr>
        <w:t>联系电话：</w:t>
      </w:r>
      <w:r>
        <w:rPr>
          <w:rFonts w:hint="eastAsia"/>
          <w:szCs w:val="21"/>
          <w:u w:val="single"/>
        </w:rPr>
        <w:t xml:space="preserve">         </w:t>
      </w:r>
      <w:r>
        <w:rPr>
          <w:rFonts w:eastAsia="宋体" w:hint="eastAsia"/>
          <w:szCs w:val="21"/>
          <w:lang w:eastAsia="zh-CN"/>
        </w:rPr>
        <w:t>，</w:t>
      </w:r>
      <w:r>
        <w:rPr>
          <w:rFonts w:hint="eastAsia"/>
          <w:szCs w:val="21"/>
        </w:rPr>
        <w:t>手机：</w:t>
      </w:r>
      <w:r>
        <w:rPr>
          <w:rFonts w:hint="eastAsia"/>
          <w:szCs w:val="21"/>
          <w:u w:val="single"/>
        </w:rPr>
        <w:t xml:space="preserve">                </w:t>
      </w:r>
      <w:r>
        <w:rPr>
          <w:rFonts w:eastAsia="宋体" w:hint="eastAsia"/>
          <w:szCs w:val="21"/>
          <w:u w:val="none"/>
          <w:lang w:eastAsia="zh-CN"/>
        </w:rPr>
        <w:t>，</w:t>
      </w:r>
      <w:r>
        <w:rPr>
          <w:rFonts w:ascii="Times New Roman" w:eastAsia="宋体" w:hint="eastAsia"/>
          <w:szCs w:val="21"/>
          <w:u w:val="none"/>
          <w:lang w:val="en-US" w:eastAsia="zh-CN"/>
        </w:rPr>
        <w:t>电子邮箱：</w:t>
      </w:r>
      <w:r>
        <w:rPr>
          <w:rFonts w:hint="eastAsia"/>
          <w:szCs w:val="21"/>
          <w:u w:val="single"/>
        </w:rPr>
        <w:t xml:space="preserve">            </w:t>
      </w:r>
      <w:r>
        <w:rPr>
          <w:rFonts w:ascii="Times New Roman" w:eastAsia="宋体" w:hint="eastAsia"/>
          <w:szCs w:val="21"/>
          <w:u w:val="single"/>
          <w:lang w:val="en-US" w:eastAsia="zh-CN"/>
        </w:rPr>
        <w:t xml:space="preserve">  </w:t>
      </w:r>
      <w:r>
        <w:rPr>
          <w:rFonts w:hint="eastAsia"/>
          <w:szCs w:val="21"/>
          <w:u w:val="single"/>
        </w:rPr>
        <w:t xml:space="preserve">       </w:t>
      </w:r>
      <w:r>
        <w:rPr>
          <w:rFonts w:eastAsia="宋体" w:hint="eastAsia"/>
          <w:szCs w:val="21"/>
          <w:u w:val="none"/>
          <w:lang w:eastAsia="zh-CN"/>
        </w:rPr>
        <w:t>；</w:t>
      </w:r>
    </w:p>
    <w:p>
      <w:pPr>
        <w:spacing w:line="360" w:lineRule="auto"/>
        <w:ind w:firstLine="420" w:firstLineChars="200"/>
        <w:rPr>
          <w:rFonts w:eastAsia="宋体" w:hint="eastAsia"/>
          <w:szCs w:val="21"/>
          <w:lang w:eastAsia="zh-CN"/>
        </w:rPr>
      </w:pPr>
      <w:r>
        <w:rPr>
          <w:rFonts w:hint="eastAsia"/>
          <w:szCs w:val="21"/>
        </w:rPr>
        <w:t>授权委托日期：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 xml:space="preserve">月 </w:t>
      </w:r>
      <w:r>
        <w:rPr>
          <w:rFonts w:hint="eastAsia"/>
          <w:szCs w:val="21"/>
          <w:u w:val="single"/>
        </w:rPr>
        <w:t xml:space="preserve">      </w:t>
      </w:r>
      <w:r>
        <w:rPr>
          <w:rFonts w:hint="eastAsia"/>
          <w:szCs w:val="21"/>
        </w:rPr>
        <w:t>日</w:t>
      </w:r>
      <w:r>
        <w:rPr>
          <w:rFonts w:eastAsia="宋体" w:hint="eastAsia"/>
          <w:szCs w:val="21"/>
          <w:lang w:eastAsia="zh-CN"/>
        </w:rPr>
        <w:t>。</w:t>
      </w:r>
    </w:p>
    <w:p>
      <w:pPr>
        <w:spacing w:line="360" w:lineRule="auto"/>
        <w:ind w:firstLine="420" w:firstLineChars="200"/>
        <w:rPr>
          <w:b/>
          <w:color w:val="FF0000"/>
          <w:szCs w:val="21"/>
        </w:rPr>
      </w:pPr>
      <w:r>
        <w:rPr>
          <w:rFonts w:hint="eastAsia"/>
          <w:b/>
          <w:color w:val="FF0000"/>
          <w:szCs w:val="21"/>
        </w:rPr>
        <w:t>附：请提供代理人身份证扫描件（正反两面）；港澳台居民可提供来往通行证扫描件；非中国国籍管辖范围人员，可提供公安部门认可的身份证明材料扫描件。</w:t>
      </w:r>
    </w:p>
    <w:tbl>
      <w:tblPr>
        <w:tblStyle w:val="TableGrid"/>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4"/>
        <w:gridCol w:w="4265"/>
      </w:tblGrid>
      <w:tr>
        <w:tblPrEx>
          <w:tblW w:w="85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4264" w:type="dxa"/>
            <w:vAlign w:val="top"/>
          </w:tcPr>
          <w:p>
            <w:pPr>
              <w:spacing w:line="360" w:lineRule="auto"/>
              <w:jc w:val="center"/>
              <w:rPr>
                <w:rFonts w:hint="eastAsia"/>
                <w:lang w:val="en-US" w:eastAsia="zh-CN"/>
              </w:rPr>
            </w:pPr>
            <w:r>
              <w:rPr>
                <w:rFonts w:ascii="Times New Roman" w:eastAsia="宋体" w:hint="eastAsia"/>
                <w:lang w:val="en-US" w:eastAsia="zh-CN"/>
              </w:rPr>
              <w:t>证件扫描件正面</w:t>
            </w:r>
          </w:p>
          <w:p>
            <w:pPr>
              <w:pStyle w:val="BodyText"/>
              <w:jc w:val="center"/>
              <w:rPr>
                <w:rFonts w:hint="eastAsia"/>
                <w:lang w:val="en-US" w:eastAsia="zh-CN"/>
              </w:rPr>
            </w:pPr>
          </w:p>
          <w:p>
            <w:pPr>
              <w:pStyle w:val="BodyText2"/>
              <w:jc w:val="center"/>
              <w:rPr>
                <w:rFonts w:hint="default"/>
                <w:lang w:val="en-US" w:eastAsia="zh-CN"/>
              </w:rPr>
            </w:pPr>
          </w:p>
        </w:tc>
        <w:tc>
          <w:tcPr>
            <w:tcW w:w="4265" w:type="dxa"/>
            <w:vAlign w:val="top"/>
          </w:tcPr>
          <w:p>
            <w:pPr>
              <w:spacing w:line="360" w:lineRule="auto"/>
              <w:jc w:val="center"/>
              <w:rPr>
                <w:rFonts w:hint="eastAsia"/>
                <w:lang w:val="en-US" w:eastAsia="zh-CN"/>
              </w:rPr>
            </w:pPr>
            <w:r>
              <w:rPr>
                <w:rFonts w:ascii="Times New Roman" w:eastAsia="宋体" w:hint="eastAsia"/>
                <w:lang w:val="en-US" w:eastAsia="zh-CN"/>
              </w:rPr>
              <w:t>证件扫描件反面</w:t>
            </w:r>
          </w:p>
          <w:p>
            <w:pPr>
              <w:pStyle w:val="BodyText"/>
              <w:jc w:val="center"/>
              <w:rPr>
                <w:rFonts w:hint="eastAsia"/>
                <w:lang w:val="en-US" w:eastAsia="zh-CN"/>
              </w:rPr>
            </w:pPr>
          </w:p>
          <w:p>
            <w:pPr>
              <w:pStyle w:val="BodyText2"/>
              <w:jc w:val="center"/>
              <w:rPr>
                <w:rFonts w:hint="eastAsia"/>
                <w:sz w:val="24"/>
                <w:vertAlign w:val="baseline"/>
                <w:lang w:val="en-US" w:eastAsia="zh-CN"/>
              </w:rPr>
            </w:pPr>
          </w:p>
        </w:tc>
      </w:tr>
    </w:tbl>
    <w:p>
      <w:pPr>
        <w:keepNext/>
        <w:keepLines/>
        <w:spacing w:line="360" w:lineRule="auto"/>
        <w:rPr>
          <w:rFonts w:ascii="宋体" w:hAnsi="宋体" w:cs="宋体" w:hint="eastAsia"/>
          <w:b/>
          <w:szCs w:val="21"/>
          <w:highlight w:val="yellow"/>
        </w:rPr>
      </w:pPr>
      <w:r>
        <w:rPr>
          <w:rFonts w:ascii="宋体" w:hAnsi="宋体" w:cs="宋体" w:hint="eastAsia"/>
          <w:b/>
          <w:szCs w:val="21"/>
          <w:highlight w:val="yellow"/>
        </w:rPr>
        <w:t>附2：提供</w:t>
      </w:r>
      <w:r>
        <w:rPr>
          <w:rFonts w:hint="eastAsia"/>
          <w:b/>
          <w:color w:val="FF0000"/>
          <w:szCs w:val="21"/>
          <w:highlight w:val="yellow"/>
        </w:rPr>
        <w:t>代理人</w:t>
      </w:r>
      <w:r>
        <w:rPr>
          <w:rFonts w:ascii="宋体" w:hAnsi="宋体" w:cs="宋体" w:hint="eastAsia"/>
          <w:b/>
          <w:szCs w:val="21"/>
          <w:highlight w:val="yellow"/>
        </w:rPr>
        <w:t>社保证明文件</w:t>
      </w:r>
    </w:p>
    <w:p>
      <w:pPr>
        <w:pStyle w:val="Heading2"/>
        <w:spacing w:line="360" w:lineRule="auto"/>
        <w:jc w:val="both"/>
        <w:rPr>
          <w:rFonts w:ascii="宋体" w:hAnsi="宋体" w:cs="宋体" w:hint="eastAsia"/>
          <w:b/>
          <w:kern w:val="2"/>
          <w:sz w:val="21"/>
          <w:szCs w:val="21"/>
          <w:highlight w:val="yellow"/>
        </w:rPr>
      </w:pPr>
      <w:r>
        <w:rPr>
          <w:rFonts w:ascii="宋体" w:hAnsi="宋体" w:cs="宋体" w:hint="eastAsia"/>
          <w:b/>
          <w:kern w:val="2"/>
          <w:sz w:val="21"/>
          <w:szCs w:val="21"/>
          <w:highlight w:val="yellow"/>
        </w:rPr>
        <w:t>1.提供开标日前近</w:t>
      </w:r>
      <w:r>
        <w:rPr>
          <w:rFonts w:ascii="宋体" w:hAnsi="宋体" w:cs="宋体" w:hint="eastAsia"/>
          <w:b/>
          <w:kern w:val="2"/>
          <w:sz w:val="21"/>
          <w:szCs w:val="21"/>
          <w:highlight w:val="yellow"/>
          <w:lang w:val="en-US" w:eastAsia="zh-CN"/>
        </w:rPr>
        <w:t>一</w:t>
      </w:r>
      <w:r>
        <w:rPr>
          <w:rFonts w:ascii="宋体" w:hAnsi="宋体" w:cs="宋体" w:hint="eastAsia"/>
          <w:b/>
          <w:kern w:val="2"/>
          <w:sz w:val="21"/>
          <w:szCs w:val="21"/>
          <w:highlight w:val="yellow"/>
        </w:rPr>
        <w:t>个月载有社保部门公章的社保缴交证明材料；</w:t>
      </w:r>
    </w:p>
    <w:p>
      <w:pPr>
        <w:pStyle w:val="Heading2"/>
        <w:spacing w:line="360" w:lineRule="auto"/>
        <w:jc w:val="both"/>
        <w:rPr>
          <w:rFonts w:ascii="宋体" w:hAnsi="宋体" w:cs="宋体" w:hint="eastAsia"/>
          <w:b/>
          <w:kern w:val="2"/>
          <w:sz w:val="21"/>
          <w:szCs w:val="21"/>
          <w:highlight w:val="yellow"/>
        </w:rPr>
      </w:pPr>
      <w:r>
        <w:rPr>
          <w:rFonts w:ascii="宋体" w:hAnsi="宋体" w:cs="宋体" w:hint="eastAsia"/>
          <w:b/>
          <w:kern w:val="2"/>
          <w:sz w:val="21"/>
          <w:szCs w:val="21"/>
          <w:highlight w:val="yellow"/>
        </w:rPr>
        <w:t>2.若供应商成立不足一个月，需提供成立情况说明函（格式自拟），无需提供相关人员社保；</w:t>
      </w:r>
    </w:p>
    <w:p>
      <w:pPr>
        <w:pStyle w:val="Heading2"/>
        <w:spacing w:line="360" w:lineRule="auto"/>
        <w:jc w:val="both"/>
        <w:rPr>
          <w:rFonts w:ascii="宋体" w:hAnsi="宋体" w:cs="宋体" w:hint="eastAsia"/>
          <w:b/>
          <w:kern w:val="2"/>
          <w:sz w:val="21"/>
          <w:szCs w:val="21"/>
          <w:highlight w:val="yellow"/>
        </w:rPr>
      </w:pPr>
      <w:r>
        <w:rPr>
          <w:rFonts w:ascii="宋体" w:hAnsi="宋体" w:cs="宋体" w:hint="eastAsia"/>
          <w:b/>
          <w:kern w:val="2"/>
          <w:sz w:val="21"/>
          <w:szCs w:val="21"/>
          <w:highlight w:val="yellow"/>
        </w:rPr>
        <w:t>3.如依法不需要缴纳社会保险的，应提供相应文件证明；</w:t>
      </w:r>
    </w:p>
    <w:p>
      <w:pPr>
        <w:pStyle w:val="Heading2"/>
        <w:spacing w:line="360" w:lineRule="auto"/>
        <w:jc w:val="both"/>
        <w:rPr>
          <w:rFonts w:ascii="宋体" w:hAnsi="宋体" w:cs="宋体" w:hint="eastAsia"/>
          <w:b/>
          <w:kern w:val="2"/>
          <w:sz w:val="21"/>
          <w:szCs w:val="21"/>
          <w:highlight w:val="yellow"/>
        </w:rPr>
      </w:pPr>
      <w:r>
        <w:rPr>
          <w:rFonts w:ascii="宋体" w:hAnsi="宋体" w:cs="宋体" w:hint="eastAsia"/>
          <w:b/>
          <w:kern w:val="2"/>
          <w:sz w:val="21"/>
          <w:szCs w:val="21"/>
          <w:highlight w:val="yellow"/>
        </w:rPr>
        <w:t>4.如为法定代表人参与项目投标则无需提供授权委托书和重复提供社保证明材料</w:t>
      </w:r>
      <w:r>
        <w:rPr>
          <w:rFonts w:ascii="宋体" w:hAnsi="宋体" w:cs="宋体" w:hint="eastAsia"/>
          <w:b/>
          <w:kern w:val="2"/>
          <w:sz w:val="21"/>
          <w:szCs w:val="21"/>
          <w:highlight w:val="yellow"/>
          <w:lang w:eastAsia="zh-CN"/>
        </w:rPr>
        <w:t>。</w:t>
      </w:r>
    </w:p>
    <w:p>
      <w:pPr>
        <w:pStyle w:val="NoSpacing"/>
        <w:spacing w:line="360" w:lineRule="auto"/>
        <w:rPr>
          <w:rFonts w:ascii="黑体" w:eastAsia="黑体" w:hAnsi="黑体" w:cs="黑体" w:hint="eastAsia"/>
          <w:b/>
          <w:bCs/>
          <w:color w:val="auto"/>
          <w:sz w:val="24"/>
          <w:szCs w:val="24"/>
          <w:u w:val="none"/>
          <w:lang w:val="en-US" w:eastAsia="zh-CN"/>
        </w:rPr>
      </w:pPr>
    </w:p>
    <w:p>
      <w:pPr>
        <w:pStyle w:val="NoSpacing"/>
        <w:spacing w:line="360" w:lineRule="auto"/>
        <w:rPr>
          <w:sz w:val="24"/>
        </w:rPr>
      </w:pPr>
      <w:r>
        <w:rPr>
          <w:rFonts w:ascii="黑体" w:eastAsia="黑体" w:hAnsi="黑体" w:cs="黑体" w:hint="eastAsia"/>
          <w:b/>
          <w:bCs/>
          <w:color w:val="auto"/>
          <w:sz w:val="24"/>
          <w:szCs w:val="24"/>
          <w:u w:val="none"/>
          <w:lang w:val="en-US" w:eastAsia="zh-CN"/>
        </w:rPr>
        <w:t>温馨提示</w:t>
      </w:r>
      <w:r>
        <w:rPr>
          <w:rFonts w:ascii="黑体" w:eastAsia="黑体" w:hAnsi="黑体" w:cs="黑体" w:hint="eastAsia"/>
          <w:color w:val="auto"/>
          <w:sz w:val="24"/>
          <w:szCs w:val="24"/>
          <w:u w:val="none"/>
          <w:lang w:val="en-US" w:eastAsia="zh-CN"/>
        </w:rPr>
        <w:t>：</w:t>
      </w:r>
      <w:r>
        <w:rPr>
          <w:rFonts w:ascii="Times New Roman" w:eastAsia="宋体" w:hAnsi="Times New Roman" w:cs="Times New Roman" w:hint="eastAsia"/>
          <w:kern w:val="2"/>
          <w:sz w:val="21"/>
          <w:szCs w:val="21"/>
          <w:lang w:val="en-US" w:eastAsia="zh-CN" w:bidi="ar-SA"/>
        </w:rPr>
        <w:t>为避免出现《深圳经济特区政府采购条例实施细则》第七十五条第二项所列情形，请投标供应商核实</w:t>
      </w:r>
      <w:r>
        <w:rPr>
          <w:rFonts w:ascii="Times New Roman" w:hAnsi="Times New Roman" w:cs="Times New Roman" w:hint="eastAsia"/>
          <w:kern w:val="2"/>
          <w:sz w:val="21"/>
          <w:szCs w:val="21"/>
          <w:lang w:val="en-US" w:eastAsia="zh-CN" w:bidi="ar-SA"/>
        </w:rPr>
        <w:t>贵单位</w:t>
      </w:r>
      <w:r>
        <w:rPr>
          <w:rFonts w:ascii="Times New Roman" w:eastAsia="宋体" w:hAnsi="Times New Roman" w:cs="Times New Roman" w:hint="eastAsia"/>
          <w:kern w:val="2"/>
          <w:sz w:val="21"/>
          <w:szCs w:val="21"/>
          <w:lang w:val="en-US" w:eastAsia="zh-CN" w:bidi="ar-SA"/>
        </w:rPr>
        <w:t>法定代表人、本项目投标授权代表人、项目负责人（如有）、主要技术人员（如有）等是否在</w:t>
      </w:r>
      <w:r>
        <w:rPr>
          <w:rFonts w:ascii="Times New Roman" w:hAnsi="Times New Roman" w:cs="Times New Roman" w:hint="eastAsia"/>
          <w:kern w:val="2"/>
          <w:sz w:val="21"/>
          <w:szCs w:val="21"/>
          <w:lang w:val="en-US" w:eastAsia="zh-CN" w:bidi="ar-SA"/>
        </w:rPr>
        <w:t>贵单位</w:t>
      </w:r>
      <w:r>
        <w:rPr>
          <w:rFonts w:ascii="Times New Roman" w:eastAsia="宋体" w:hAnsi="Times New Roman" w:cs="Times New Roman" w:hint="eastAsia"/>
          <w:kern w:val="2"/>
          <w:sz w:val="21"/>
          <w:szCs w:val="21"/>
          <w:lang w:val="en-US" w:eastAsia="zh-CN" w:bidi="ar-SA"/>
        </w:rPr>
        <w:t>缴纳社会保险。</w:t>
      </w:r>
    </w:p>
    <w:p>
      <w:pPr>
        <w:pStyle w:val="Heading3"/>
        <w:spacing w:line="360" w:lineRule="auto"/>
        <w:jc w:val="center"/>
        <w:rPr>
          <w:rFonts w:ascii="黑体" w:eastAsia="黑体"/>
          <w:b w:val="0"/>
          <w:kern w:val="0"/>
          <w:sz w:val="24"/>
          <w:szCs w:val="24"/>
        </w:rPr>
      </w:pPr>
      <w:r>
        <w:rPr>
          <w:rFonts w:ascii="黑体" w:eastAsia="黑体" w:hint="eastAsia"/>
          <w:b w:val="0"/>
          <w:kern w:val="0"/>
          <w:sz w:val="24"/>
          <w:szCs w:val="24"/>
          <w:lang w:val="en-US" w:eastAsia="zh-CN"/>
        </w:rPr>
        <w:t>四</w:t>
      </w:r>
      <w:r>
        <w:rPr>
          <w:rFonts w:ascii="黑体" w:eastAsia="黑体" w:hint="eastAsia"/>
          <w:b w:val="0"/>
          <w:kern w:val="0"/>
          <w:sz w:val="24"/>
          <w:szCs w:val="24"/>
        </w:rPr>
        <w:t>、</w:t>
      </w:r>
      <w:bookmarkStart w:id="42" w:name="_Hlk72092634"/>
      <w:r>
        <w:rPr>
          <w:rFonts w:ascii="黑体" w:eastAsia="黑体" w:hint="eastAsia"/>
          <w:b w:val="0"/>
          <w:kern w:val="0"/>
          <w:sz w:val="24"/>
          <w:szCs w:val="24"/>
        </w:rPr>
        <w:t>实质性条款响应情况表</w:t>
      </w:r>
      <w:bookmarkEnd w:id="42"/>
    </w:p>
    <w:tbl>
      <w:tblPr>
        <w:tblStyle w:val="TableNormal"/>
        <w:tblW w:w="82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05"/>
        <w:gridCol w:w="2664"/>
        <w:gridCol w:w="1588"/>
        <w:gridCol w:w="1842"/>
        <w:gridCol w:w="1418"/>
      </w:tblGrid>
      <w:tr>
        <w:tblPrEx>
          <w:tblW w:w="82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631"/>
        </w:trPr>
        <w:tc>
          <w:tcPr>
            <w:tcW w:w="705" w:type="dxa"/>
            <w:vAlign w:val="center"/>
          </w:tcPr>
          <w:p>
            <w:pPr>
              <w:adjustRightInd w:val="0"/>
              <w:snapToGrid w:val="0"/>
              <w:spacing w:line="360" w:lineRule="auto"/>
              <w:jc w:val="center"/>
              <w:rPr>
                <w:rFonts w:ascii="宋体" w:hAnsi="宋体"/>
                <w:kern w:val="0"/>
                <w:szCs w:val="21"/>
              </w:rPr>
            </w:pPr>
            <w:bookmarkStart w:id="43" w:name="_Hlk72092651"/>
            <w:r>
              <w:rPr>
                <w:rFonts w:ascii="宋体" w:hAnsi="宋体" w:hint="eastAsia"/>
                <w:kern w:val="0"/>
                <w:szCs w:val="21"/>
              </w:rPr>
              <w:t>序号</w:t>
            </w:r>
          </w:p>
        </w:tc>
        <w:tc>
          <w:tcPr>
            <w:tcW w:w="2664" w:type="dxa"/>
            <w:vAlign w:val="center"/>
          </w:tcPr>
          <w:p>
            <w:pPr>
              <w:adjustRightInd w:val="0"/>
              <w:snapToGrid w:val="0"/>
              <w:spacing w:line="360" w:lineRule="auto"/>
              <w:jc w:val="center"/>
              <w:rPr>
                <w:rFonts w:ascii="宋体" w:hAnsi="宋体"/>
                <w:kern w:val="0"/>
                <w:szCs w:val="21"/>
              </w:rPr>
            </w:pPr>
            <w:r>
              <w:rPr>
                <w:rFonts w:ascii="宋体" w:hAnsi="宋体" w:hint="eastAsia"/>
                <w:kern w:val="0"/>
                <w:szCs w:val="21"/>
              </w:rPr>
              <w:t>实质性条款具体内容</w:t>
            </w:r>
          </w:p>
        </w:tc>
        <w:tc>
          <w:tcPr>
            <w:tcW w:w="1588" w:type="dxa"/>
            <w:vAlign w:val="center"/>
          </w:tcPr>
          <w:p>
            <w:pPr>
              <w:adjustRightInd w:val="0"/>
              <w:snapToGrid w:val="0"/>
              <w:spacing w:line="360" w:lineRule="auto"/>
              <w:jc w:val="center"/>
              <w:rPr>
                <w:rFonts w:ascii="宋体" w:hAnsi="宋体"/>
                <w:kern w:val="0"/>
                <w:szCs w:val="21"/>
              </w:rPr>
            </w:pPr>
            <w:r>
              <w:rPr>
                <w:rFonts w:hint="eastAsia"/>
              </w:rPr>
              <w:t>投标响应</w:t>
            </w:r>
          </w:p>
        </w:tc>
        <w:tc>
          <w:tcPr>
            <w:tcW w:w="1842" w:type="dxa"/>
            <w:vAlign w:val="center"/>
          </w:tcPr>
          <w:p>
            <w:pPr>
              <w:adjustRightInd w:val="0"/>
              <w:snapToGrid w:val="0"/>
              <w:spacing w:line="360" w:lineRule="auto"/>
              <w:jc w:val="center"/>
              <w:rPr>
                <w:rFonts w:ascii="宋体" w:hAnsi="宋体"/>
                <w:kern w:val="0"/>
                <w:szCs w:val="21"/>
              </w:rPr>
            </w:pPr>
            <w:r>
              <w:rPr>
                <w:rFonts w:hint="eastAsia"/>
              </w:rPr>
              <w:t>偏离情况</w:t>
            </w:r>
          </w:p>
        </w:tc>
        <w:tc>
          <w:tcPr>
            <w:tcW w:w="1418" w:type="dxa"/>
            <w:vAlign w:val="center"/>
          </w:tcPr>
          <w:p>
            <w:pPr>
              <w:adjustRightInd w:val="0"/>
              <w:snapToGrid w:val="0"/>
              <w:spacing w:line="360" w:lineRule="auto"/>
              <w:jc w:val="center"/>
              <w:rPr>
                <w:rFonts w:ascii="宋体" w:hAnsi="宋体"/>
                <w:kern w:val="0"/>
                <w:szCs w:val="21"/>
              </w:rPr>
            </w:pPr>
            <w:r>
              <w:rPr>
                <w:rFonts w:hint="eastAsia"/>
              </w:rPr>
              <w:t>说明</w:t>
            </w:r>
          </w:p>
        </w:tc>
      </w:tr>
      <w:tr>
        <w:tblPrEx>
          <w:tblW w:w="8217" w:type="dxa"/>
          <w:tblInd w:w="0" w:type="dxa"/>
          <w:tblLayout w:type="fixed"/>
          <w:tblCellMar>
            <w:top w:w="0" w:type="dxa"/>
            <w:left w:w="108" w:type="dxa"/>
            <w:bottom w:w="0" w:type="dxa"/>
            <w:right w:w="108" w:type="dxa"/>
          </w:tblCellMar>
        </w:tblPrEx>
        <w:tc>
          <w:tcPr>
            <w:tcW w:w="705" w:type="dxa"/>
          </w:tcPr>
          <w:p>
            <w:pPr>
              <w:adjustRightInd w:val="0"/>
              <w:snapToGrid w:val="0"/>
              <w:spacing w:line="360" w:lineRule="auto"/>
              <w:rPr>
                <w:rFonts w:ascii="宋体" w:hAnsi="宋体"/>
                <w:kern w:val="0"/>
                <w:szCs w:val="21"/>
              </w:rPr>
            </w:pPr>
            <w:bookmarkEnd w:id="43"/>
            <w:r>
              <w:rPr>
                <w:rFonts w:ascii="宋体" w:hAnsi="宋体" w:hint="eastAsia"/>
                <w:kern w:val="0"/>
                <w:szCs w:val="21"/>
              </w:rPr>
              <w:t>1</w:t>
            </w:r>
          </w:p>
        </w:tc>
        <w:tc>
          <w:tcPr>
            <w:tcW w:w="2664" w:type="dxa"/>
            <w:vAlign w:val="center"/>
          </w:tcPr>
          <w:p>
            <w:pPr>
              <w:adjustRightInd w:val="0"/>
              <w:snapToGrid w:val="0"/>
              <w:spacing w:line="360" w:lineRule="auto"/>
              <w:jc w:val="center"/>
              <w:rPr>
                <w:rFonts w:hAnsi="宋体"/>
                <w:kern w:val="0"/>
                <w:szCs w:val="21"/>
              </w:rPr>
            </w:pPr>
            <w:r>
              <w:rPr>
                <w:rFonts w:hAnsi="宋体" w:hint="eastAsia"/>
                <w:kern w:val="0"/>
                <w:szCs w:val="21"/>
              </w:rPr>
              <w:t>（填写相关内容）</w:t>
            </w:r>
          </w:p>
        </w:tc>
        <w:tc>
          <w:tcPr>
            <w:tcW w:w="1588" w:type="dxa"/>
          </w:tcPr>
          <w:p>
            <w:pPr>
              <w:adjustRightInd w:val="0"/>
              <w:snapToGrid w:val="0"/>
              <w:spacing w:line="360" w:lineRule="auto"/>
              <w:rPr>
                <w:rFonts w:ascii="宋体" w:hAnsi="宋体"/>
                <w:kern w:val="0"/>
                <w:szCs w:val="21"/>
              </w:rPr>
            </w:pPr>
          </w:p>
        </w:tc>
        <w:tc>
          <w:tcPr>
            <w:tcW w:w="1842" w:type="dxa"/>
          </w:tcPr>
          <w:p>
            <w:pPr>
              <w:adjustRightInd w:val="0"/>
              <w:snapToGrid w:val="0"/>
              <w:spacing w:line="360" w:lineRule="auto"/>
              <w:rPr>
                <w:rFonts w:ascii="宋体" w:hAnsi="宋体"/>
                <w:kern w:val="0"/>
                <w:szCs w:val="21"/>
              </w:rPr>
            </w:pPr>
          </w:p>
        </w:tc>
        <w:tc>
          <w:tcPr>
            <w:tcW w:w="1418" w:type="dxa"/>
          </w:tcPr>
          <w:p>
            <w:pPr>
              <w:adjustRightInd w:val="0"/>
              <w:snapToGrid w:val="0"/>
              <w:spacing w:line="360" w:lineRule="auto"/>
              <w:rPr>
                <w:rFonts w:ascii="宋体" w:hAnsi="宋体"/>
                <w:kern w:val="0"/>
                <w:szCs w:val="21"/>
              </w:rPr>
            </w:pPr>
          </w:p>
        </w:tc>
      </w:tr>
      <w:tr>
        <w:tblPrEx>
          <w:tblW w:w="8217" w:type="dxa"/>
          <w:tblInd w:w="0" w:type="dxa"/>
          <w:tblLayout w:type="fixed"/>
          <w:tblCellMar>
            <w:top w:w="0" w:type="dxa"/>
            <w:left w:w="108" w:type="dxa"/>
            <w:bottom w:w="0" w:type="dxa"/>
            <w:right w:w="108" w:type="dxa"/>
          </w:tblCellMar>
        </w:tblPrEx>
        <w:tc>
          <w:tcPr>
            <w:tcW w:w="705" w:type="dxa"/>
          </w:tcPr>
          <w:p>
            <w:pPr>
              <w:adjustRightInd w:val="0"/>
              <w:snapToGrid w:val="0"/>
              <w:spacing w:line="360" w:lineRule="auto"/>
              <w:rPr>
                <w:rFonts w:ascii="宋体" w:hAnsi="宋体"/>
                <w:kern w:val="0"/>
                <w:szCs w:val="21"/>
              </w:rPr>
            </w:pPr>
            <w:r>
              <w:rPr>
                <w:rFonts w:ascii="宋体" w:hAnsi="宋体" w:hint="eastAsia"/>
                <w:kern w:val="0"/>
                <w:szCs w:val="21"/>
              </w:rPr>
              <w:t>2</w:t>
            </w:r>
          </w:p>
        </w:tc>
        <w:tc>
          <w:tcPr>
            <w:tcW w:w="2664" w:type="dxa"/>
            <w:vAlign w:val="center"/>
          </w:tcPr>
          <w:p>
            <w:pPr>
              <w:adjustRightInd w:val="0"/>
              <w:snapToGrid w:val="0"/>
              <w:spacing w:line="360" w:lineRule="auto"/>
              <w:jc w:val="center"/>
              <w:rPr>
                <w:rFonts w:hAnsi="宋体"/>
                <w:kern w:val="0"/>
                <w:szCs w:val="21"/>
              </w:rPr>
            </w:pPr>
            <w:r>
              <w:rPr>
                <w:rFonts w:hAnsi="宋体" w:hint="eastAsia"/>
                <w:kern w:val="0"/>
                <w:szCs w:val="21"/>
              </w:rPr>
              <w:t>（填写相关内容）</w:t>
            </w:r>
          </w:p>
        </w:tc>
        <w:tc>
          <w:tcPr>
            <w:tcW w:w="1588" w:type="dxa"/>
          </w:tcPr>
          <w:p>
            <w:pPr>
              <w:adjustRightInd w:val="0"/>
              <w:snapToGrid w:val="0"/>
              <w:spacing w:line="360" w:lineRule="auto"/>
              <w:rPr>
                <w:rFonts w:ascii="宋体" w:hAnsi="宋体"/>
                <w:kern w:val="0"/>
                <w:szCs w:val="21"/>
              </w:rPr>
            </w:pPr>
          </w:p>
        </w:tc>
        <w:tc>
          <w:tcPr>
            <w:tcW w:w="1842" w:type="dxa"/>
          </w:tcPr>
          <w:p>
            <w:pPr>
              <w:adjustRightInd w:val="0"/>
              <w:snapToGrid w:val="0"/>
              <w:spacing w:line="360" w:lineRule="auto"/>
              <w:rPr>
                <w:rFonts w:ascii="宋体" w:hAnsi="宋体"/>
                <w:kern w:val="0"/>
                <w:szCs w:val="21"/>
              </w:rPr>
            </w:pPr>
          </w:p>
        </w:tc>
        <w:tc>
          <w:tcPr>
            <w:tcW w:w="1418" w:type="dxa"/>
          </w:tcPr>
          <w:p>
            <w:pPr>
              <w:adjustRightInd w:val="0"/>
              <w:snapToGrid w:val="0"/>
              <w:spacing w:line="360" w:lineRule="auto"/>
              <w:rPr>
                <w:rFonts w:ascii="宋体" w:hAnsi="宋体"/>
                <w:kern w:val="0"/>
                <w:szCs w:val="21"/>
              </w:rPr>
            </w:pPr>
          </w:p>
        </w:tc>
      </w:tr>
      <w:tr>
        <w:tblPrEx>
          <w:tblW w:w="8217" w:type="dxa"/>
          <w:tblInd w:w="0" w:type="dxa"/>
          <w:tblLayout w:type="fixed"/>
          <w:tblCellMar>
            <w:top w:w="0" w:type="dxa"/>
            <w:left w:w="108" w:type="dxa"/>
            <w:bottom w:w="0" w:type="dxa"/>
            <w:right w:w="108" w:type="dxa"/>
          </w:tblCellMar>
        </w:tblPrEx>
        <w:tc>
          <w:tcPr>
            <w:tcW w:w="705" w:type="dxa"/>
          </w:tcPr>
          <w:p>
            <w:pPr>
              <w:adjustRightInd w:val="0"/>
              <w:snapToGrid w:val="0"/>
              <w:spacing w:line="360" w:lineRule="auto"/>
              <w:rPr>
                <w:rFonts w:ascii="宋体" w:hAnsi="宋体"/>
                <w:kern w:val="0"/>
                <w:szCs w:val="21"/>
              </w:rPr>
            </w:pPr>
            <w:r>
              <w:rPr>
                <w:rFonts w:ascii="宋体" w:hAnsi="宋体" w:hint="eastAsia"/>
                <w:kern w:val="0"/>
                <w:szCs w:val="21"/>
              </w:rPr>
              <w:t>3</w:t>
            </w:r>
          </w:p>
        </w:tc>
        <w:tc>
          <w:tcPr>
            <w:tcW w:w="2664" w:type="dxa"/>
            <w:vAlign w:val="center"/>
          </w:tcPr>
          <w:p>
            <w:pPr>
              <w:adjustRightInd w:val="0"/>
              <w:snapToGrid w:val="0"/>
              <w:spacing w:line="360" w:lineRule="auto"/>
              <w:jc w:val="center"/>
              <w:rPr>
                <w:rFonts w:ascii="宋体" w:hAnsi="宋体"/>
                <w:kern w:val="0"/>
                <w:szCs w:val="21"/>
              </w:rPr>
            </w:pPr>
            <w:r>
              <w:rPr>
                <w:rFonts w:ascii="宋体" w:hAnsi="宋体" w:hint="eastAsia"/>
                <w:kern w:val="0"/>
                <w:szCs w:val="21"/>
              </w:rPr>
              <w:t>…………</w:t>
            </w:r>
          </w:p>
        </w:tc>
        <w:tc>
          <w:tcPr>
            <w:tcW w:w="1588" w:type="dxa"/>
          </w:tcPr>
          <w:p>
            <w:pPr>
              <w:adjustRightInd w:val="0"/>
              <w:snapToGrid w:val="0"/>
              <w:spacing w:line="360" w:lineRule="auto"/>
              <w:rPr>
                <w:rFonts w:ascii="宋体" w:hAnsi="宋体"/>
                <w:kern w:val="0"/>
                <w:szCs w:val="21"/>
              </w:rPr>
            </w:pPr>
          </w:p>
        </w:tc>
        <w:tc>
          <w:tcPr>
            <w:tcW w:w="1842" w:type="dxa"/>
          </w:tcPr>
          <w:p>
            <w:pPr>
              <w:adjustRightInd w:val="0"/>
              <w:snapToGrid w:val="0"/>
              <w:spacing w:line="360" w:lineRule="auto"/>
              <w:rPr>
                <w:rFonts w:ascii="宋体" w:hAnsi="宋体"/>
                <w:kern w:val="0"/>
                <w:szCs w:val="21"/>
              </w:rPr>
            </w:pPr>
          </w:p>
        </w:tc>
        <w:tc>
          <w:tcPr>
            <w:tcW w:w="1418" w:type="dxa"/>
          </w:tcPr>
          <w:p>
            <w:pPr>
              <w:adjustRightInd w:val="0"/>
              <w:snapToGrid w:val="0"/>
              <w:spacing w:line="360" w:lineRule="auto"/>
              <w:rPr>
                <w:rFonts w:ascii="宋体" w:hAnsi="宋体"/>
                <w:kern w:val="0"/>
                <w:szCs w:val="21"/>
              </w:rPr>
            </w:pPr>
          </w:p>
        </w:tc>
      </w:tr>
    </w:tbl>
    <w:p>
      <w:pPr>
        <w:spacing w:line="360" w:lineRule="auto"/>
        <w:ind w:firstLine="420" w:firstLineChars="200"/>
        <w:rPr>
          <w:b/>
          <w:sz w:val="24"/>
          <w:szCs w:val="22"/>
        </w:rPr>
      </w:pPr>
      <w:r>
        <w:rPr>
          <w:rFonts w:hint="eastAsia"/>
          <w:b/>
          <w:sz w:val="24"/>
          <w:szCs w:val="22"/>
        </w:rPr>
        <w:t>注：1.上表所列各项均为不可负偏离条款。</w:t>
      </w:r>
    </w:p>
    <w:p>
      <w:pPr>
        <w:spacing w:line="360" w:lineRule="auto"/>
        <w:ind w:firstLine="420" w:firstLineChars="200"/>
        <w:rPr>
          <w:b/>
          <w:sz w:val="24"/>
          <w:szCs w:val="22"/>
        </w:rPr>
      </w:pPr>
      <w:r>
        <w:rPr>
          <w:rFonts w:hint="eastAsia"/>
          <w:b/>
          <w:sz w:val="24"/>
          <w:szCs w:val="22"/>
        </w:rPr>
        <w:t>2.“投标响应”一栏应当详细填写投标人自身响应情况，而不能不合理照搬照抄招实质性条款具体内容。</w:t>
      </w:r>
    </w:p>
    <w:p>
      <w:pPr>
        <w:spacing w:line="360" w:lineRule="auto"/>
        <w:ind w:firstLine="420" w:firstLineChars="200"/>
        <w:rPr>
          <w:b/>
          <w:sz w:val="24"/>
          <w:szCs w:val="22"/>
        </w:rPr>
      </w:pPr>
      <w:r>
        <w:rPr>
          <w:rFonts w:hint="eastAsia"/>
          <w:b/>
          <w:sz w:val="24"/>
          <w:szCs w:val="22"/>
        </w:rPr>
        <w:t>3</w:t>
      </w:r>
      <w:r>
        <w:rPr>
          <w:b/>
          <w:sz w:val="24"/>
          <w:szCs w:val="22"/>
        </w:rPr>
        <w:t>.</w:t>
      </w:r>
      <w:r>
        <w:rPr>
          <w:rFonts w:hint="eastAsia"/>
          <w:b/>
          <w:sz w:val="24"/>
          <w:szCs w:val="22"/>
        </w:rPr>
        <w:t>“偏离情况”一栏应填写“正偏离”、“负偏离”或“无偏离”，</w:t>
      </w:r>
      <w:r>
        <w:rPr>
          <w:rFonts w:hint="eastAsia"/>
          <w:b/>
          <w:sz w:val="24"/>
        </w:rPr>
        <w:t>“正偏离”表示“投标响应优于实质性条款具体内容要求”，“负偏离”表示“投标响应不满足实质性条款具体内容要求”，“无偏离”表示“投标响应与实质性条款具体内容要求一致”。</w:t>
      </w:r>
    </w:p>
    <w:p>
      <w:pPr>
        <w:spacing w:line="360" w:lineRule="auto"/>
        <w:ind w:firstLine="420" w:firstLineChars="200"/>
        <w:rPr>
          <w:b/>
          <w:sz w:val="24"/>
        </w:rPr>
      </w:pPr>
      <w:r>
        <w:rPr>
          <w:b/>
          <w:sz w:val="24"/>
        </w:rPr>
        <w:t>4.</w:t>
      </w:r>
      <w:r>
        <w:rPr>
          <w:rFonts w:hint="eastAsia"/>
          <w:b/>
          <w:sz w:val="24"/>
        </w:rPr>
        <w:t>评审委员会有权对投标响应情况作出判断（作出评审结论）。</w:t>
      </w:r>
    </w:p>
    <w:p>
      <w:pPr>
        <w:spacing w:line="360" w:lineRule="auto"/>
        <w:ind w:firstLine="420" w:firstLineChars="200"/>
        <w:rPr>
          <w:b/>
          <w:sz w:val="24"/>
          <w:szCs w:val="22"/>
        </w:rPr>
      </w:pPr>
      <w:r>
        <w:rPr>
          <w:b/>
          <w:sz w:val="24"/>
          <w:szCs w:val="22"/>
        </w:rPr>
        <w:t>5</w:t>
      </w:r>
      <w:r>
        <w:rPr>
          <w:rFonts w:hint="eastAsia"/>
          <w:b/>
          <w:sz w:val="24"/>
          <w:szCs w:val="22"/>
        </w:rPr>
        <w:t>.实质性响应条款“投标响应情况”与投标文件其它内容冲突的，以实质性响应条款“投标响应情况”为准。</w:t>
      </w:r>
    </w:p>
    <w:p>
      <w:pPr>
        <w:spacing w:line="360" w:lineRule="auto"/>
        <w:ind w:firstLine="420" w:firstLineChars="200"/>
        <w:rPr>
          <w:b/>
          <w:sz w:val="24"/>
          <w:szCs w:val="22"/>
        </w:rPr>
      </w:pPr>
      <w:r>
        <w:rPr>
          <w:rFonts w:hint="eastAsia"/>
          <w:b/>
          <w:sz w:val="24"/>
          <w:szCs w:val="22"/>
        </w:rPr>
        <w:t>6.要求提供证明资料，在“说明”一栏中列明证明资料的位置,以便评审；未要求提供证明材料的，投标人可以不提供。</w:t>
      </w:r>
    </w:p>
    <w:p>
      <w:pPr>
        <w:spacing w:line="360" w:lineRule="auto"/>
        <w:ind w:firstLine="420" w:firstLineChars="200"/>
      </w:pPr>
    </w:p>
    <w:p>
      <w:pPr>
        <w:spacing w:line="360" w:lineRule="auto"/>
        <w:rPr>
          <w:b/>
          <w:bCs/>
          <w:sz w:val="24"/>
        </w:rPr>
      </w:pP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五、项目管理整体设想及策划</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六、制度和档案的建立与管理</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七、保洁管理服务</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八、绿化管理服务</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九、机电设施设备管理服务</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十、突发事件应急处理措施</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十一、项目重点难点分析、应对措施及相关的合理化建议</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十二、安全保卫方案、消防管理</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十三、医疗辅助管理服务</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十四、拟安排本项目管理的项目经理资历评价（限一人）</w:t>
      </w:r>
    </w:p>
    <w:p>
      <w:pPr>
        <w:spacing w:line="360" w:lineRule="auto"/>
        <w:ind w:left="718" w:firstLine="1418" w:leftChars="342" w:firstLineChars="675"/>
        <w:rPr>
          <w:rFonts w:ascii="黑体" w:eastAsia="黑体" w:hAnsi="宋体" w:cs="Times New Roman" w:hint="eastAsia"/>
          <w:b w:val="0"/>
          <w:bCs w:val="0"/>
          <w:kern w:val="2"/>
          <w:sz w:val="24"/>
          <w:szCs w:val="20"/>
          <w:lang w:val="en-US" w:eastAsia="zh-CN" w:bidi="ar-SA"/>
        </w:rPr>
      </w:pPr>
      <w:r>
        <w:rPr>
          <w:rFonts w:ascii="黑体" w:eastAsia="黑体" w:hAnsi="宋体" w:cs="Times New Roman" w:hint="eastAsia"/>
          <w:b w:val="0"/>
          <w:bCs w:val="0"/>
          <w:kern w:val="2"/>
          <w:sz w:val="24"/>
          <w:szCs w:val="20"/>
          <w:lang w:val="en-US" w:eastAsia="zh-CN" w:bidi="ar-SA"/>
        </w:rPr>
        <w:t>十五、拟投入本项目相关人员持证情况</w:t>
      </w:r>
    </w:p>
    <w:p>
      <w:pPr>
        <w:spacing w:line="360" w:lineRule="auto"/>
        <w:rPr>
          <w:sz w:val="24"/>
        </w:rPr>
      </w:pPr>
    </w:p>
    <w:p>
      <w:pPr>
        <w:pStyle w:val="Heading3"/>
        <w:spacing w:line="360" w:lineRule="auto"/>
        <w:jc w:val="center"/>
        <w:rPr>
          <w:rFonts w:ascii="黑体" w:eastAsia="黑体"/>
          <w:b w:val="0"/>
          <w:bCs w:val="0"/>
          <w:sz w:val="24"/>
          <w:szCs w:val="20"/>
        </w:rPr>
      </w:pPr>
      <w:r>
        <w:rPr>
          <w:rFonts w:ascii="黑体" w:eastAsia="黑体" w:hint="eastAsia"/>
          <w:b w:val="0"/>
          <w:bCs w:val="0"/>
          <w:sz w:val="24"/>
          <w:szCs w:val="20"/>
          <w:lang w:val="en-US" w:eastAsia="zh-CN"/>
        </w:rPr>
        <w:t>十六</w:t>
      </w:r>
      <w:r>
        <w:rPr>
          <w:rFonts w:ascii="黑体" w:eastAsia="黑体" w:hint="eastAsia"/>
          <w:b w:val="0"/>
          <w:bCs w:val="0"/>
          <w:sz w:val="24"/>
          <w:szCs w:val="20"/>
        </w:rPr>
        <w:t>、</w:t>
      </w:r>
      <w:bookmarkStart w:id="44" w:name="_Hlk72062872"/>
      <w:r>
        <w:rPr>
          <w:rFonts w:ascii="黑体" w:eastAsia="黑体" w:hint="eastAsia"/>
          <w:b w:val="0"/>
          <w:bCs w:val="0"/>
          <w:sz w:val="24"/>
          <w:szCs w:val="20"/>
        </w:rPr>
        <w:t>投标人认为需要加以说明的其他内容</w:t>
      </w:r>
      <w:bookmarkEnd w:id="44"/>
    </w:p>
    <w:p>
      <w:pPr>
        <w:widowControl/>
        <w:spacing w:line="360" w:lineRule="auto"/>
        <w:jc w:val="center"/>
        <w:rPr>
          <w:rFonts w:ascii="黑体" w:eastAsia="黑体" w:hAnsi="宋体"/>
          <w:kern w:val="0"/>
          <w:sz w:val="24"/>
          <w:szCs w:val="20"/>
        </w:rPr>
      </w:pPr>
      <w:r>
        <w:rPr>
          <w:rFonts w:ascii="黑体" w:eastAsia="黑体" w:hAnsi="宋体" w:hint="eastAsia"/>
          <w:kern w:val="0"/>
          <w:sz w:val="24"/>
          <w:szCs w:val="20"/>
        </w:rPr>
        <w:t>（一）</w:t>
      </w:r>
      <w:r>
        <w:rPr>
          <w:rFonts w:ascii="黑体" w:eastAsia="黑体" w:hAnsi="宋体" w:hint="eastAsia"/>
          <w:kern w:val="0"/>
          <w:sz w:val="24"/>
          <w:szCs w:val="20"/>
          <w:highlight w:val="yellow"/>
        </w:rPr>
        <w:t>政府采购违法行为风险知悉确认书</w:t>
      </w:r>
    </w:p>
    <w:p>
      <w:pPr>
        <w:widowControl/>
        <w:spacing w:line="360" w:lineRule="auto"/>
        <w:jc w:val="center"/>
        <w:rPr>
          <w:rFonts w:ascii="黑体" w:eastAsia="黑体" w:hAnsi="宋体"/>
          <w:kern w:val="0"/>
          <w:sz w:val="24"/>
          <w:szCs w:val="20"/>
        </w:rPr>
      </w:pPr>
    </w:p>
    <w:p>
      <w:pPr>
        <w:spacing w:before="0" w:beforeLines="0" w:after="120" w:afterLines="50" w:line="360" w:lineRule="auto"/>
        <w:ind w:firstLine="420" w:firstLineChars="200"/>
        <w:rPr>
          <w:rFonts w:ascii="宋体" w:eastAsia="宋体" w:hAnsi="宋体" w:cs="宋体" w:hint="eastAsia"/>
          <w:b/>
          <w:bCs/>
          <w:color w:val="auto"/>
          <w:sz w:val="21"/>
          <w:szCs w:val="21"/>
          <w:lang w:val="en-US" w:eastAsia="zh-CN"/>
        </w:rPr>
      </w:pPr>
      <w:r>
        <w:rPr>
          <w:rFonts w:ascii="宋体" w:eastAsia="宋体" w:hAnsi="宋体" w:cs="宋体" w:hint="eastAsia"/>
          <w:b/>
          <w:bCs/>
          <w:color w:val="auto"/>
          <w:sz w:val="21"/>
          <w:szCs w:val="21"/>
          <w:lang w:eastAsia="zh-CN"/>
        </w:rPr>
        <w:t>我</w:t>
      </w:r>
      <w:r>
        <w:rPr>
          <w:rFonts w:ascii="宋体" w:eastAsia="宋体" w:hAnsi="宋体" w:cs="宋体" w:hint="eastAsia"/>
          <w:b/>
          <w:bCs/>
          <w:color w:val="auto"/>
          <w:sz w:val="21"/>
          <w:szCs w:val="21"/>
          <w:lang w:val="en-US" w:eastAsia="zh-CN"/>
        </w:rPr>
        <w:t>单位</w:t>
      </w:r>
      <w:r>
        <w:rPr>
          <w:rFonts w:ascii="宋体" w:eastAsia="宋体" w:hAnsi="宋体" w:cs="宋体" w:hint="eastAsia"/>
          <w:b/>
          <w:bCs/>
          <w:color w:val="auto"/>
          <w:sz w:val="21"/>
          <w:szCs w:val="21"/>
        </w:rPr>
        <w:t>在投标前已充分知悉以下情形为参与政府采购活动时的重大风险事项，并承诺已对下述风险提示事项重点排查，</w:t>
      </w:r>
      <w:r>
        <w:rPr>
          <w:rFonts w:ascii="宋体" w:eastAsia="宋体" w:hAnsi="宋体" w:cs="宋体" w:hint="eastAsia"/>
          <w:b/>
          <w:bCs/>
          <w:color w:val="auto"/>
          <w:sz w:val="21"/>
          <w:szCs w:val="21"/>
          <w:lang w:val="en-US" w:eastAsia="zh-CN"/>
        </w:rPr>
        <w:t>若存在下述情况，我单位愿意依法承担被记入供应商诚信档案、罚款、取消参与政府采购资格、吊销营业执照等处罚；构成犯罪的，依法承担刑事责任。</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711"/>
        <w:gridCol w:w="781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151"/>
        </w:trPr>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序号</w:t>
            </w:r>
          </w:p>
        </w:tc>
        <w:tc>
          <w:tcPr>
            <w:tcW w:w="78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b/>
                <w:bCs/>
                <w:color w:val="auto"/>
                <w:sz w:val="21"/>
                <w:szCs w:val="21"/>
                <w:highlight w:val="none"/>
                <w:lang w:val="en-US" w:eastAsia="zh-CN"/>
              </w:rPr>
              <w:t>供应商参与投标禁止情形</w:t>
            </w:r>
          </w:p>
        </w:tc>
      </w:tr>
      <w:tr>
        <w:tblPrEx>
          <w:tblW w:w="0" w:type="auto"/>
          <w:tblInd w:w="0" w:type="dxa"/>
          <w:tblCellMar>
            <w:top w:w="0" w:type="dxa"/>
            <w:left w:w="108" w:type="dxa"/>
            <w:bottom w:w="0" w:type="dxa"/>
            <w:right w:w="108" w:type="dxa"/>
          </w:tblCellMar>
        </w:tblPrEx>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1</w:t>
            </w:r>
          </w:p>
        </w:tc>
        <w:tc>
          <w:tcPr>
            <w:tcW w:w="7811"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与其他投标供应商的法定代表人、主要经营负责人、投标授权代表人、项目负责人、主要技术人员为</w:t>
            </w:r>
            <w:r>
              <w:rPr>
                <w:rFonts w:ascii="宋体" w:eastAsia="宋体" w:hAnsi="宋体" w:cs="宋体" w:hint="eastAsia"/>
                <w:b/>
                <w:bCs/>
                <w:color w:val="auto"/>
                <w:sz w:val="21"/>
                <w:szCs w:val="21"/>
                <w:highlight w:val="none"/>
                <w:lang w:val="en-US" w:eastAsia="zh-CN"/>
              </w:rPr>
              <w:t>同一人、属同一单位或者在同一单位缴纳社会保险</w:t>
            </w:r>
            <w:r>
              <w:rPr>
                <w:rFonts w:ascii="宋体" w:eastAsia="宋体" w:hAnsi="宋体" w:cs="宋体" w:hint="eastAsia"/>
                <w:color w:val="auto"/>
                <w:sz w:val="21"/>
                <w:szCs w:val="21"/>
                <w:highlight w:val="none"/>
                <w:lang w:val="en-US" w:eastAsia="zh-CN"/>
              </w:rPr>
              <w:t>。</w:t>
            </w:r>
          </w:p>
        </w:tc>
      </w:tr>
      <w:tr>
        <w:tblPrEx>
          <w:tblW w:w="0" w:type="auto"/>
          <w:tblInd w:w="0" w:type="dxa"/>
          <w:tblCellMar>
            <w:top w:w="0" w:type="dxa"/>
            <w:left w:w="108" w:type="dxa"/>
            <w:bottom w:w="0" w:type="dxa"/>
            <w:right w:w="108" w:type="dxa"/>
          </w:tblCellMar>
        </w:tblPrEx>
        <w:trPr>
          <w:trHeight w:val="90"/>
        </w:trPr>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2</w:t>
            </w:r>
          </w:p>
        </w:tc>
        <w:tc>
          <w:tcPr>
            <w:tcW w:w="7811"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参与本项目政府采购活动时，与其他投标供应商存在单位负责人为</w:t>
            </w:r>
            <w:r>
              <w:rPr>
                <w:rFonts w:ascii="宋体" w:eastAsia="宋体" w:hAnsi="宋体" w:cs="宋体" w:hint="eastAsia"/>
                <w:b/>
                <w:bCs/>
                <w:color w:val="auto"/>
                <w:sz w:val="21"/>
                <w:szCs w:val="21"/>
                <w:highlight w:val="none"/>
                <w:lang w:val="en-US" w:eastAsia="zh-CN"/>
              </w:rPr>
              <w:t>同一人或直接控股、管理关系</w:t>
            </w:r>
            <w:r>
              <w:rPr>
                <w:rFonts w:ascii="宋体" w:eastAsia="宋体" w:hAnsi="宋体" w:cs="宋体" w:hint="eastAsia"/>
                <w:color w:val="auto"/>
                <w:sz w:val="21"/>
                <w:szCs w:val="21"/>
                <w:highlight w:val="none"/>
                <w:lang w:val="en-US" w:eastAsia="zh-CN"/>
              </w:rPr>
              <w:t>。</w:t>
            </w:r>
          </w:p>
        </w:tc>
      </w:tr>
      <w:tr>
        <w:tblPrEx>
          <w:tblW w:w="0" w:type="auto"/>
          <w:tblInd w:w="0" w:type="dxa"/>
          <w:tblCellMar>
            <w:top w:w="0" w:type="dxa"/>
            <w:left w:w="108" w:type="dxa"/>
            <w:bottom w:w="0" w:type="dxa"/>
            <w:right w:w="108" w:type="dxa"/>
          </w:tblCellMar>
        </w:tblPrEx>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3</w:t>
            </w:r>
          </w:p>
        </w:tc>
        <w:tc>
          <w:tcPr>
            <w:tcW w:w="7811"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与其他投标供应商的投标文件或部分投标文件</w:t>
            </w:r>
            <w:r>
              <w:rPr>
                <w:rFonts w:ascii="宋体" w:eastAsia="宋体" w:hAnsi="宋体" w:cs="宋体" w:hint="eastAsia"/>
                <w:b/>
                <w:bCs/>
                <w:color w:val="auto"/>
                <w:sz w:val="21"/>
                <w:szCs w:val="21"/>
                <w:highlight w:val="none"/>
                <w:lang w:val="en-US" w:eastAsia="zh-CN"/>
              </w:rPr>
              <w:t>相互混装或存在非正常一致</w:t>
            </w:r>
            <w:r>
              <w:rPr>
                <w:rFonts w:ascii="宋体" w:eastAsia="宋体" w:hAnsi="宋体" w:cs="宋体" w:hint="eastAsia"/>
                <w:color w:val="auto"/>
                <w:sz w:val="21"/>
                <w:szCs w:val="21"/>
                <w:highlight w:val="none"/>
                <w:lang w:val="en-US" w:eastAsia="zh-CN"/>
              </w:rPr>
              <w:t>。</w:t>
            </w:r>
          </w:p>
        </w:tc>
      </w:tr>
      <w:tr>
        <w:tblPrEx>
          <w:tblW w:w="0" w:type="auto"/>
          <w:tblInd w:w="0" w:type="dxa"/>
          <w:tblCellMar>
            <w:top w:w="0" w:type="dxa"/>
            <w:left w:w="108" w:type="dxa"/>
            <w:bottom w:w="0" w:type="dxa"/>
            <w:right w:w="108" w:type="dxa"/>
          </w:tblCellMar>
        </w:tblPrEx>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4</w:t>
            </w:r>
          </w:p>
        </w:tc>
        <w:tc>
          <w:tcPr>
            <w:tcW w:w="7811"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color w:val="auto"/>
                <w:kern w:val="2"/>
                <w:sz w:val="21"/>
                <w:szCs w:val="21"/>
                <w:highlight w:val="none"/>
                <w:lang w:val="en-US" w:eastAsia="zh-CN" w:bidi="ar-SA"/>
              </w:rPr>
            </w:pPr>
            <w:r>
              <w:rPr>
                <w:rFonts w:ascii="宋体" w:eastAsia="宋体" w:hAnsi="宋体" w:cs="宋体" w:hint="eastAsia"/>
                <w:color w:val="auto"/>
                <w:sz w:val="21"/>
                <w:szCs w:val="21"/>
                <w:highlight w:val="none"/>
                <w:lang w:val="en-US" w:eastAsia="zh-CN"/>
              </w:rPr>
              <w:t>与其他投标供应商的投标文件由</w:t>
            </w:r>
            <w:r>
              <w:rPr>
                <w:rFonts w:ascii="宋体" w:eastAsia="宋体" w:hAnsi="宋体" w:cs="宋体" w:hint="eastAsia"/>
                <w:b/>
                <w:bCs/>
                <w:color w:val="auto"/>
                <w:sz w:val="21"/>
                <w:szCs w:val="21"/>
                <w:highlight w:val="none"/>
                <w:lang w:val="en-US" w:eastAsia="zh-CN"/>
              </w:rPr>
              <w:t>同一单位或者同一人编制</w:t>
            </w:r>
            <w:r>
              <w:rPr>
                <w:rFonts w:ascii="宋体" w:eastAsia="宋体" w:hAnsi="宋体" w:cs="宋体" w:hint="eastAsia"/>
                <w:color w:val="auto"/>
                <w:sz w:val="21"/>
                <w:szCs w:val="21"/>
                <w:highlight w:val="none"/>
                <w:lang w:val="en-US" w:eastAsia="zh-CN"/>
              </w:rPr>
              <w:t>，或者使用</w:t>
            </w:r>
            <w:r>
              <w:rPr>
                <w:rFonts w:ascii="宋体" w:eastAsia="宋体" w:hAnsi="宋体" w:cs="宋体" w:hint="eastAsia"/>
                <w:b/>
                <w:bCs/>
                <w:color w:val="auto"/>
                <w:sz w:val="21"/>
                <w:szCs w:val="21"/>
                <w:highlight w:val="none"/>
                <w:lang w:val="en-US" w:eastAsia="zh-CN"/>
              </w:rPr>
              <w:t>同一设备编制</w:t>
            </w:r>
            <w:r>
              <w:rPr>
                <w:rFonts w:ascii="宋体" w:eastAsia="宋体" w:hAnsi="宋体" w:cs="宋体" w:hint="eastAsia"/>
                <w:color w:val="auto"/>
                <w:sz w:val="21"/>
                <w:szCs w:val="21"/>
                <w:highlight w:val="none"/>
                <w:lang w:val="en-US" w:eastAsia="zh-CN"/>
              </w:rPr>
              <w:t>（“文件制作机器码”“文件创建标识码”一致）。</w:t>
            </w:r>
          </w:p>
        </w:tc>
      </w:tr>
      <w:tr>
        <w:tblPrEx>
          <w:tblW w:w="0" w:type="auto"/>
          <w:tblInd w:w="0" w:type="dxa"/>
          <w:tblCellMar>
            <w:top w:w="0" w:type="dxa"/>
            <w:left w:w="108" w:type="dxa"/>
            <w:bottom w:w="0" w:type="dxa"/>
            <w:right w:w="108" w:type="dxa"/>
          </w:tblCellMar>
        </w:tblPrEx>
        <w:trPr>
          <w:trHeight w:val="90"/>
        </w:trPr>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5</w:t>
            </w:r>
          </w:p>
        </w:tc>
        <w:tc>
          <w:tcPr>
            <w:tcW w:w="7811"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提供</w:t>
            </w:r>
            <w:r>
              <w:rPr>
                <w:rFonts w:ascii="宋体" w:eastAsia="宋体" w:hAnsi="宋体" w:cs="宋体" w:hint="eastAsia"/>
                <w:b/>
                <w:bCs/>
                <w:color w:val="auto"/>
                <w:sz w:val="21"/>
                <w:szCs w:val="21"/>
                <w:highlight w:val="none"/>
                <w:lang w:val="en-US" w:eastAsia="zh-CN"/>
              </w:rPr>
              <w:t>未经出具机构核实</w:t>
            </w:r>
            <w:r>
              <w:rPr>
                <w:rFonts w:ascii="宋体" w:eastAsia="宋体" w:hAnsi="宋体" w:cs="宋体" w:hint="eastAsia"/>
                <w:color w:val="auto"/>
                <w:sz w:val="21"/>
                <w:szCs w:val="21"/>
                <w:highlight w:val="none"/>
                <w:lang w:val="en-US" w:eastAsia="zh-CN"/>
              </w:rPr>
              <w:t>的虚假的检验检测报告、业绩材料、社保缴纳证明、学历学位证书、职称认证证书等材料。</w:t>
            </w:r>
          </w:p>
        </w:tc>
      </w:tr>
      <w:tr>
        <w:tblPrEx>
          <w:tblW w:w="0" w:type="auto"/>
          <w:tblInd w:w="0" w:type="dxa"/>
          <w:tblCellMar>
            <w:top w:w="0" w:type="dxa"/>
            <w:left w:w="108" w:type="dxa"/>
            <w:bottom w:w="0" w:type="dxa"/>
            <w:right w:w="108" w:type="dxa"/>
          </w:tblCellMar>
        </w:tblPrEx>
        <w:tc>
          <w:tcPr>
            <w:tcW w:w="71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eastAsia="宋体" w:hAnsi="宋体" w:cs="宋体" w:hint="eastAsia"/>
                <w:color w:val="auto"/>
                <w:sz w:val="21"/>
                <w:szCs w:val="21"/>
                <w:highlight w:val="none"/>
                <w:lang w:val="en-US" w:eastAsia="zh-CN"/>
              </w:rPr>
            </w:pPr>
            <w:r>
              <w:rPr>
                <w:rFonts w:ascii="宋体" w:eastAsia="宋体" w:hAnsi="宋体" w:cs="宋体" w:hint="eastAsia"/>
                <w:color w:val="auto"/>
                <w:sz w:val="21"/>
                <w:szCs w:val="21"/>
                <w:highlight w:val="none"/>
                <w:lang w:val="en-US" w:eastAsia="zh-CN"/>
              </w:rPr>
              <w:t>6</w:t>
            </w:r>
          </w:p>
        </w:tc>
        <w:tc>
          <w:tcPr>
            <w:tcW w:w="7811"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color w:val="auto"/>
                <w:kern w:val="2"/>
                <w:sz w:val="21"/>
                <w:szCs w:val="21"/>
                <w:highlight w:val="none"/>
                <w:lang w:val="en-US" w:eastAsia="zh-CN" w:bidi="ar-SA"/>
              </w:rPr>
            </w:pPr>
            <w:r>
              <w:rPr>
                <w:rFonts w:ascii="宋体" w:eastAsia="宋体" w:hAnsi="宋体" w:cs="宋体" w:hint="eastAsia"/>
                <w:color w:val="auto"/>
                <w:sz w:val="21"/>
                <w:szCs w:val="21"/>
                <w:highlight w:val="none"/>
                <w:lang w:val="en-US" w:eastAsia="zh-CN"/>
              </w:rPr>
              <w:t>擅自将投标密钥或电子营业执照出借他人使用或未妥善保管。</w:t>
            </w:r>
          </w:p>
        </w:tc>
      </w:tr>
    </w:tbl>
    <w:p>
      <w:pPr>
        <w:spacing w:before="120" w:beforeLines="50" w:line="360" w:lineRule="auto"/>
        <w:ind w:firstLine="420" w:firstLineChars="200"/>
        <w:rPr>
          <w:rFonts w:ascii="宋体" w:eastAsia="宋体" w:hAnsi="宋体" w:cs="宋体" w:hint="eastAsia"/>
          <w:b/>
          <w:color w:val="auto"/>
          <w:szCs w:val="21"/>
        </w:rPr>
      </w:pPr>
      <w:r>
        <w:rPr>
          <w:rFonts w:ascii="宋体" w:eastAsia="宋体" w:hAnsi="宋体" w:cs="宋体" w:hint="eastAsia"/>
          <w:b/>
          <w:color w:val="auto"/>
          <w:szCs w:val="21"/>
        </w:rPr>
        <w:t>一、</w:t>
      </w:r>
      <w:r>
        <w:rPr>
          <w:rFonts w:ascii="宋体" w:eastAsia="宋体" w:hAnsi="宋体" w:cs="宋体" w:hint="eastAsia"/>
          <w:b/>
          <w:color w:val="auto"/>
          <w:szCs w:val="21"/>
          <w:lang w:eastAsia="zh-CN"/>
        </w:rPr>
        <w:t>我</w:t>
      </w:r>
      <w:r>
        <w:rPr>
          <w:rFonts w:ascii="宋体" w:eastAsia="宋体" w:hAnsi="宋体" w:cs="宋体" w:hint="eastAsia"/>
          <w:b/>
          <w:color w:val="auto"/>
          <w:szCs w:val="21"/>
          <w:lang w:val="en-US" w:eastAsia="zh-CN"/>
        </w:rPr>
        <w:t>单位</w:t>
      </w:r>
      <w:r>
        <w:rPr>
          <w:rFonts w:ascii="宋体" w:eastAsia="宋体" w:hAnsi="宋体" w:cs="宋体" w:hint="eastAsia"/>
          <w:b/>
          <w:color w:val="auto"/>
          <w:szCs w:val="21"/>
        </w:rPr>
        <w:t>已充分知悉“隐瞒真实情况，提供虚假资料”的法定情形，包括但不限于：</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（一）通过转让或者租借等方式从其他单位获取资格或者资质证书投标的</w:t>
      </w:r>
      <w:r>
        <w:rPr>
          <w:rFonts w:ascii="宋体" w:eastAsia="宋体" w:hAnsi="宋体" w:cs="宋体" w:hint="eastAsia"/>
          <w:color w:val="auto"/>
          <w:szCs w:val="21"/>
          <w:highlight w:val="none"/>
        </w:rPr>
        <w:t>。</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（二）由其他单位或者其他单位负责人在投标供应商编制的投标文件上加盖印章或者签字的。</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（三）项目负责人或者主要技术人员不是本单位人员的。</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（四）投标保证金不是从投标供应商基本账户转出的。</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（五）其他隐瞒真实情况、提供虚假资料的行为。</w:t>
      </w:r>
    </w:p>
    <w:p>
      <w:pPr>
        <w:spacing w:beforeLines="0" w:line="360" w:lineRule="auto"/>
        <w:ind w:firstLine="420" w:firstLineChars="200"/>
        <w:rPr>
          <w:rFonts w:ascii="宋体" w:eastAsia="宋体" w:hAnsi="宋体" w:cs="宋体" w:hint="eastAsia"/>
          <w:b/>
          <w:color w:val="auto"/>
          <w:szCs w:val="21"/>
        </w:rPr>
      </w:pPr>
      <w:r>
        <w:rPr>
          <w:rFonts w:ascii="宋体" w:eastAsia="宋体" w:hAnsi="宋体" w:cs="宋体" w:hint="eastAsia"/>
          <w:b/>
          <w:color w:val="auto"/>
          <w:szCs w:val="21"/>
        </w:rPr>
        <w:t>二、</w:t>
      </w:r>
      <w:r>
        <w:rPr>
          <w:rFonts w:ascii="宋体" w:eastAsia="宋体" w:hAnsi="宋体" w:cs="宋体" w:hint="eastAsia"/>
          <w:b/>
          <w:color w:val="auto"/>
          <w:szCs w:val="21"/>
          <w:lang w:eastAsia="zh-CN"/>
        </w:rPr>
        <w:t>我</w:t>
      </w:r>
      <w:r>
        <w:rPr>
          <w:rFonts w:ascii="宋体" w:eastAsia="宋体" w:hAnsi="宋体" w:cs="宋体" w:hint="eastAsia"/>
          <w:b/>
          <w:color w:val="auto"/>
          <w:szCs w:val="21"/>
          <w:lang w:val="en-US" w:eastAsia="zh-CN"/>
        </w:rPr>
        <w:t>单位</w:t>
      </w:r>
      <w:r>
        <w:rPr>
          <w:rFonts w:ascii="宋体" w:eastAsia="宋体" w:hAnsi="宋体" w:cs="宋体" w:hint="eastAsia"/>
          <w:b/>
          <w:color w:val="auto"/>
          <w:szCs w:val="21"/>
        </w:rPr>
        <w:t>已充分知悉“与其他采购参加人串通投标”的法定情形，包括但不限于：</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（一）投标供应商之间相互约定给予未中标的供应商利益补偿。</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（二）不同投标供应商的法定代表人、主要经营负责人、项目投标授权代表人、项目负责人、主要技术人员为同一人、属同一单位或者在同一单位缴纳社会保险。</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（三）不同投标供应商的投标文件由同一单位或者同一人编制，或者由同一人分阶段参与编制的。</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（四）不同投标供应商的投标文件或部分投标文件相互混装。</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（五）不同投标供应商的投标文件内容存在非正常一致。</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（六）由同一单位工作人员为两家以上（含两家）供应商进行同一项投标活动的。</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（七）不同投标人的投标报价呈规律性差异。</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（八）不同投标人的投标保证金从同一单位或者个人的账户转出。</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（九）主管部门依照法律、法规认定的其他情形。</w:t>
      </w:r>
    </w:p>
    <w:p>
      <w:pPr>
        <w:spacing w:beforeLines="0" w:line="360" w:lineRule="auto"/>
        <w:ind w:firstLine="420" w:firstLineChars="200"/>
        <w:rPr>
          <w:rFonts w:ascii="宋体" w:eastAsia="宋体" w:hAnsi="宋体" w:cs="宋体" w:hint="eastAsia"/>
          <w:b/>
          <w:color w:val="auto"/>
          <w:szCs w:val="21"/>
        </w:rPr>
      </w:pPr>
      <w:r>
        <w:rPr>
          <w:rFonts w:ascii="宋体" w:eastAsia="宋体" w:hAnsi="宋体" w:cs="宋体" w:hint="eastAsia"/>
          <w:b/>
          <w:color w:val="auto"/>
          <w:szCs w:val="21"/>
        </w:rPr>
        <w:t>三、</w:t>
      </w:r>
      <w:r>
        <w:rPr>
          <w:rFonts w:ascii="宋体" w:eastAsia="宋体" w:hAnsi="宋体" w:cs="宋体" w:hint="eastAsia"/>
          <w:b/>
          <w:color w:val="auto"/>
          <w:szCs w:val="21"/>
          <w:lang w:eastAsia="zh-CN"/>
        </w:rPr>
        <w:t>我</w:t>
      </w:r>
      <w:r>
        <w:rPr>
          <w:rFonts w:ascii="宋体" w:eastAsia="宋体" w:hAnsi="宋体" w:cs="宋体" w:hint="eastAsia"/>
          <w:b/>
          <w:color w:val="auto"/>
          <w:szCs w:val="21"/>
          <w:lang w:val="en-US" w:eastAsia="zh-CN"/>
        </w:rPr>
        <w:t>单位</w:t>
      </w:r>
      <w:r>
        <w:rPr>
          <w:rFonts w:ascii="宋体" w:eastAsia="宋体" w:hAnsi="宋体" w:cs="宋体" w:hint="eastAsia"/>
          <w:b/>
          <w:color w:val="auto"/>
          <w:szCs w:val="21"/>
        </w:rPr>
        <w:t>已充分知悉下列情形</w:t>
      </w:r>
      <w:r>
        <w:rPr>
          <w:rFonts w:ascii="宋体" w:eastAsia="宋体" w:hAnsi="宋体" w:cs="宋体" w:hint="eastAsia"/>
          <w:b/>
          <w:color w:val="auto"/>
          <w:szCs w:val="21"/>
          <w:lang w:eastAsia="zh-CN"/>
        </w:rPr>
        <w:t>存在</w:t>
      </w:r>
      <w:r>
        <w:rPr>
          <w:rFonts w:ascii="宋体" w:eastAsia="宋体" w:hAnsi="宋体" w:cs="宋体" w:hint="eastAsia"/>
          <w:b/>
          <w:color w:val="auto"/>
          <w:szCs w:val="21"/>
        </w:rPr>
        <w:t>法律风险，在投标前已对相关风险事项进行排</w:t>
      </w:r>
      <w:r>
        <w:rPr>
          <w:rFonts w:ascii="宋体" w:eastAsia="宋体" w:hAnsi="宋体" w:cs="宋体" w:hint="eastAsia"/>
          <w:b/>
          <w:color w:val="auto"/>
          <w:szCs w:val="21"/>
          <w:highlight w:val="none"/>
        </w:rPr>
        <w:t>查。</w:t>
      </w:r>
    </w:p>
    <w:p>
      <w:pPr>
        <w:spacing w:beforeLines="0" w:line="360" w:lineRule="auto"/>
        <w:ind w:firstLine="420" w:firstLineChars="200"/>
        <w:rPr>
          <w:rFonts w:ascii="宋体" w:eastAsia="宋体" w:hAnsi="宋体" w:cs="宋体" w:hint="eastAsia"/>
          <w:b/>
          <w:color w:val="auto"/>
          <w:szCs w:val="21"/>
        </w:rPr>
      </w:pPr>
      <w:r>
        <w:rPr>
          <w:rFonts w:ascii="宋体" w:eastAsia="宋体" w:hAnsi="宋体" w:cs="宋体" w:hint="eastAsia"/>
          <w:color w:val="auto"/>
          <w:szCs w:val="21"/>
        </w:rPr>
        <w:t>（一）对于从其他主体获取的投标资料，</w:t>
      </w:r>
      <w:r>
        <w:rPr>
          <w:rFonts w:ascii="宋体" w:eastAsia="宋体" w:hAnsi="宋体" w:cs="宋体" w:hint="eastAsia"/>
          <w:color w:val="auto"/>
          <w:szCs w:val="21"/>
          <w:lang w:eastAsia="zh-CN"/>
        </w:rPr>
        <w:t>我</w:t>
      </w:r>
      <w:r>
        <w:rPr>
          <w:rFonts w:ascii="宋体" w:eastAsia="宋体" w:hAnsi="宋体" w:cs="宋体" w:hint="eastAsia"/>
          <w:color w:val="auto"/>
          <w:szCs w:val="21"/>
          <w:lang w:val="en-US" w:eastAsia="zh-CN"/>
        </w:rPr>
        <w:t>单位</w:t>
      </w:r>
      <w:r>
        <w:rPr>
          <w:rFonts w:ascii="宋体" w:eastAsia="宋体" w:hAnsi="宋体" w:cs="宋体" w:hint="eastAsia"/>
          <w:color w:val="auto"/>
          <w:szCs w:val="21"/>
        </w:rPr>
        <w:t>应审慎核查，确保</w:t>
      </w:r>
      <w:r>
        <w:rPr>
          <w:rFonts w:ascii="宋体" w:eastAsia="宋体" w:hAnsi="宋体" w:cs="宋体" w:hint="eastAsia"/>
          <w:color w:val="auto"/>
          <w:szCs w:val="21"/>
          <w:lang w:eastAsia="zh-CN"/>
        </w:rPr>
        <w:t>其</w:t>
      </w:r>
      <w:r>
        <w:rPr>
          <w:rFonts w:ascii="宋体" w:eastAsia="宋体" w:hAnsi="宋体" w:cs="宋体" w:hint="eastAsia"/>
          <w:color w:val="auto"/>
          <w:szCs w:val="21"/>
        </w:rPr>
        <w:t>真实性。</w:t>
      </w:r>
      <w:r>
        <w:rPr>
          <w:rFonts w:ascii="宋体" w:eastAsia="宋体" w:hAnsi="宋体" w:cs="宋体" w:hint="eastAsia"/>
          <w:b/>
          <w:color w:val="auto"/>
          <w:szCs w:val="21"/>
        </w:rPr>
        <w:t>如主管部门查实投标文件中存在虚假资料的，无论相关资料是否由第三方或本公司员工提供，均不影响主管部门对供应商存在“隐瞒真实情况，提供虚假资料”违法行为的认定。</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（二）对于涉及国家机关出具的公文、证件、证明材料等文件，一旦涉嫌虚假，经查实，主管部门将依法从严处理，并移送有关部门追究法律责任；涉嫌犯罪的，移送司法机关</w:t>
      </w:r>
      <w:r>
        <w:rPr>
          <w:rFonts w:ascii="宋体" w:eastAsia="宋体" w:hAnsi="宋体" w:cs="宋体" w:hint="eastAsia"/>
          <w:color w:val="auto"/>
          <w:szCs w:val="21"/>
          <w:lang w:eastAsia="zh-CN"/>
        </w:rPr>
        <w:t>处理</w:t>
      </w:r>
      <w:r>
        <w:rPr>
          <w:rFonts w:ascii="宋体" w:eastAsia="宋体" w:hAnsi="宋体" w:cs="宋体" w:hint="eastAsia"/>
          <w:color w:val="auto"/>
          <w:szCs w:val="21"/>
        </w:rPr>
        <w:t>。</w:t>
      </w:r>
    </w:p>
    <w:p>
      <w:pPr>
        <w:spacing w:beforeLines="0" w:line="360" w:lineRule="auto"/>
        <w:ind w:firstLine="420" w:firstLineChars="200"/>
        <w:rPr>
          <w:rFonts w:ascii="宋体" w:eastAsia="宋体" w:hAnsi="宋体" w:cs="宋体" w:hint="eastAsia"/>
          <w:color w:val="auto"/>
          <w:szCs w:val="21"/>
        </w:rPr>
      </w:pPr>
      <w:r>
        <w:rPr>
          <w:rFonts w:ascii="宋体" w:eastAsia="宋体" w:hAnsi="宋体" w:cs="宋体" w:hint="eastAsia"/>
          <w:color w:val="auto"/>
          <w:szCs w:val="21"/>
        </w:rPr>
        <w:t>（</w:t>
      </w:r>
      <w:r>
        <w:rPr>
          <w:rFonts w:ascii="宋体" w:eastAsia="宋体" w:hAnsi="宋体" w:cs="宋体" w:hint="eastAsia"/>
          <w:color w:val="auto"/>
          <w:szCs w:val="21"/>
          <w:lang w:eastAsia="zh-CN"/>
        </w:rPr>
        <w:t>三</w:t>
      </w:r>
      <w:r>
        <w:rPr>
          <w:rFonts w:ascii="宋体" w:eastAsia="宋体" w:hAnsi="宋体" w:cs="宋体" w:hint="eastAsia"/>
          <w:color w:val="auto"/>
          <w:szCs w:val="21"/>
        </w:rPr>
        <w:t>）</w:t>
      </w:r>
      <w:r>
        <w:rPr>
          <w:rFonts w:ascii="宋体" w:eastAsia="宋体" w:hAnsi="宋体" w:cs="宋体" w:hint="eastAsia"/>
          <w:color w:val="auto"/>
          <w:szCs w:val="21"/>
          <w:lang w:eastAsia="zh-CN"/>
        </w:rPr>
        <w:t>我</w:t>
      </w:r>
      <w:r>
        <w:rPr>
          <w:rFonts w:ascii="宋体" w:eastAsia="宋体" w:hAnsi="宋体" w:cs="宋体" w:hint="eastAsia"/>
          <w:color w:val="auto"/>
          <w:szCs w:val="21"/>
          <w:lang w:val="en-US" w:eastAsia="zh-CN"/>
        </w:rPr>
        <w:t>单位</w:t>
      </w:r>
      <w:r>
        <w:rPr>
          <w:rFonts w:ascii="宋体" w:eastAsia="宋体" w:hAnsi="宋体" w:cs="宋体" w:hint="eastAsia"/>
          <w:color w:val="auto"/>
          <w:szCs w:val="21"/>
        </w:rPr>
        <w:t>对投标电子密钥</w:t>
      </w:r>
      <w:r>
        <w:rPr>
          <w:rFonts w:ascii="宋体" w:eastAsia="宋体" w:hAnsi="宋体" w:cs="宋体" w:hint="eastAsia"/>
          <w:color w:val="auto"/>
          <w:szCs w:val="21"/>
          <w:lang w:eastAsia="zh-CN"/>
        </w:rPr>
        <w:t>或</w:t>
      </w:r>
      <w:r>
        <w:rPr>
          <w:rFonts w:ascii="宋体" w:eastAsia="宋体" w:hAnsi="宋体" w:cs="宋体" w:hint="eastAsia"/>
          <w:color w:val="auto"/>
          <w:szCs w:val="21"/>
          <w:lang w:val="en-US" w:eastAsia="zh-CN"/>
        </w:rPr>
        <w:t>电子营业执照</w:t>
      </w:r>
      <w:r>
        <w:rPr>
          <w:rFonts w:ascii="宋体" w:eastAsia="宋体" w:hAnsi="宋体" w:cs="宋体" w:hint="eastAsia"/>
          <w:color w:val="auto"/>
          <w:szCs w:val="21"/>
        </w:rPr>
        <w:t>负有妥善保管、及时变更和续期等主体责任</w:t>
      </w:r>
      <w:r>
        <w:rPr>
          <w:rFonts w:ascii="宋体" w:eastAsia="宋体" w:hAnsi="宋体" w:cs="宋体" w:hint="eastAsia"/>
          <w:color w:val="auto"/>
          <w:szCs w:val="21"/>
          <w:lang w:eastAsia="zh-CN"/>
        </w:rPr>
        <w:t>；</w:t>
      </w:r>
      <w:r>
        <w:rPr>
          <w:rFonts w:ascii="宋体" w:eastAsia="宋体" w:hAnsi="宋体" w:cs="宋体" w:hint="eastAsia"/>
          <w:color w:val="auto"/>
          <w:szCs w:val="21"/>
        </w:rPr>
        <w:t>使用电子密钥</w:t>
      </w:r>
      <w:r>
        <w:rPr>
          <w:rFonts w:ascii="宋体" w:eastAsia="宋体" w:hAnsi="宋体" w:cs="宋体" w:hint="eastAsia"/>
          <w:color w:val="auto"/>
          <w:szCs w:val="21"/>
          <w:lang w:eastAsia="zh-CN"/>
        </w:rPr>
        <w:t>或</w:t>
      </w:r>
      <w:r>
        <w:rPr>
          <w:rFonts w:ascii="宋体" w:eastAsia="宋体" w:hAnsi="宋体" w:cs="宋体" w:hint="eastAsia"/>
          <w:color w:val="auto"/>
          <w:szCs w:val="21"/>
          <w:lang w:val="en-US" w:eastAsia="zh-CN"/>
        </w:rPr>
        <w:t>电子营业执照</w:t>
      </w:r>
      <w:r>
        <w:rPr>
          <w:rFonts w:ascii="宋体" w:eastAsia="宋体" w:hAnsi="宋体" w:cs="宋体" w:hint="eastAsia"/>
          <w:color w:val="auto"/>
          <w:szCs w:val="21"/>
        </w:rPr>
        <w:t>在深圳政府采购网站进行的活动，均具有法律效力，须承担相应的法律后果。</w:t>
      </w:r>
      <w:r>
        <w:rPr>
          <w:rFonts w:ascii="宋体" w:eastAsia="宋体" w:hAnsi="宋体" w:cs="宋体" w:hint="eastAsia"/>
          <w:color w:val="auto"/>
          <w:szCs w:val="21"/>
          <w:lang w:eastAsia="zh-CN"/>
        </w:rPr>
        <w:t>若</w:t>
      </w:r>
      <w:r>
        <w:rPr>
          <w:rFonts w:ascii="宋体" w:eastAsia="宋体" w:hAnsi="宋体" w:cs="宋体" w:hint="eastAsia"/>
          <w:b/>
          <w:bCs/>
          <w:color w:val="auto"/>
          <w:szCs w:val="21"/>
        </w:rPr>
        <w:t>擅自将投标密钥</w:t>
      </w:r>
      <w:r>
        <w:rPr>
          <w:rFonts w:ascii="宋体" w:eastAsia="宋体" w:hAnsi="宋体" w:cs="宋体" w:hint="eastAsia"/>
          <w:b/>
          <w:bCs/>
          <w:color w:val="auto"/>
          <w:szCs w:val="21"/>
          <w:lang w:eastAsia="zh-CN"/>
        </w:rPr>
        <w:t>或</w:t>
      </w:r>
      <w:r>
        <w:rPr>
          <w:rFonts w:ascii="宋体" w:eastAsia="宋体" w:hAnsi="宋体" w:cs="宋体" w:hint="eastAsia"/>
          <w:b/>
          <w:bCs/>
          <w:color w:val="auto"/>
          <w:szCs w:val="21"/>
          <w:lang w:val="en-US" w:eastAsia="zh-CN"/>
        </w:rPr>
        <w:t>电子营业执照</w:t>
      </w:r>
      <w:r>
        <w:rPr>
          <w:rFonts w:ascii="宋体" w:eastAsia="宋体" w:hAnsi="宋体" w:cs="宋体" w:hint="eastAsia"/>
          <w:b/>
          <w:bCs/>
          <w:color w:val="auto"/>
          <w:szCs w:val="21"/>
        </w:rPr>
        <w:t>出借他人使用所造成的法律后果，由</w:t>
      </w:r>
      <w:r>
        <w:rPr>
          <w:rFonts w:ascii="宋体" w:eastAsia="宋体" w:hAnsi="宋体" w:cs="宋体" w:hint="eastAsia"/>
          <w:b/>
          <w:bCs/>
          <w:color w:val="auto"/>
          <w:szCs w:val="21"/>
          <w:lang w:eastAsia="zh-CN"/>
        </w:rPr>
        <w:t>我</w:t>
      </w:r>
      <w:r>
        <w:rPr>
          <w:rFonts w:ascii="宋体" w:eastAsia="宋体" w:hAnsi="宋体" w:cs="宋体" w:hint="eastAsia"/>
          <w:b/>
          <w:bCs/>
          <w:color w:val="auto"/>
          <w:szCs w:val="21"/>
          <w:lang w:val="en-US" w:eastAsia="zh-CN"/>
        </w:rPr>
        <w:t>单位</w:t>
      </w:r>
      <w:r>
        <w:rPr>
          <w:rFonts w:ascii="宋体" w:eastAsia="宋体" w:hAnsi="宋体" w:cs="宋体" w:hint="eastAsia"/>
          <w:b/>
          <w:bCs/>
          <w:color w:val="auto"/>
          <w:szCs w:val="21"/>
        </w:rPr>
        <w:t>自行承担</w:t>
      </w:r>
      <w:r>
        <w:rPr>
          <w:rFonts w:ascii="宋体" w:eastAsia="宋体" w:hAnsi="宋体" w:cs="宋体" w:hint="eastAsia"/>
          <w:color w:val="auto"/>
          <w:szCs w:val="21"/>
        </w:rPr>
        <w:t>。</w:t>
      </w:r>
    </w:p>
    <w:p>
      <w:pPr>
        <w:spacing w:beforeLines="0" w:line="360" w:lineRule="auto"/>
        <w:ind w:firstLine="420" w:firstLineChars="200"/>
        <w:rPr>
          <w:rFonts w:ascii="宋体" w:eastAsia="宋体" w:hAnsi="宋体" w:cs="宋体" w:hint="eastAsia"/>
          <w:b/>
          <w:color w:val="auto"/>
          <w:szCs w:val="21"/>
        </w:rPr>
      </w:pPr>
      <w:r>
        <w:rPr>
          <w:rFonts w:ascii="宋体" w:eastAsia="宋体" w:hAnsi="宋体" w:cs="宋体" w:hint="eastAsia"/>
          <w:b/>
          <w:color w:val="auto"/>
          <w:szCs w:val="21"/>
        </w:rPr>
        <w:t>四、</w:t>
      </w:r>
      <w:r>
        <w:rPr>
          <w:rFonts w:ascii="宋体" w:eastAsia="宋体" w:hAnsi="宋体" w:cs="宋体" w:hint="eastAsia"/>
          <w:b/>
          <w:color w:val="auto"/>
          <w:szCs w:val="21"/>
          <w:lang w:eastAsia="zh-CN"/>
        </w:rPr>
        <w:t>我</w:t>
      </w:r>
      <w:r>
        <w:rPr>
          <w:rFonts w:ascii="宋体" w:eastAsia="宋体" w:hAnsi="宋体" w:cs="宋体" w:hint="eastAsia"/>
          <w:b/>
          <w:color w:val="auto"/>
          <w:szCs w:val="21"/>
          <w:lang w:val="en-US" w:eastAsia="zh-CN"/>
        </w:rPr>
        <w:t>单位</w:t>
      </w:r>
      <w:r>
        <w:rPr>
          <w:rFonts w:ascii="宋体" w:eastAsia="宋体" w:hAnsi="宋体" w:cs="宋体" w:hint="eastAsia"/>
          <w:b/>
          <w:color w:val="auto"/>
          <w:szCs w:val="21"/>
        </w:rPr>
        <w:t>已充分知悉政府采购违法、违规行为的法律</w:t>
      </w:r>
      <w:r>
        <w:rPr>
          <w:rFonts w:ascii="宋体" w:eastAsia="宋体" w:hAnsi="宋体" w:cs="宋体" w:hint="eastAsia"/>
          <w:b/>
          <w:color w:val="auto"/>
          <w:szCs w:val="21"/>
          <w:highlight w:val="none"/>
        </w:rPr>
        <w:t>后果。</w:t>
      </w:r>
    </w:p>
    <w:p>
      <w:pPr>
        <w:spacing w:beforeLines="0" w:line="360" w:lineRule="auto"/>
        <w:ind w:firstLine="420" w:firstLineChars="200"/>
        <w:rPr>
          <w:rFonts w:ascii="宋体" w:eastAsia="宋体" w:hAnsi="宋体" w:cs="宋体" w:hint="eastAsia"/>
          <w:color w:val="auto"/>
          <w:szCs w:val="21"/>
          <w:highlight w:val="none"/>
        </w:rPr>
      </w:pPr>
      <w:r>
        <w:rPr>
          <w:rFonts w:ascii="宋体" w:eastAsia="宋体" w:hAnsi="宋体" w:cs="宋体" w:hint="eastAsia"/>
          <w:color w:val="auto"/>
          <w:szCs w:val="21"/>
        </w:rPr>
        <w:t>经查实，若</w:t>
      </w:r>
      <w:r>
        <w:rPr>
          <w:rFonts w:ascii="宋体" w:eastAsia="宋体" w:hAnsi="宋体" w:cs="宋体" w:hint="eastAsia"/>
          <w:color w:val="auto"/>
          <w:szCs w:val="21"/>
          <w:lang w:eastAsia="zh-CN"/>
        </w:rPr>
        <w:t>我</w:t>
      </w:r>
      <w:r>
        <w:rPr>
          <w:rFonts w:ascii="宋体" w:eastAsia="宋体" w:hAnsi="宋体" w:cs="宋体" w:hint="eastAsia"/>
          <w:color w:val="auto"/>
          <w:szCs w:val="21"/>
          <w:lang w:val="en-US" w:eastAsia="zh-CN"/>
        </w:rPr>
        <w:t>单位</w:t>
      </w:r>
      <w:r>
        <w:rPr>
          <w:rFonts w:ascii="宋体" w:eastAsia="宋体" w:hAnsi="宋体" w:cs="宋体" w:hint="eastAsia"/>
          <w:color w:val="auto"/>
          <w:szCs w:val="21"/>
        </w:rPr>
        <w:t>存在政府采购违法、违规行为，主管部门将依据《深圳经济特区政府采购条例》第五十七条的规定，处以一至三年内禁止参与本市政府采购，并记入供应商诚信档案，处采购金额千分之十以上千分之二十以下罚款；情节严重的，取消参与本市政府采购资格，处采购金额千</w:t>
      </w:r>
      <w:r>
        <w:rPr>
          <w:rFonts w:ascii="宋体" w:eastAsia="宋体" w:hAnsi="宋体" w:cs="宋体" w:hint="eastAsia"/>
          <w:color w:val="auto"/>
          <w:szCs w:val="21"/>
          <w:highlight w:val="none"/>
        </w:rPr>
        <w:t>分之二十以上千分之三十以下罚款，由市场监管部门依法吊销营业执照。</w:t>
      </w:r>
    </w:p>
    <w:p>
      <w:pPr>
        <w:spacing w:beforeLines="0" w:line="360" w:lineRule="auto"/>
        <w:ind w:firstLine="420" w:firstLineChars="200"/>
        <w:rPr>
          <w:rFonts w:ascii="宋体" w:eastAsia="宋体" w:hAnsi="宋体" w:cs="宋体" w:hint="eastAsia"/>
          <w:color w:val="auto"/>
          <w:szCs w:val="21"/>
          <w:highlight w:val="yellow"/>
        </w:rPr>
      </w:pPr>
      <w:r>
        <w:rPr>
          <w:rFonts w:ascii="宋体" w:eastAsia="宋体" w:hAnsi="宋体" w:cs="宋体" w:hint="eastAsia"/>
          <w:color w:val="auto"/>
          <w:szCs w:val="21"/>
          <w:highlight w:val="yellow"/>
        </w:rPr>
        <w:t>以下文字请投标供应商抄写并确认：“</w:t>
      </w:r>
      <w:r>
        <w:rPr>
          <w:rFonts w:ascii="宋体" w:eastAsia="宋体" w:hAnsi="宋体" w:cs="宋体" w:hint="eastAsia"/>
          <w:color w:val="auto"/>
          <w:szCs w:val="21"/>
          <w:highlight w:val="yellow"/>
          <w:lang w:eastAsia="zh-CN"/>
        </w:rPr>
        <w:t>我</w:t>
      </w:r>
      <w:r>
        <w:rPr>
          <w:rFonts w:ascii="宋体" w:eastAsia="宋体" w:hAnsi="宋体" w:cs="宋体" w:hint="eastAsia"/>
          <w:color w:val="auto"/>
          <w:szCs w:val="21"/>
          <w:highlight w:val="yellow"/>
          <w:lang w:val="en-US" w:eastAsia="zh-CN"/>
        </w:rPr>
        <w:t>单位</w:t>
      </w:r>
      <w:r>
        <w:rPr>
          <w:rFonts w:ascii="宋体" w:eastAsia="宋体" w:hAnsi="宋体" w:cs="宋体" w:hint="eastAsia"/>
          <w:color w:val="auto"/>
          <w:szCs w:val="21"/>
          <w:highlight w:val="yellow"/>
        </w:rPr>
        <w:t>已仔细阅读《政府采购违法行为风险知悉确认书》，充分知悉违法行为的法律后果，并承诺将严谨、诚信、依法依规参与政府采购活动”。</w:t>
      </w:r>
    </w:p>
    <w:tbl>
      <w:tblPr>
        <w:tblStyle w:val="14"/>
        <w:tblW w:w="8529" w:type="dxa"/>
        <w:tblInd w:w="0" w:type="dxa"/>
        <w:tblBorders>
          <w:top w:val="nil"/>
          <w:left w:val="nil"/>
          <w:bottom w:val="single" w:sz="4" w:space="0" w:color="auto"/>
          <w:right w:val="nil"/>
          <w:insideH w:val="nil"/>
          <w:insideV w:val="nil"/>
        </w:tblBorders>
        <w:tblLayout w:type="fixed"/>
        <w:tblCellMar>
          <w:top w:w="0" w:type="dxa"/>
          <w:left w:w="108" w:type="dxa"/>
          <w:bottom w:w="0" w:type="dxa"/>
          <w:right w:w="108" w:type="dxa"/>
        </w:tblCellMar>
      </w:tblPr>
      <w:tblGrid>
        <w:gridCol w:w="8529"/>
      </w:tblGrid>
      <w:tr>
        <w:tblPrEx>
          <w:tblW w:w="8529" w:type="dxa"/>
          <w:tblInd w:w="0" w:type="dxa"/>
          <w:tblBorders>
            <w:top w:val="nil"/>
            <w:left w:val="nil"/>
            <w:bottom w:val="single" w:sz="4" w:space="0" w:color="auto"/>
            <w:right w:val="nil"/>
            <w:insideH w:val="nil"/>
            <w:insideV w:val="nil"/>
          </w:tblBorders>
          <w:tblLayout w:type="fixed"/>
          <w:tblCellMar>
            <w:top w:w="0" w:type="dxa"/>
            <w:left w:w="108" w:type="dxa"/>
            <w:bottom w:w="0" w:type="dxa"/>
            <w:right w:w="108" w:type="dxa"/>
          </w:tblCellMar>
        </w:tblPrEx>
        <w:trPr>
          <w:trHeight w:val="304"/>
        </w:trPr>
        <w:tc>
          <w:tcPr>
            <w:tcW w:w="8529" w:type="dxa"/>
            <w:tcBorders>
              <w:top w:val="nil"/>
              <w:left w:val="nil"/>
              <w:bottom w:val="single" w:sz="8" w:space="0" w:color="000000"/>
              <w:right w:val="nil"/>
            </w:tcBorders>
            <w:noWrap w:val="0"/>
            <w:vAlign w:val="top"/>
          </w:tcPr>
          <w:p>
            <w:pPr>
              <w:autoSpaceDE w:val="0"/>
              <w:autoSpaceDN w:val="0"/>
              <w:spacing w:beforeLines="0" w:line="360" w:lineRule="auto"/>
              <w:ind w:firstLine="1866"/>
              <w:rPr>
                <w:rFonts w:ascii="宋体" w:eastAsia="宋体" w:hAnsi="宋体" w:cs="宋体" w:hint="eastAsia"/>
                <w:color w:val="auto"/>
                <w:spacing w:val="-4"/>
                <w:kern w:val="0"/>
                <w:szCs w:val="21"/>
                <w:highlight w:val="none"/>
              </w:rPr>
            </w:pPr>
          </w:p>
        </w:tc>
      </w:tr>
      <w:tr>
        <w:tblPrEx>
          <w:tblW w:w="8529" w:type="dxa"/>
          <w:tblInd w:w="0" w:type="dxa"/>
          <w:tblLayout w:type="fixed"/>
          <w:tblCellMar>
            <w:top w:w="0" w:type="dxa"/>
            <w:left w:w="108" w:type="dxa"/>
            <w:bottom w:w="0" w:type="dxa"/>
            <w:right w:w="108" w:type="dxa"/>
          </w:tblCellMar>
        </w:tblPrEx>
        <w:tc>
          <w:tcPr>
            <w:tcW w:w="8529" w:type="dxa"/>
            <w:tcBorders>
              <w:top w:val="single" w:sz="8" w:space="0" w:color="000000"/>
              <w:left w:val="nil"/>
              <w:bottom w:val="single" w:sz="8" w:space="0" w:color="000000"/>
              <w:right w:val="nil"/>
            </w:tcBorders>
            <w:noWrap w:val="0"/>
            <w:vAlign w:val="top"/>
          </w:tcPr>
          <w:p>
            <w:pPr>
              <w:autoSpaceDE w:val="0"/>
              <w:autoSpaceDN w:val="0"/>
              <w:spacing w:beforeLines="0" w:line="360" w:lineRule="auto"/>
              <w:ind w:firstLine="1866"/>
              <w:rPr>
                <w:rFonts w:ascii="宋体" w:eastAsia="宋体" w:hAnsi="宋体" w:cs="宋体" w:hint="eastAsia"/>
                <w:color w:val="auto"/>
                <w:spacing w:val="-4"/>
                <w:kern w:val="0"/>
                <w:szCs w:val="21"/>
              </w:rPr>
            </w:pPr>
          </w:p>
        </w:tc>
      </w:tr>
      <w:tr>
        <w:tblPrEx>
          <w:tblW w:w="8529" w:type="dxa"/>
          <w:tblInd w:w="0" w:type="dxa"/>
          <w:tblLayout w:type="fixed"/>
          <w:tblCellMar>
            <w:top w:w="0" w:type="dxa"/>
            <w:left w:w="108" w:type="dxa"/>
            <w:bottom w:w="0" w:type="dxa"/>
            <w:right w:w="108" w:type="dxa"/>
          </w:tblCellMar>
        </w:tblPrEx>
        <w:tc>
          <w:tcPr>
            <w:tcW w:w="8529" w:type="dxa"/>
            <w:tcBorders>
              <w:top w:val="single" w:sz="8" w:space="0" w:color="000000"/>
              <w:left w:val="nil"/>
              <w:bottom w:val="single" w:sz="8" w:space="0" w:color="000000"/>
              <w:right w:val="nil"/>
            </w:tcBorders>
            <w:noWrap w:val="0"/>
            <w:vAlign w:val="top"/>
          </w:tcPr>
          <w:p>
            <w:pPr>
              <w:autoSpaceDE w:val="0"/>
              <w:autoSpaceDN w:val="0"/>
              <w:spacing w:beforeLines="0" w:line="360" w:lineRule="auto"/>
              <w:ind w:firstLine="1866"/>
              <w:rPr>
                <w:rFonts w:ascii="宋体" w:eastAsia="宋体" w:hAnsi="宋体" w:cs="宋体" w:hint="eastAsia"/>
                <w:color w:val="auto"/>
                <w:spacing w:val="-4"/>
                <w:kern w:val="0"/>
                <w:szCs w:val="21"/>
              </w:rPr>
            </w:pPr>
          </w:p>
        </w:tc>
      </w:tr>
      <w:tr>
        <w:tblPrEx>
          <w:tblW w:w="8529" w:type="dxa"/>
          <w:tblInd w:w="0" w:type="dxa"/>
          <w:tblLayout w:type="fixed"/>
          <w:tblCellMar>
            <w:top w:w="0" w:type="dxa"/>
            <w:left w:w="108" w:type="dxa"/>
            <w:bottom w:w="0" w:type="dxa"/>
            <w:right w:w="108" w:type="dxa"/>
          </w:tblCellMar>
        </w:tblPrEx>
        <w:tc>
          <w:tcPr>
            <w:tcW w:w="8529" w:type="dxa"/>
            <w:tcBorders>
              <w:top w:val="single" w:sz="8" w:space="0" w:color="000000"/>
              <w:left w:val="nil"/>
              <w:bottom w:val="single" w:sz="8" w:space="0" w:color="auto"/>
              <w:right w:val="nil"/>
            </w:tcBorders>
            <w:noWrap w:val="0"/>
            <w:vAlign w:val="top"/>
          </w:tcPr>
          <w:p>
            <w:pPr>
              <w:autoSpaceDE w:val="0"/>
              <w:autoSpaceDN w:val="0"/>
              <w:spacing w:beforeLines="0" w:line="360" w:lineRule="auto"/>
              <w:ind w:firstLine="1866"/>
              <w:rPr>
                <w:rFonts w:ascii="宋体" w:eastAsia="宋体" w:hAnsi="宋体" w:cs="宋体" w:hint="eastAsia"/>
                <w:color w:val="auto"/>
                <w:spacing w:val="-4"/>
                <w:kern w:val="0"/>
                <w:szCs w:val="21"/>
              </w:rPr>
            </w:pPr>
          </w:p>
        </w:tc>
      </w:tr>
    </w:tbl>
    <w:p>
      <w:pPr>
        <w:widowControl/>
        <w:wordWrap w:val="0"/>
        <w:autoSpaceDE w:val="0"/>
        <w:autoSpaceDN w:val="0"/>
        <w:spacing w:beforeLines="0" w:line="360" w:lineRule="auto"/>
        <w:ind w:right="808" w:firstLine="420" w:firstLineChars="200"/>
        <w:jc w:val="right"/>
        <w:rPr>
          <w:rFonts w:ascii="宋体" w:eastAsia="宋体" w:hAnsi="宋体" w:cs="宋体" w:hint="eastAsia"/>
          <w:color w:val="auto"/>
          <w:spacing w:val="-4"/>
          <w:kern w:val="0"/>
          <w:szCs w:val="21"/>
        </w:rPr>
      </w:pPr>
    </w:p>
    <w:p>
      <w:pPr>
        <w:widowControl/>
        <w:wordWrap w:val="0"/>
        <w:autoSpaceDE w:val="0"/>
        <w:autoSpaceDN w:val="0"/>
        <w:spacing w:beforeLines="0" w:line="360" w:lineRule="auto"/>
        <w:ind w:right="808" w:firstLine="420" w:firstLineChars="200"/>
        <w:jc w:val="right"/>
        <w:rPr>
          <w:rFonts w:ascii="宋体" w:eastAsia="宋体" w:hAnsi="宋体" w:cs="宋体" w:hint="eastAsia"/>
          <w:color w:val="auto"/>
          <w:spacing w:val="-4"/>
          <w:kern w:val="0"/>
          <w:szCs w:val="21"/>
          <w:u w:val="single"/>
        </w:rPr>
      </w:pPr>
      <w:r>
        <w:rPr>
          <w:rFonts w:ascii="宋体" w:eastAsia="宋体" w:hAnsi="宋体" w:cs="宋体" w:hint="eastAsia"/>
          <w:color w:val="auto"/>
          <w:spacing w:val="-4"/>
          <w:kern w:val="0"/>
          <w:szCs w:val="21"/>
          <w:lang w:eastAsia="zh-CN"/>
        </w:rPr>
        <w:t>单位</w:t>
      </w:r>
      <w:r>
        <w:rPr>
          <w:rFonts w:ascii="宋体" w:eastAsia="宋体" w:hAnsi="宋体" w:cs="宋体" w:hint="eastAsia"/>
          <w:color w:val="auto"/>
          <w:spacing w:val="-4"/>
          <w:kern w:val="0"/>
          <w:szCs w:val="21"/>
        </w:rPr>
        <w:t>负责人签名：</w:t>
      </w:r>
      <w:r>
        <w:rPr>
          <w:rFonts w:ascii="宋体" w:eastAsia="宋体" w:hAnsi="宋体" w:cs="宋体" w:hint="eastAsia"/>
          <w:color w:val="auto"/>
          <w:spacing w:val="-4"/>
          <w:kern w:val="0"/>
          <w:szCs w:val="21"/>
          <w:u w:val="single"/>
        </w:rPr>
        <w:t xml:space="preserve">              </w:t>
      </w:r>
    </w:p>
    <w:p>
      <w:pPr>
        <w:widowControl/>
        <w:wordWrap w:val="0"/>
        <w:autoSpaceDE w:val="0"/>
        <w:autoSpaceDN w:val="0"/>
        <w:spacing w:beforeLines="0" w:line="360" w:lineRule="auto"/>
        <w:ind w:right="808" w:firstLine="420" w:firstLineChars="200"/>
        <w:jc w:val="center"/>
        <w:rPr>
          <w:rFonts w:ascii="宋体" w:eastAsia="宋体" w:hAnsi="宋体" w:cs="宋体" w:hint="eastAsia"/>
          <w:color w:val="auto"/>
          <w:spacing w:val="-4"/>
          <w:kern w:val="0"/>
          <w:szCs w:val="21"/>
          <w:u w:val="single"/>
        </w:rPr>
      </w:pPr>
      <w:r>
        <w:rPr>
          <w:rFonts w:ascii="宋体" w:eastAsia="宋体" w:hAnsi="宋体" w:cs="宋体" w:hint="eastAsia"/>
          <w:color w:val="auto"/>
          <w:spacing w:val="-4"/>
          <w:kern w:val="0"/>
          <w:szCs w:val="21"/>
          <w:lang w:val="en-US" w:eastAsia="zh-CN"/>
        </w:rPr>
        <w:t xml:space="preserve">                                 </w:t>
      </w:r>
      <w:r>
        <w:rPr>
          <w:rFonts w:ascii="宋体" w:eastAsia="宋体" w:hAnsi="宋体" w:cs="宋体" w:hint="eastAsia"/>
          <w:color w:val="auto"/>
          <w:spacing w:val="-4"/>
          <w:kern w:val="0"/>
          <w:szCs w:val="21"/>
          <w:lang w:eastAsia="zh-CN"/>
        </w:rPr>
        <w:t>（加盖</w:t>
      </w:r>
      <w:r>
        <w:rPr>
          <w:rFonts w:ascii="宋体" w:eastAsia="宋体" w:hAnsi="宋体" w:cs="宋体" w:hint="eastAsia"/>
          <w:color w:val="auto"/>
          <w:spacing w:val="-4"/>
          <w:kern w:val="0"/>
          <w:szCs w:val="21"/>
        </w:rPr>
        <w:t>公章</w:t>
      </w:r>
      <w:r>
        <w:rPr>
          <w:rFonts w:ascii="宋体" w:eastAsia="宋体" w:hAnsi="宋体" w:cs="宋体" w:hint="eastAsia"/>
          <w:color w:val="auto"/>
          <w:spacing w:val="-4"/>
          <w:kern w:val="0"/>
          <w:szCs w:val="21"/>
          <w:lang w:eastAsia="zh-CN"/>
        </w:rPr>
        <w:t>）</w:t>
      </w:r>
    </w:p>
    <w:p>
      <w:pPr>
        <w:widowControl/>
        <w:wordWrap w:val="0"/>
        <w:autoSpaceDE w:val="0"/>
        <w:autoSpaceDN w:val="0"/>
        <w:spacing w:beforeLines="0" w:line="360" w:lineRule="auto"/>
        <w:ind w:right="808" w:firstLine="420" w:firstLineChars="200"/>
        <w:jc w:val="right"/>
        <w:rPr>
          <w:rFonts w:ascii="宋体" w:eastAsia="宋体" w:hAnsi="宋体" w:cs="宋体" w:hint="eastAsia"/>
          <w:color w:val="auto"/>
          <w:spacing w:val="-4"/>
          <w:kern w:val="0"/>
          <w:szCs w:val="21"/>
          <w:u w:val="single"/>
        </w:rPr>
      </w:pPr>
      <w:r>
        <w:rPr>
          <w:rFonts w:ascii="宋体" w:eastAsia="宋体" w:hAnsi="宋体" w:cs="宋体" w:hint="eastAsia"/>
          <w:color w:val="auto"/>
          <w:spacing w:val="-4"/>
          <w:kern w:val="0"/>
          <w:szCs w:val="21"/>
        </w:rPr>
        <w:t xml:space="preserve">     日期：</w:t>
      </w:r>
      <w:r>
        <w:rPr>
          <w:rFonts w:ascii="宋体" w:eastAsia="宋体" w:hAnsi="宋体" w:cs="宋体" w:hint="eastAsia"/>
          <w:color w:val="auto"/>
          <w:spacing w:val="-4"/>
          <w:kern w:val="0"/>
          <w:szCs w:val="21"/>
          <w:u w:val="single"/>
        </w:rPr>
        <w:t xml:space="preserve">              </w:t>
      </w:r>
    </w:p>
    <w:p>
      <w:pPr>
        <w:widowControl/>
        <w:autoSpaceDE w:val="0"/>
        <w:autoSpaceDN w:val="0"/>
        <w:spacing w:beforeLines="0" w:line="360" w:lineRule="auto"/>
        <w:ind w:firstLine="420" w:firstLineChars="200"/>
        <w:jc w:val="left"/>
        <w:rPr>
          <w:rFonts w:ascii="宋体" w:eastAsia="宋体" w:hAnsi="宋体" w:cs="宋体" w:hint="eastAsia"/>
          <w:b/>
          <w:bCs/>
          <w:color w:val="auto"/>
          <w:spacing w:val="-4"/>
          <w:kern w:val="0"/>
          <w:szCs w:val="21"/>
        </w:rPr>
      </w:pPr>
    </w:p>
    <w:p>
      <w:pPr>
        <w:keepNext w:val="0"/>
        <w:keepLines w:val="0"/>
        <w:pageBreakBefore w:val="0"/>
        <w:widowControl/>
        <w:suppressLineNumbers w:val="0"/>
        <w:kinsoku/>
        <w:wordWrap/>
        <w:overflowPunct/>
        <w:topLinePunct w:val="0"/>
        <w:autoSpaceDE w:val="0"/>
        <w:autoSpaceDN w:val="0"/>
        <w:bidi w:val="0"/>
        <w:adjustRightInd/>
        <w:snapToGrid/>
        <w:spacing w:beforeLines="0" w:line="360" w:lineRule="auto"/>
        <w:ind w:firstLine="420" w:firstLineChars="200"/>
        <w:jc w:val="left"/>
        <w:textAlignment w:val="auto"/>
        <w:rPr>
          <w:rFonts w:ascii="宋体" w:eastAsia="宋体" w:hAnsi="宋体" w:cs="宋体" w:hint="eastAsia"/>
          <w:b/>
          <w:bCs/>
          <w:color w:val="auto"/>
          <w:spacing w:val="-4"/>
          <w:kern w:val="0"/>
          <w:szCs w:val="21"/>
          <w:highlight w:val="none"/>
        </w:rPr>
      </w:pPr>
      <w:r>
        <w:rPr>
          <w:rFonts w:ascii="宋体" w:eastAsia="宋体" w:hAnsi="宋体" w:cs="宋体" w:hint="eastAsia"/>
          <w:b/>
          <w:bCs/>
          <w:color w:val="auto"/>
          <w:spacing w:val="-4"/>
          <w:kern w:val="0"/>
          <w:szCs w:val="21"/>
        </w:rPr>
        <w:t>注：</w:t>
      </w:r>
      <w:r>
        <w:rPr>
          <w:rFonts w:ascii="宋体" w:eastAsia="宋体" w:hAnsi="宋体" w:cs="宋体" w:hint="eastAsia"/>
          <w:b/>
          <w:bCs/>
          <w:color w:val="auto"/>
          <w:spacing w:val="-4"/>
          <w:kern w:val="0"/>
          <w:szCs w:val="21"/>
          <w:lang w:val="en-US" w:eastAsia="zh-CN"/>
        </w:rPr>
        <w:t>1.</w:t>
      </w:r>
      <w:r>
        <w:rPr>
          <w:rFonts w:ascii="宋体" w:eastAsia="宋体" w:hAnsi="宋体" w:cs="宋体" w:hint="eastAsia"/>
          <w:b/>
          <w:bCs/>
          <w:color w:val="auto"/>
          <w:spacing w:val="-4"/>
          <w:kern w:val="0"/>
          <w:szCs w:val="21"/>
          <w:lang w:eastAsia="zh-CN"/>
        </w:rPr>
        <w:t>《</w:t>
      </w:r>
      <w:r>
        <w:rPr>
          <w:rFonts w:ascii="宋体" w:eastAsia="宋体" w:hAnsi="宋体" w:cs="宋体" w:hint="eastAsia"/>
          <w:b/>
          <w:bCs/>
          <w:color w:val="auto"/>
          <w:spacing w:val="-4"/>
          <w:kern w:val="0"/>
          <w:szCs w:val="21"/>
          <w:lang w:val="en-US" w:eastAsia="zh-CN"/>
        </w:rPr>
        <w:t>政府采购违法行为风险知悉确认书</w:t>
      </w:r>
      <w:r>
        <w:rPr>
          <w:rFonts w:ascii="宋体" w:eastAsia="宋体" w:hAnsi="宋体" w:cs="宋体" w:hint="eastAsia"/>
          <w:b/>
          <w:bCs/>
          <w:color w:val="auto"/>
          <w:spacing w:val="-4"/>
          <w:kern w:val="0"/>
          <w:szCs w:val="21"/>
          <w:lang w:eastAsia="zh-CN"/>
        </w:rPr>
        <w:t>》需由</w:t>
      </w:r>
      <w:r>
        <w:rPr>
          <w:rFonts w:ascii="宋体" w:eastAsia="宋体" w:hAnsi="宋体" w:cs="宋体" w:hint="eastAsia"/>
          <w:b/>
          <w:bCs/>
          <w:color w:val="auto"/>
          <w:spacing w:val="-4"/>
          <w:kern w:val="0"/>
          <w:szCs w:val="21"/>
        </w:rPr>
        <w:t>投标供应商负责人签字并加盖单位公章后，扫描上传至投标文件</w:t>
      </w:r>
      <w:r>
        <w:rPr>
          <w:rFonts w:ascii="宋体" w:eastAsia="宋体" w:hAnsi="宋体" w:cs="宋体" w:hint="eastAsia"/>
          <w:b/>
          <w:bCs/>
          <w:color w:val="auto"/>
          <w:spacing w:val="-4"/>
          <w:kern w:val="0"/>
          <w:szCs w:val="21"/>
          <w:highlight w:val="none"/>
        </w:rPr>
        <w:t>一并提交。</w:t>
      </w:r>
    </w:p>
    <w:p>
      <w:pPr>
        <w:pStyle w:val="NoSpacing"/>
        <w:spacing w:line="360" w:lineRule="auto"/>
        <w:rPr>
          <w:rFonts w:ascii="Calibri" w:eastAsia="宋体" w:hAnsi="Calibri" w:cs="Times New Roman" w:hint="default"/>
          <w:kern w:val="2"/>
          <w:sz w:val="21"/>
          <w:szCs w:val="22"/>
          <w:lang w:val="en-US" w:eastAsia="zh-CN"/>
        </w:rPr>
      </w:pPr>
      <w:r>
        <w:rPr>
          <w:rFonts w:ascii="宋体" w:hAnsi="宋体" w:cs="宋体" w:hint="eastAsia"/>
          <w:b/>
          <w:bCs/>
          <w:color w:val="auto"/>
          <w:spacing w:val="-4"/>
          <w:kern w:val="0"/>
          <w:szCs w:val="21"/>
          <w:highlight w:val="none"/>
          <w:lang w:val="en-US" w:eastAsia="zh-CN"/>
        </w:rPr>
        <w:t>2.</w:t>
      </w:r>
      <w:r>
        <w:rPr>
          <w:rFonts w:ascii="宋体" w:hAnsi="宋体" w:cs="宋体" w:hint="eastAsia"/>
          <w:b/>
          <w:bCs/>
          <w:color w:val="auto"/>
          <w:spacing w:val="-4"/>
          <w:kern w:val="0"/>
          <w:szCs w:val="21"/>
          <w:highlight w:val="none"/>
        </w:rPr>
        <w:t>根据《深圳市财政局关于在采购文件及深圳政府采购智慧平台增设供应商投标特别警示条款等事宜的通知》（深财购〔2025〕7号）</w:t>
      </w:r>
      <w:r>
        <w:rPr>
          <w:rFonts w:ascii="宋体" w:hAnsi="宋体" w:cs="宋体" w:hint="eastAsia"/>
          <w:b/>
          <w:bCs/>
          <w:color w:val="auto"/>
          <w:spacing w:val="-4"/>
          <w:kern w:val="0"/>
          <w:szCs w:val="21"/>
          <w:highlight w:val="none"/>
          <w:lang w:val="en-US" w:eastAsia="zh-CN"/>
        </w:rPr>
        <w:t>的要求</w:t>
      </w:r>
      <w:r>
        <w:rPr>
          <w:rFonts w:ascii="宋体" w:hAnsi="宋体" w:cs="宋体" w:hint="eastAsia"/>
          <w:b/>
          <w:bCs/>
          <w:color w:val="auto"/>
          <w:spacing w:val="-4"/>
          <w:kern w:val="0"/>
          <w:szCs w:val="21"/>
          <w:highlight w:val="none"/>
        </w:rPr>
        <w:t>，</w:t>
      </w:r>
      <w:r>
        <w:rPr>
          <w:rFonts w:ascii="宋体" w:eastAsia="宋体" w:hAnsi="宋体" w:cs="宋体" w:hint="eastAsia"/>
          <w:b/>
          <w:bCs/>
          <w:color w:val="auto"/>
          <w:spacing w:val="-4"/>
          <w:kern w:val="0"/>
          <w:szCs w:val="21"/>
          <w:lang w:eastAsia="zh-CN"/>
        </w:rPr>
        <w:t>《</w:t>
      </w:r>
      <w:r>
        <w:rPr>
          <w:rFonts w:ascii="宋体" w:eastAsia="宋体" w:hAnsi="宋体" w:cs="宋体" w:hint="eastAsia"/>
          <w:b/>
          <w:bCs/>
          <w:color w:val="auto"/>
          <w:spacing w:val="-4"/>
          <w:kern w:val="0"/>
          <w:szCs w:val="21"/>
          <w:lang w:val="en-US" w:eastAsia="zh-CN"/>
        </w:rPr>
        <w:t>政府采购违法行为风险知悉确认书</w:t>
      </w:r>
      <w:r>
        <w:rPr>
          <w:rFonts w:ascii="宋体" w:eastAsia="宋体" w:hAnsi="宋体" w:cs="宋体" w:hint="eastAsia"/>
          <w:b/>
          <w:bCs/>
          <w:color w:val="auto"/>
          <w:spacing w:val="-4"/>
          <w:kern w:val="0"/>
          <w:szCs w:val="21"/>
          <w:lang w:eastAsia="zh-CN"/>
        </w:rPr>
        <w:t>》</w:t>
      </w:r>
      <w:r>
        <w:rPr>
          <w:rFonts w:ascii="宋体" w:hAnsi="宋体" w:cs="宋体" w:hint="eastAsia"/>
          <w:b/>
          <w:bCs/>
          <w:color w:val="auto"/>
          <w:spacing w:val="-4"/>
          <w:kern w:val="0"/>
          <w:szCs w:val="21"/>
          <w:highlight w:val="none"/>
        </w:rPr>
        <w:t>用于对供应商违法行为的提醒，不作为供应商资格性审查及符合性审查条件。</w:t>
      </w:r>
    </w:p>
    <w:p>
      <w:pPr>
        <w:widowControl/>
        <w:autoSpaceDE w:val="0"/>
        <w:autoSpaceDN w:val="0"/>
        <w:spacing w:line="360" w:lineRule="auto"/>
        <w:ind w:firstLine="420" w:firstLineChars="200"/>
        <w:jc w:val="left"/>
        <w:rPr>
          <w:rFonts w:ascii="宋体" w:hAnsi="宋体" w:eastAsiaTheme="minorEastAsia"/>
          <w:color w:val="FF0000"/>
          <w:spacing w:val="-4"/>
          <w:kern w:val="0"/>
          <w:szCs w:val="21"/>
        </w:rPr>
      </w:pPr>
    </w:p>
    <w:p>
      <w:pPr>
        <w:widowControl/>
        <w:autoSpaceDE w:val="0"/>
        <w:autoSpaceDN w:val="0"/>
        <w:spacing w:line="360" w:lineRule="auto"/>
        <w:ind w:right="1414" w:firstLine="420" w:firstLineChars="200"/>
        <w:jc w:val="right"/>
        <w:rPr>
          <w:rFonts w:eastAsiaTheme="minorEastAsia"/>
          <w:kern w:val="0"/>
          <w:sz w:val="24"/>
        </w:rPr>
      </w:pPr>
    </w:p>
    <w:p>
      <w:pPr>
        <w:spacing w:line="360" w:lineRule="auto"/>
        <w:jc w:val="center"/>
        <w:rPr>
          <w:rFonts w:ascii="黑体" w:eastAsia="黑体" w:hint="eastAsia"/>
          <w:b w:val="0"/>
          <w:bCs w:val="0"/>
          <w:sz w:val="24"/>
          <w:szCs w:val="20"/>
          <w:lang w:val="en-US" w:eastAsia="zh-CN"/>
        </w:rPr>
      </w:pPr>
      <w:r>
        <w:rPr>
          <w:rFonts w:ascii="黑体" w:eastAsia="黑体" w:hint="eastAsia"/>
          <w:b w:val="0"/>
          <w:bCs w:val="0"/>
          <w:sz w:val="24"/>
          <w:szCs w:val="20"/>
          <w:lang w:val="en-US" w:eastAsia="zh-CN"/>
        </w:rPr>
        <w:t>（二）订单融资情况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cs="宋体"/>
          <w:b/>
          <w:bCs/>
        </w:rPr>
      </w:pPr>
      <w:r>
        <w:rPr>
          <w:rFonts w:ascii="宋体" w:hAnsi="宋体" w:cs="宋体" w:hint="eastAsia"/>
          <w:b/>
          <w:bCs/>
          <w:lang w:val="en-US" w:eastAsia="zh-CN"/>
        </w:rPr>
        <w:t>1</w:t>
      </w:r>
      <w:r>
        <w:rPr>
          <w:rFonts w:ascii="宋体" w:hAnsi="宋体" w:cs="宋体" w:hint="eastAsia"/>
          <w:b/>
          <w:bCs/>
          <w:lang w:eastAsia="zh-CN"/>
        </w:rPr>
        <w:t>、</w:t>
      </w:r>
      <w:r>
        <w:rPr>
          <w:rFonts w:ascii="宋体" w:hAnsi="宋体" w:cs="宋体" w:hint="eastAsia"/>
          <w:b/>
          <w:bCs/>
        </w:rPr>
        <w:t>关于政府采购订单融资政策</w:t>
      </w:r>
    </w:p>
    <w:p>
      <w:pPr>
        <w:pStyle w:val="BodyText"/>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Times New Roman" w:eastAsia="宋体" w:hAnsi="Times New Roman" w:cs="Times New Roman" w:hint="eastAsia"/>
          <w:b w:val="0"/>
          <w:bCs/>
          <w:kern w:val="2"/>
          <w:sz w:val="21"/>
          <w:szCs w:val="21"/>
          <w:lang w:val="en-US" w:eastAsia="zh-CN" w:bidi="ar-SA"/>
        </w:rPr>
      </w:pPr>
      <w:r>
        <w:rPr>
          <w:rFonts w:ascii="Times New Roman" w:eastAsia="宋体" w:hAnsi="Times New Roman" w:cs="Times New Roman" w:hint="eastAsia"/>
          <w:b w:val="0"/>
          <w:bCs/>
          <w:kern w:val="2"/>
          <w:sz w:val="21"/>
          <w:szCs w:val="21"/>
          <w:lang w:val="en-US" w:eastAsia="zh-CN" w:bidi="ar-SA"/>
        </w:rPr>
        <w:t>为深入贯彻落实国家深化政府采购制度改革精神，充分发挥政府采购扶持中小企业发展的政策功能，缓解中小微企业融资难、融资贵的问题，根据《深圳市财政局关于加大力度运用政府采购订单融资政策支持企业发展的通知》要求，参与深圳市政府采购活动供应商可凭借所获取的深圳市政府采购中标通知书与采购合同，向参与订单融资业务的金融机构提出融资申请，金融机构以各自信贷政策为基础，为中标（成交）供应商提供融资授信，订单融资具体流程可登录深圳要素交易金融服务平台(https://finance.szexgrp.com/gtm/web/guarantee/#/)，相关政策法规参阅深圳市政府采购监管网（http://zfcg.sz.gov.cn/）信息公开栏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cs="宋体" w:hint="eastAsia"/>
          <w:b/>
          <w:bCs/>
          <w:lang w:val="en-US" w:eastAsia="zh-CN"/>
        </w:rPr>
      </w:pPr>
      <w:r>
        <w:rPr>
          <w:rFonts w:ascii="宋体" w:hAnsi="宋体" w:cs="宋体" w:hint="eastAsia"/>
          <w:b/>
          <w:bCs/>
          <w:lang w:val="en-US" w:eastAsia="zh-CN"/>
        </w:rPr>
        <w:t>2</w:t>
      </w:r>
      <w:r>
        <w:rPr>
          <w:rFonts w:ascii="宋体" w:hAnsi="宋体" w:cs="宋体" w:hint="eastAsia"/>
          <w:b/>
          <w:bCs/>
          <w:lang w:eastAsia="zh-CN"/>
        </w:rPr>
        <w:t>、</w:t>
      </w:r>
      <w:r>
        <w:rPr>
          <w:rFonts w:ascii="宋体" w:hAnsi="宋体" w:cs="宋体" w:hint="eastAsia"/>
          <w:b/>
          <w:bCs/>
          <w:lang w:val="en-US" w:eastAsia="zh-CN"/>
        </w:rPr>
        <w:t>供应商账户信息</w:t>
      </w:r>
    </w:p>
    <w:p>
      <w:pPr>
        <w:spacing w:line="360" w:lineRule="auto"/>
        <w:ind w:left="420" w:firstLine="210" w:leftChars="200" w:firstLineChars="100"/>
        <w:rPr>
          <w:rFonts w:hint="eastAsia"/>
          <w:szCs w:val="21"/>
        </w:rPr>
      </w:pPr>
      <w:r>
        <w:rPr>
          <w:rFonts w:hint="eastAsia"/>
          <w:szCs w:val="21"/>
        </w:rPr>
        <w:t>投标人</w:t>
      </w:r>
      <w:r>
        <w:rPr>
          <w:rFonts w:hint="eastAsia"/>
          <w:szCs w:val="21"/>
          <w:lang w:eastAsia="zh-CN"/>
        </w:rPr>
        <w:t>（</w:t>
      </w:r>
      <w:r>
        <w:rPr>
          <w:rFonts w:hint="eastAsia"/>
          <w:szCs w:val="21"/>
          <w:lang w:val="en-US" w:eastAsia="zh-CN"/>
        </w:rPr>
        <w:t>单位全称</w:t>
      </w:r>
      <w:r>
        <w:rPr>
          <w:rFonts w:hint="eastAsia"/>
          <w:szCs w:val="21"/>
          <w:lang w:eastAsia="zh-CN"/>
        </w:rPr>
        <w:t>）</w:t>
      </w:r>
      <w:r>
        <w:rPr>
          <w:rFonts w:hint="eastAsia"/>
          <w:szCs w:val="21"/>
        </w:rPr>
        <w:t>：</w:t>
      </w:r>
      <w:r>
        <w:rPr>
          <w:rFonts w:hint="eastAsia"/>
          <w:szCs w:val="21"/>
          <w:u w:val="thick"/>
        </w:rPr>
        <w:t xml:space="preserve">       </w:t>
      </w:r>
      <w:r>
        <w:rPr>
          <w:rFonts w:hint="eastAsia"/>
          <w:szCs w:val="21"/>
          <w:u w:val="thick"/>
          <w:lang w:val="en-US" w:eastAsia="zh-CN"/>
        </w:rPr>
        <w:t xml:space="preserve">                    </w:t>
      </w:r>
      <w:r>
        <w:rPr>
          <w:rFonts w:eastAsia="宋体" w:hint="eastAsia"/>
          <w:szCs w:val="21"/>
          <w:lang w:eastAsia="zh-CN"/>
        </w:rPr>
        <w:t>；</w:t>
      </w:r>
      <w:r>
        <w:rPr>
          <w:rFonts w:hint="eastAsia"/>
          <w:szCs w:val="21"/>
        </w:rPr>
        <w:t xml:space="preserve">  </w:t>
      </w:r>
    </w:p>
    <w:p>
      <w:pPr>
        <w:spacing w:line="360" w:lineRule="auto"/>
        <w:ind w:left="420" w:firstLine="210" w:leftChars="200" w:firstLineChars="100"/>
        <w:rPr>
          <w:rFonts w:hint="eastAsia"/>
          <w:szCs w:val="21"/>
          <w:u w:val="none"/>
          <w:lang w:eastAsia="zh-CN"/>
        </w:rPr>
      </w:pPr>
      <w:r>
        <w:rPr>
          <w:rFonts w:hint="eastAsia"/>
          <w:szCs w:val="21"/>
          <w:lang w:val="en-US" w:eastAsia="zh-CN"/>
        </w:rPr>
        <w:t>投标人</w:t>
      </w:r>
      <w:r>
        <w:rPr>
          <w:rFonts w:hint="eastAsia"/>
          <w:szCs w:val="21"/>
        </w:rPr>
        <w:t>单位地址：</w:t>
      </w:r>
      <w:r>
        <w:rPr>
          <w:rFonts w:hint="eastAsia"/>
          <w:szCs w:val="21"/>
          <w:u w:val="thick"/>
        </w:rPr>
        <w:t xml:space="preserve">       </w:t>
      </w:r>
      <w:r>
        <w:rPr>
          <w:rFonts w:ascii="Times New Roman" w:eastAsia="宋体" w:hint="eastAsia"/>
          <w:szCs w:val="21"/>
          <w:u w:val="thick"/>
          <w:lang w:val="en-US" w:eastAsia="zh-CN"/>
        </w:rPr>
        <w:t xml:space="preserve">          </w:t>
      </w:r>
      <w:r>
        <w:rPr>
          <w:rFonts w:hint="eastAsia"/>
          <w:szCs w:val="21"/>
          <w:u w:val="thick"/>
          <w:lang w:val="en-US" w:eastAsia="zh-CN"/>
        </w:rPr>
        <w:t xml:space="preserve"> </w:t>
      </w:r>
      <w:r>
        <w:rPr>
          <w:rFonts w:ascii="Times New Roman" w:eastAsia="宋体" w:hint="eastAsia"/>
          <w:szCs w:val="21"/>
          <w:u w:val="thick"/>
          <w:lang w:val="en-US" w:eastAsia="zh-CN"/>
        </w:rPr>
        <w:t xml:space="preserve">  </w:t>
      </w:r>
      <w:r>
        <w:rPr>
          <w:rFonts w:eastAsia="宋体" w:hint="eastAsia"/>
          <w:szCs w:val="21"/>
          <w:u w:val="none"/>
          <w:lang w:eastAsia="zh-CN"/>
        </w:rPr>
        <w:t>；</w:t>
      </w:r>
    </w:p>
    <w:p>
      <w:pPr>
        <w:spacing w:line="360" w:lineRule="auto"/>
        <w:ind w:left="420" w:firstLine="210" w:leftChars="200" w:firstLineChars="100"/>
        <w:rPr>
          <w:rFonts w:hint="eastAsia"/>
          <w:szCs w:val="21"/>
          <w:u w:val="none"/>
          <w:lang w:eastAsia="zh-CN"/>
        </w:rPr>
      </w:pPr>
      <w:r>
        <w:rPr>
          <w:rFonts w:hint="eastAsia"/>
          <w:szCs w:val="21"/>
        </w:rPr>
        <w:t>法定代表人（负责人）或其</w:t>
      </w:r>
      <w:r>
        <w:rPr>
          <w:rFonts w:ascii="Times New Roman" w:eastAsia="宋体" w:hint="eastAsia"/>
          <w:szCs w:val="21"/>
          <w:lang w:val="en-US" w:eastAsia="zh-CN"/>
        </w:rPr>
        <w:t>授权</w:t>
      </w:r>
      <w:r>
        <w:rPr>
          <w:rFonts w:hint="eastAsia"/>
          <w:szCs w:val="21"/>
        </w:rPr>
        <w:t>委托代理人：</w:t>
      </w:r>
      <w:r>
        <w:rPr>
          <w:rFonts w:hint="eastAsia"/>
          <w:szCs w:val="21"/>
          <w:u w:val="thick"/>
        </w:rPr>
        <w:t xml:space="preserve">       </w:t>
      </w:r>
      <w:r>
        <w:rPr>
          <w:rFonts w:hint="eastAsia"/>
          <w:szCs w:val="21"/>
          <w:u w:val="thick"/>
          <w:lang w:val="en-US" w:eastAsia="zh-CN"/>
        </w:rPr>
        <w:t xml:space="preserve">    </w:t>
      </w:r>
      <w:r>
        <w:rPr>
          <w:rFonts w:hint="eastAsia"/>
          <w:szCs w:val="21"/>
          <w:u w:val="thick"/>
        </w:rPr>
        <w:t xml:space="preserve"> </w:t>
      </w:r>
      <w:r>
        <w:rPr>
          <w:rFonts w:hint="eastAsia"/>
          <w:szCs w:val="21"/>
          <w:u w:val="thick"/>
          <w:lang w:val="en-US" w:eastAsia="zh-CN"/>
        </w:rPr>
        <w:t xml:space="preserve">         </w:t>
      </w:r>
      <w:r>
        <w:rPr>
          <w:rFonts w:hint="eastAsia"/>
          <w:szCs w:val="21"/>
          <w:u w:val="thick"/>
        </w:rPr>
        <w:t xml:space="preserve"> </w:t>
      </w:r>
      <w:r>
        <w:rPr>
          <w:rFonts w:eastAsia="宋体" w:hint="eastAsia"/>
          <w:szCs w:val="21"/>
          <w:u w:val="none"/>
          <w:lang w:eastAsia="zh-CN"/>
        </w:rPr>
        <w:t>；</w:t>
      </w:r>
    </w:p>
    <w:p>
      <w:pPr>
        <w:spacing w:line="360" w:lineRule="auto"/>
        <w:ind w:left="420" w:firstLine="210" w:leftChars="200" w:firstLineChars="100"/>
        <w:rPr>
          <w:rFonts w:hint="eastAsia"/>
          <w:szCs w:val="21"/>
          <w:u w:val="thick"/>
        </w:rPr>
      </w:pPr>
      <w:r>
        <w:rPr>
          <w:rFonts w:hint="eastAsia"/>
          <w:szCs w:val="21"/>
          <w:lang w:val="en-US" w:eastAsia="zh-CN"/>
        </w:rPr>
        <w:t>联系</w:t>
      </w:r>
      <w:r>
        <w:rPr>
          <w:rFonts w:hint="eastAsia"/>
          <w:szCs w:val="21"/>
        </w:rPr>
        <w:t>电话</w:t>
      </w:r>
      <w:r>
        <w:rPr>
          <w:rFonts w:hint="eastAsia"/>
          <w:szCs w:val="21"/>
          <w:u w:val="none"/>
        </w:rPr>
        <w:t>：</w:t>
      </w:r>
      <w:r>
        <w:rPr>
          <w:rFonts w:hint="eastAsia"/>
          <w:szCs w:val="21"/>
          <w:u w:val="thick"/>
        </w:rPr>
        <w:t xml:space="preserve">        </w:t>
      </w:r>
      <w:r>
        <w:rPr>
          <w:rFonts w:ascii="Times New Roman" w:eastAsia="宋体" w:hint="eastAsia"/>
          <w:szCs w:val="21"/>
          <w:u w:val="thick"/>
          <w:lang w:val="en-US" w:eastAsia="zh-CN"/>
        </w:rPr>
        <w:t xml:space="preserve">          </w:t>
      </w:r>
      <w:r>
        <w:rPr>
          <w:rFonts w:hint="eastAsia"/>
          <w:szCs w:val="21"/>
          <w:u w:val="thick"/>
          <w:lang w:val="en-US" w:eastAsia="zh-CN"/>
        </w:rPr>
        <w:t xml:space="preserve"> </w:t>
      </w:r>
      <w:r>
        <w:rPr>
          <w:rFonts w:ascii="Times New Roman" w:eastAsia="宋体" w:hint="eastAsia"/>
          <w:szCs w:val="21"/>
          <w:u w:val="thick"/>
          <w:lang w:val="en-US" w:eastAsia="zh-CN"/>
        </w:rPr>
        <w:t xml:space="preserve">  </w:t>
      </w:r>
      <w:r>
        <w:rPr>
          <w:rFonts w:eastAsia="宋体" w:hint="eastAsia"/>
          <w:szCs w:val="21"/>
          <w:u w:val="none"/>
          <w:lang w:eastAsia="zh-CN"/>
        </w:rPr>
        <w:t>；</w:t>
      </w:r>
    </w:p>
    <w:p>
      <w:pPr>
        <w:spacing w:line="360" w:lineRule="auto"/>
        <w:ind w:left="420" w:firstLine="210" w:leftChars="200" w:firstLineChars="100"/>
        <w:rPr>
          <w:rFonts w:hint="eastAsia"/>
          <w:szCs w:val="21"/>
          <w:u w:val="none"/>
          <w:lang w:eastAsia="zh-CN"/>
        </w:rPr>
      </w:pPr>
      <w:r>
        <w:rPr>
          <w:rFonts w:ascii="Times New Roman" w:eastAsia="宋体" w:hint="eastAsia"/>
          <w:szCs w:val="21"/>
          <w:lang w:val="en-US" w:eastAsia="zh-CN"/>
        </w:rPr>
        <w:t>开户银行名称：</w:t>
      </w:r>
      <w:r>
        <w:rPr>
          <w:rFonts w:hint="eastAsia"/>
          <w:szCs w:val="21"/>
          <w:u w:val="thick"/>
        </w:rPr>
        <w:t xml:space="preserve">                       </w:t>
      </w:r>
      <w:r>
        <w:rPr>
          <w:rFonts w:hint="eastAsia"/>
          <w:szCs w:val="21"/>
          <w:u w:val="thick"/>
          <w:lang w:val="en-US" w:eastAsia="zh-CN"/>
        </w:rPr>
        <w:t xml:space="preserve">                         </w:t>
      </w:r>
      <w:r>
        <w:rPr>
          <w:rFonts w:hint="eastAsia"/>
          <w:szCs w:val="21"/>
          <w:u w:val="thick"/>
        </w:rPr>
        <w:t xml:space="preserve"> </w:t>
      </w:r>
      <w:r>
        <w:rPr>
          <w:rFonts w:eastAsia="宋体" w:hint="eastAsia"/>
          <w:szCs w:val="21"/>
          <w:u w:val="none"/>
          <w:lang w:eastAsia="zh-CN"/>
        </w:rPr>
        <w:t>；</w:t>
      </w:r>
    </w:p>
    <w:p>
      <w:pPr>
        <w:spacing w:line="360" w:lineRule="auto"/>
        <w:ind w:left="420" w:firstLine="210" w:leftChars="200" w:firstLineChars="100"/>
        <w:rPr>
          <w:rFonts w:hint="eastAsia"/>
          <w:szCs w:val="21"/>
          <w:u w:val="thick"/>
          <w:lang w:eastAsia="zh-CN"/>
        </w:rPr>
      </w:pPr>
      <w:r>
        <w:rPr>
          <w:rFonts w:hint="eastAsia"/>
          <w:szCs w:val="21"/>
          <w:u w:val="none"/>
          <w:lang w:val="en-US" w:eastAsia="zh-CN"/>
        </w:rPr>
        <w:t>开户银行账号：</w:t>
      </w:r>
      <w:r>
        <w:rPr>
          <w:rFonts w:hint="eastAsia"/>
          <w:szCs w:val="21"/>
          <w:u w:val="thick"/>
        </w:rPr>
        <w:t xml:space="preserve">      </w:t>
      </w:r>
      <w:r>
        <w:rPr>
          <w:rFonts w:hint="eastAsia"/>
          <w:szCs w:val="21"/>
          <w:u w:val="thick"/>
          <w:lang w:val="en-US" w:eastAsia="zh-CN"/>
        </w:rPr>
        <w:t xml:space="preserve">            </w:t>
      </w:r>
      <w:r>
        <w:rPr>
          <w:rFonts w:hint="eastAsia"/>
          <w:szCs w:val="21"/>
          <w:u w:val="thick"/>
        </w:rPr>
        <w:t xml:space="preserve">     </w:t>
      </w:r>
      <w:r>
        <w:rPr>
          <w:rFonts w:hint="eastAsia"/>
          <w:szCs w:val="21"/>
          <w:u w:val="thick"/>
          <w:lang w:val="en-US" w:eastAsia="zh-CN"/>
        </w:rPr>
        <w:t xml:space="preserve">                          </w:t>
      </w:r>
      <w:r>
        <w:rPr>
          <w:rFonts w:hint="eastAsia"/>
          <w:szCs w:val="21"/>
          <w:u w:val="thick"/>
        </w:rPr>
        <w:t xml:space="preserve"> </w:t>
      </w:r>
      <w:r>
        <w:rPr>
          <w:rFonts w:hint="eastAsia"/>
          <w:szCs w:val="21"/>
          <w:u w:val="none"/>
          <w:lang w:eastAsia="zh-CN"/>
        </w:rPr>
        <w:t>；</w:t>
      </w:r>
    </w:p>
    <w:p>
      <w:pPr>
        <w:spacing w:line="360" w:lineRule="auto"/>
        <w:ind w:left="420" w:firstLine="210" w:leftChars="200" w:firstLineChars="100"/>
        <w:rPr>
          <w:rFonts w:hint="eastAsia"/>
          <w:szCs w:val="21"/>
          <w:u w:val="none"/>
          <w:lang w:eastAsia="zh-CN"/>
        </w:rPr>
      </w:pPr>
      <w:r>
        <w:rPr>
          <w:rFonts w:hint="eastAsia"/>
          <w:szCs w:val="21"/>
          <w:u w:val="none"/>
          <w:lang w:val="en-US" w:eastAsia="zh-CN"/>
        </w:rPr>
        <w:t>开户银行地址：</w:t>
      </w:r>
      <w:r>
        <w:rPr>
          <w:rFonts w:hint="eastAsia"/>
          <w:szCs w:val="21"/>
          <w:u w:val="thick"/>
        </w:rPr>
        <w:t xml:space="preserve">      </w:t>
      </w:r>
      <w:r>
        <w:rPr>
          <w:rFonts w:hint="eastAsia"/>
          <w:szCs w:val="21"/>
          <w:u w:val="thick"/>
          <w:lang w:val="en-US" w:eastAsia="zh-CN"/>
        </w:rPr>
        <w:t xml:space="preserve">            </w:t>
      </w:r>
      <w:r>
        <w:rPr>
          <w:rFonts w:hint="eastAsia"/>
          <w:szCs w:val="21"/>
          <w:u w:val="thick"/>
        </w:rPr>
        <w:t xml:space="preserve">      </w:t>
      </w:r>
      <w:r>
        <w:rPr>
          <w:rFonts w:hint="eastAsia"/>
          <w:szCs w:val="21"/>
          <w:u w:val="thick"/>
          <w:lang w:val="en-US" w:eastAsia="zh-CN"/>
        </w:rPr>
        <w:t xml:space="preserve">                          </w:t>
      </w:r>
      <w:r>
        <w:rPr>
          <w:rFonts w:hint="eastAsia"/>
          <w:szCs w:val="21"/>
          <w:u w:val="none"/>
          <w:lang w:eastAsia="zh-CN"/>
        </w:rPr>
        <w:t>。</w:t>
      </w:r>
    </w:p>
    <w:p>
      <w:pPr>
        <w:spacing w:line="360" w:lineRule="auto"/>
        <w:ind w:left="420" w:firstLine="210" w:leftChars="200" w:firstLineChars="100"/>
        <w:rPr>
          <w:rFonts w:hint="eastAsia"/>
          <w:szCs w:val="21"/>
          <w:u w:val="none"/>
        </w:rPr>
      </w:pPr>
      <w:r>
        <w:rPr>
          <w:rFonts w:hint="eastAsia"/>
          <w:szCs w:val="21"/>
          <w:u w:val="none"/>
        </w:rPr>
        <w:t xml:space="preserve"> </w:t>
      </w:r>
      <w:r>
        <w:rPr>
          <w:rFonts w:ascii="宋体" w:hAnsi="宋体" w:eastAsiaTheme="minorEastAsia" w:hint="eastAsia"/>
          <w:b/>
          <w:bCs/>
          <w:color w:val="FF0000"/>
          <w:spacing w:val="-4"/>
          <w:kern w:val="0"/>
          <w:szCs w:val="21"/>
          <w:lang w:val="en-US" w:eastAsia="zh-CN"/>
        </w:rPr>
        <w:t>注：本项填写内容作为订单融资开展的参考信息，</w:t>
      </w:r>
      <w:r>
        <w:rPr>
          <w:rFonts w:ascii="宋体" w:hAnsi="宋体" w:eastAsiaTheme="minorEastAsia" w:hint="eastAsia"/>
          <w:b/>
          <w:bCs/>
          <w:color w:val="FF0000"/>
          <w:spacing w:val="-4"/>
          <w:kern w:val="0"/>
          <w:szCs w:val="21"/>
        </w:rPr>
        <w:t>不作为供应商资格性审查及符合性审查条件。</w:t>
      </w:r>
    </w:p>
    <w:p>
      <w:pPr>
        <w:widowControl/>
        <w:autoSpaceDE w:val="0"/>
        <w:autoSpaceDN w:val="0"/>
        <w:spacing w:line="360" w:lineRule="auto"/>
        <w:ind w:right="1414" w:firstLine="420" w:firstLineChars="200"/>
        <w:jc w:val="right"/>
        <w:rPr>
          <w:rFonts w:eastAsiaTheme="minorEastAsia"/>
          <w:kern w:val="0"/>
          <w:sz w:val="24"/>
        </w:rPr>
      </w:pPr>
    </w:p>
    <w:p>
      <w:pPr>
        <w:widowControl/>
        <w:autoSpaceDE w:val="0"/>
        <w:autoSpaceDN w:val="0"/>
        <w:spacing w:line="360" w:lineRule="auto"/>
        <w:ind w:right="1414" w:firstLine="420" w:firstLineChars="200"/>
        <w:jc w:val="right"/>
        <w:rPr>
          <w:rFonts w:eastAsiaTheme="minorEastAsia"/>
          <w:kern w:val="0"/>
          <w:sz w:val="24"/>
        </w:rPr>
      </w:pPr>
    </w:p>
    <w:p>
      <w:pPr>
        <w:spacing w:line="360" w:lineRule="auto"/>
        <w:ind w:firstLine="630" w:firstLineChars="300"/>
        <w:rPr>
          <w:rFonts w:ascii="宋体" w:hAnsi="宋体"/>
        </w:rPr>
      </w:pPr>
      <w:r>
        <w:t xml:space="preserve">  </w:t>
      </w:r>
      <w:r>
        <w:rPr>
          <w:rFonts w:ascii="宋体" w:hAnsi="宋体" w:hint="eastAsia"/>
        </w:rPr>
        <w:t>………………（根据项目具体情况增加与综合实力评审相关的节点）</w:t>
      </w:r>
    </w:p>
    <w:p>
      <w:pPr>
        <w:spacing w:line="360" w:lineRule="auto"/>
        <w:ind w:firstLine="630" w:firstLineChars="300"/>
        <w:rPr>
          <w:sz w:val="24"/>
        </w:rPr>
      </w:pPr>
    </w:p>
    <w:p>
      <w:pPr>
        <w:widowControl/>
        <w:spacing w:line="360" w:lineRule="auto"/>
        <w:jc w:val="left"/>
        <w:rPr>
          <w:rFonts w:eastAsiaTheme="minorEastAsia"/>
          <w:b/>
          <w:bCs/>
          <w:kern w:val="0"/>
          <w:sz w:val="24"/>
        </w:rPr>
      </w:pPr>
    </w:p>
    <w:p>
      <w:pPr>
        <w:widowControl/>
        <w:spacing w:line="360" w:lineRule="auto"/>
        <w:jc w:val="center"/>
        <w:rPr>
          <w:rFonts w:ascii="黑体" w:eastAsia="黑体" w:hAnsi="宋体"/>
          <w:kern w:val="0"/>
          <w:sz w:val="24"/>
          <w:szCs w:val="20"/>
        </w:rPr>
      </w:pPr>
      <w:r>
        <w:rPr>
          <w:rFonts w:ascii="黑体" w:eastAsia="黑体" w:hAnsi="宋体" w:hint="eastAsia"/>
          <w:kern w:val="0"/>
          <w:sz w:val="24"/>
          <w:szCs w:val="20"/>
        </w:rPr>
        <w:t>（</w:t>
      </w:r>
      <w:r>
        <w:rPr>
          <w:rFonts w:ascii="黑体" w:eastAsia="黑体" w:hAnsi="宋体" w:hint="eastAsia"/>
          <w:kern w:val="0"/>
          <w:sz w:val="24"/>
          <w:szCs w:val="20"/>
          <w:lang w:val="en-US" w:eastAsia="zh-CN"/>
        </w:rPr>
        <w:t>三</w:t>
      </w:r>
      <w:r>
        <w:rPr>
          <w:rFonts w:ascii="黑体" w:eastAsia="黑体" w:hAnsi="宋体" w:hint="eastAsia"/>
          <w:kern w:val="0"/>
          <w:sz w:val="24"/>
          <w:szCs w:val="20"/>
        </w:rPr>
        <w:t>）投标人认为需要加以说明的其他内容（格式自定）</w:t>
      </w:r>
    </w:p>
    <w:p>
      <w:pPr>
        <w:spacing w:line="360" w:lineRule="auto"/>
      </w:pPr>
    </w:p>
    <w:p>
      <w:pPr>
        <w:pStyle w:val="BodyText"/>
        <w:spacing w:line="360" w:lineRule="auto"/>
        <w:sectPr>
          <w:pgSz w:w="11907" w:h="16840"/>
          <w:pgMar w:top="1440" w:right="1797" w:bottom="1440" w:left="1797" w:header="851" w:footer="992" w:gutter="0"/>
          <w:cols w:num="1" w:space="425"/>
          <w:titlePg/>
          <w:docGrid w:linePitch="462" w:charSpace="0"/>
        </w:sectPr>
      </w:pPr>
    </w:p>
    <w:p>
      <w:pPr>
        <w:pStyle w:val="BodyText"/>
        <w:rPr>
          <w:rFonts w:hint="eastAsia"/>
          <w:kern w:val="0"/>
          <w:sz w:val="28"/>
          <w:szCs w:val="28"/>
        </w:rPr>
      </w:pPr>
    </w:p>
    <w:p>
      <w:pPr>
        <w:pStyle w:val="Heading2"/>
        <w:rPr>
          <w:rFonts w:hint="eastAsia"/>
          <w:b/>
          <w:bCs/>
          <w:sz w:val="28"/>
          <w:szCs w:val="28"/>
        </w:rPr>
      </w:pPr>
      <w:r>
        <w:rPr>
          <w:rFonts w:hint="eastAsia"/>
          <w:b/>
          <w:bCs/>
          <w:sz w:val="28"/>
          <w:szCs w:val="28"/>
        </w:rPr>
        <w:t>第五章  合同条款及格式</w:t>
      </w:r>
    </w:p>
    <w:p>
      <w:pPr>
        <w:ind w:firstLine="412" w:firstLineChars="196"/>
      </w:pPr>
    </w:p>
    <w:p>
      <w:pPr>
        <w:spacing w:line="360" w:lineRule="auto"/>
        <w:jc w:val="center"/>
        <w:outlineLvl w:val="0"/>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b/>
          <w:sz w:val="21"/>
          <w:szCs w:val="21"/>
        </w:rPr>
        <w:t>（仅供参考，具体以项目需求及采购结果为准）</w:t>
      </w:r>
    </w:p>
    <w:p>
      <w:pPr>
        <w:adjustRightInd w:val="0"/>
        <w:snapToGrid w:val="0"/>
        <w:spacing w:line="360" w:lineRule="auto"/>
        <w:jc w:val="center"/>
        <w:rPr>
          <w:rFonts w:asciiTheme="minorEastAsia" w:eastAsiaTheme="minorEastAsia" w:hAnsiTheme="minorEastAsia" w:cstheme="minorEastAsia" w:hint="eastAsia"/>
          <w:b/>
          <w:bCs/>
          <w:sz w:val="21"/>
          <w:szCs w:val="21"/>
        </w:rPr>
      </w:pPr>
      <w:r>
        <w:rPr>
          <w:rFonts w:asciiTheme="minorEastAsia" w:eastAsiaTheme="minorEastAsia" w:hAnsiTheme="minorEastAsia" w:cstheme="minorEastAsia" w:hint="eastAsia"/>
          <w:b/>
          <w:bCs/>
          <w:sz w:val="21"/>
          <w:szCs w:val="21"/>
        </w:rPr>
        <w:t>深圳市龙岗区人民医院物业管理服务合同主要条款（模</w:t>
      </w:r>
      <w:r>
        <w:rPr>
          <w:rFonts w:asciiTheme="minorEastAsia" w:eastAsiaTheme="minorEastAsia" w:hAnsiTheme="minorEastAsia" w:cstheme="minorEastAsia" w:hint="eastAsia"/>
          <w:b/>
          <w:bCs/>
          <w:sz w:val="21"/>
          <w:szCs w:val="21"/>
          <w:lang w:eastAsia="zh-CN"/>
        </w:rPr>
        <w:t>板</w:t>
      </w:r>
      <w:r>
        <w:rPr>
          <w:rFonts w:asciiTheme="minorEastAsia" w:eastAsiaTheme="minorEastAsia" w:hAnsiTheme="minorEastAsia" w:cstheme="minorEastAsia" w:hint="eastAsia"/>
          <w:b/>
          <w:bCs/>
          <w:sz w:val="21"/>
          <w:szCs w:val="21"/>
        </w:rPr>
        <w:t>）</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依据《物业管理条例》《深圳经济特区物业管理条例》等国家、地方有关物业管理法律法规及深圳市龙岗区人民医院物业管理服务采购项目招标文件（招标编号：</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）、中标通知书、中标单位投标文件等规定和要求，在平等、自愿、协商一致的基础上，就甲方委托乙方对深圳市龙岗区人民医院物业项目实行专业化、一体化的物业管理订立本合同。</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第一条</w:t>
      </w:r>
      <w:r>
        <w:rPr>
          <w:rFonts w:asciiTheme="minorEastAsia" w:eastAsiaTheme="minorEastAsia" w:hAnsiTheme="minorEastAsia" w:cstheme="minorEastAsia" w:hint="eastAsia"/>
          <w:b/>
          <w:bCs/>
          <w:color w:val="000000" w:themeColor="text1"/>
          <w:sz w:val="21"/>
          <w:szCs w:val="21"/>
          <w14:textFill>
            <w14:solidFill>
              <w14:schemeClr w14:val="tx1"/>
            </w14:solidFill>
          </w14:textFill>
        </w:rPr>
        <w:tab/>
      </w: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物业基本情况</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深圳市龙岗区人民医院[香港中文大学（深圳）附属第二医院]位于龙岗区中心城爱心路53号，是一所学科齐全、设备先进、技术力量雄厚，集急救、医疗、科研、教学、预防保健为一体综合性三级甲等医院。院本部、下属社康服务中心（22个）及院外原坪山制剂中心的总面积约为184177.07平方米，编制床位1000张(实际开放905张）。</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为做好医院各项管理服务工作，确保医院安全和高效地运行，要求具有符合我院实际的信息化技术管理资源、善于利用信息及互联网平台对日常管理服务工作进行高效管控、具备高素质和相应管理经验的物业公司承担我院的工程管理服务、环境美化服务、秩序维护服务、医疗辅助服务及其他相关服务工作。</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第二条</w:t>
      </w:r>
      <w:r>
        <w:rPr>
          <w:rFonts w:asciiTheme="minorEastAsia" w:eastAsiaTheme="minorEastAsia" w:hAnsiTheme="minorEastAsia" w:cstheme="minorEastAsia" w:hint="eastAsia"/>
          <w:b/>
          <w:bCs/>
          <w:color w:val="000000" w:themeColor="text1"/>
          <w:sz w:val="21"/>
          <w:szCs w:val="21"/>
          <w14:textFill>
            <w14:solidFill>
              <w14:schemeClr w14:val="tx1"/>
            </w14:solidFill>
          </w14:textFill>
        </w:rPr>
        <w:tab/>
      </w:r>
      <w:r>
        <w:rPr>
          <w:rFonts w:asciiTheme="minorEastAsia" w:eastAsiaTheme="minorEastAsia" w:hAnsiTheme="minorEastAsia" w:cstheme="minorEastAsia" w:hint="eastAsia"/>
          <w:b/>
          <w:bCs/>
          <w:color w:val="000000" w:themeColor="text1"/>
          <w:sz w:val="21"/>
          <w:szCs w:val="21"/>
          <w14:textFill>
            <w14:solidFill>
              <w14:schemeClr w14:val="tx1"/>
            </w14:solidFill>
          </w14:textFill>
        </w:rPr>
        <w:t xml:space="preserve"> 委托服务内容及要求</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（根据招投标文件确定）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第三条 合同期限</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1、项目服务期限为一年，自</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年</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月</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日至</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年</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月</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日止。</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一年合同期满后，经双方协商决定可以续签的可按原合同条款续签下一年度合同，每次续签期限为一年，最多可续签二次。一年合同期满后，经本项目履约考核良好或以上的可按原合同条款续签下一年度合同。如甲方依据合同内考核标准对乙方履约情况不满意，或因采购人实际业务发展需求，采购人不再续约，中标单位必须服从要求。</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 乙方在合同期满前，应无条件配合甲方及新的中标单位做好服务项目的无缝交接。所有交接手续（含人员培训交接、证件变更手续等）均应在中标通知书发出之日起30个工作日内全部办理完毕。</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第四条 甲方的权利和义务</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1．代表和维护产权人、使用人的合法权益。</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2．审定乙方的相关物业管理制度及年度管理计划。</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3．对乙方服务实施监督检查。甲方有权要求乙方对违反服务承诺的事项或不合理、低效率的工作计划进行限期整改；有权要求采纳甲方提出的合理要求；有权对乙方不称职的人员提出撤换的要求。</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4．甲方有权对乙方的服务进行全面考核评定，如因乙方管理不善，造成重大经济损失或乙方出现重大管理失误的，甲方有权终止合同。</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5．在处理特殊事件和紧急、突发事故时，甲方对乙方现场工作人员具有直接指挥权。</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6．甲方有权要求乙方按双方约定的管理标准及要求提供物业管理报告等管理信息，有权要求乙方在三个工作日内对甲方人员投诉给予书面答复。</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7．委托乙方对违反物业管理法规政策及甲方公约的行为进行处理，包括责令停止违章行为、要求赔偿经济损失等。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8．甲方在合同生效之日起三十日内按规定向乙方提供本合同所涉及的物业档案、资料，并在乙方管理期满时予以收回。</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9．甲方负责处理物业合同约定之外的和非乙方原因而产生的各种纠纷。</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10．甲方不得干涉乙方依法或依本合同规定内容所进行的管理和经营活动。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11．如果甲方对乙方所提供的物业管理服务质量不满意时，甲方有权提出整改意见，同时乙方应及时采取有效措施给予纠正、预防，并改进。对甲方提出的情节较严重的物业管理问题，若乙方在合理的时间内仍不能改进的，双方协商解决。</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12．协助乙方做好物业管理工作和宣传教育、文化活动。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13．水、电、燃气费由甲方直接向自来水公司、供电公司、燃气公司交纳。</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14．乙方按合同完成工作，甲方必须按时签署付款凭证。</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15．法规政策规定属于甲方的其他权利及义务。</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第五条</w:t>
      </w:r>
      <w:r>
        <w:rPr>
          <w:rFonts w:asciiTheme="minorEastAsia" w:eastAsiaTheme="minorEastAsia" w:hAnsiTheme="minorEastAsia" w:cstheme="minorEastAsia" w:hint="eastAsia"/>
          <w:b/>
          <w:bCs/>
          <w:color w:val="000000" w:themeColor="text1"/>
          <w:sz w:val="21"/>
          <w:szCs w:val="21"/>
          <w14:textFill>
            <w14:solidFill>
              <w14:schemeClr w14:val="tx1"/>
            </w14:solidFill>
          </w14:textFill>
        </w:rPr>
        <w:tab/>
      </w:r>
      <w:r>
        <w:rPr>
          <w:rFonts w:asciiTheme="minorEastAsia" w:eastAsiaTheme="minorEastAsia" w:hAnsiTheme="minorEastAsia" w:cstheme="minorEastAsia" w:hint="eastAsia"/>
          <w:b/>
          <w:bCs/>
          <w:color w:val="000000" w:themeColor="text1"/>
          <w:sz w:val="21"/>
          <w:szCs w:val="21"/>
          <w14:textFill>
            <w14:solidFill>
              <w14:schemeClr w14:val="tx1"/>
            </w14:solidFill>
          </w14:textFill>
        </w:rPr>
        <w:t xml:space="preserve"> 乙方的权利和义务</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认真做好物业接管、验收各项工作，根据有关法律、法规政策及本项目招投标文件要求、本合同规定，制定物业和各项管理办法、规章制度、应急措施及计划、实施细节、各岗位人员日常工作职责，自主开展各项管理经营活动，但不得损害甲方的合法权益，获取不当利益。</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2．遵照国家、地方物业管理收费规定，按物业管理的服务项目、服务内容、服务标准，测算物业管理收费标准，严格按合同规定的收费标准收取，不得擅自加价，不得只收费不服务或多收费少服务。</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3．乙方必须依法与员工签订用工合同，购买相关保险，按月及时发放工资，保障员工正常休息时间。乙方如与员工之间发生劳动争议及其他纠纷，与甲方无关。</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4．乙方须为全体员工配置统一固定的工作服，费用由乙方自理。</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5．乙方须加强员工职业道德和法制教育，做好各项保密工作。</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6．乙方有权要求甲方办公人员遵守有关物业管理制度，在做好日常服务工作的同时，乙方有责任向甲方提供合理化建议，提高管理效率和服务质量。</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7．乙方有权选聘专业性公司承担本合同范围内管理项目中的辅助性项目。乙方不得将整体管理责任及利益转让、分包给其他个人或单位。乙方就所聘专业公司的服务对甲方承担全部责任。</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8．对物业范围内的公用设施及设备设施不得擅自占用和改变使用功能，如需在物业范围内改、扩建完善配套项目，须报甲方和有关部门批准后方可实施。</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9．建立本物业的物业管理档案并负责记载有关变更情况。及时向甲方提交各类重大和突发事件处理的报告；按时向甲方提交工作总结和计划报告。</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10．乙方不得自行或同意他人在管理区域内投放任何形式的广告或横幅，公益广告及活动横幅需经甲方书面同意。</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11．因乙方人员管理不善、作业流程不规范、疏忽、失误等原因（不可抗力因素除外）而导致甲方物业、设备、财产及其他损失时，乙方须恢复原状或赔偿相应损失。</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12．乙方须按照要求提供足够的物业管理设备。</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13．乙方须严格服从、积极落实甲方关于物业管理服务的各项管理及服务要求。</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14．乙方须接受甲方及物业管理主管部门、有关政府部门的监督、指导。</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15. 乙方物业管理人员常驻深圳市龙岗区人民医院开展日常管理工作。</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16. 乙方在周末和节假日期间提供正常后勤保障服务且服务品质不低于日常服务品质。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17. 乙方须在合同签订后3个月内在甲方所在市辖区设立服务点或注册分公司。</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18. 乙方须严格按照合同中项目服务要求按时派驻足够数量并符合“岗位具体条件要求”的工作人员到岗。</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19．法规政策规定属于乙方的其他权利及义务。</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第六条  管理服务费用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w:t>
      </w:r>
      <w:r>
        <w:rPr>
          <w:rFonts w:asciiTheme="minorEastAsia" w:eastAsiaTheme="minorEastAsia" w:hAnsiTheme="minorEastAsia" w:cstheme="minorEastAsia" w:hint="eastAsia"/>
          <w:color w:val="000000" w:themeColor="text1"/>
          <w:sz w:val="21"/>
          <w:szCs w:val="21"/>
          <w14:textFill>
            <w14:solidFill>
              <w14:schemeClr w14:val="tx1"/>
            </w14:solidFill>
          </w14:textFill>
        </w:rPr>
        <w:tab/>
      </w:r>
      <w:r>
        <w:rPr>
          <w:rFonts w:asciiTheme="minorEastAsia" w:eastAsiaTheme="minorEastAsia" w:hAnsiTheme="minorEastAsia" w:cstheme="minorEastAsia" w:hint="eastAsia"/>
          <w:color w:val="000000" w:themeColor="text1"/>
          <w:sz w:val="21"/>
          <w:szCs w:val="21"/>
          <w14:textFill>
            <w14:solidFill>
              <w14:schemeClr w14:val="tx1"/>
            </w14:solidFill>
          </w14:textFill>
        </w:rPr>
        <w:t>本物业的年管理服务费金额为人民币</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元/年），最终支付金额按照实际岗位数按月结算。</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结算公式为：</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月物业管理服务费=岗位单价 *月实际岗位数-考核扣罚费用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其中：</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岗位单价=年管理服务费/552.9/12</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w:t>
      </w:r>
      <w:r>
        <w:rPr>
          <w:rFonts w:asciiTheme="minorEastAsia" w:eastAsiaTheme="minorEastAsia" w:hAnsiTheme="minorEastAsia" w:cstheme="minorEastAsia" w:hint="eastAsia"/>
          <w:color w:val="000000" w:themeColor="text1"/>
          <w:sz w:val="21"/>
          <w:szCs w:val="21"/>
          <w14:textFill>
            <w14:solidFill>
              <w14:schemeClr w14:val="tx1"/>
            </w14:solidFill>
          </w14:textFill>
        </w:rPr>
        <w:tab/>
      </w:r>
      <w:r>
        <w:rPr>
          <w:rFonts w:asciiTheme="minorEastAsia" w:eastAsiaTheme="minorEastAsia" w:hAnsiTheme="minorEastAsia" w:cstheme="minorEastAsia" w:hint="eastAsia"/>
          <w:color w:val="000000" w:themeColor="text1"/>
          <w:sz w:val="21"/>
          <w:szCs w:val="21"/>
          <w14:textFill>
            <w14:solidFill>
              <w14:schemeClr w14:val="tx1"/>
            </w14:solidFill>
          </w14:textFill>
        </w:rPr>
        <w:t>本项目采用按岗位结算方式，每月服务费按照岗位单价和岗位数（新上岗位按照实际上岗时间核算）据实结算，甲方在每月10日前（如遇法定节假日则顺延）进行上一月度服务考核。乙方在每月10日前向采购人提交上月岗位出勤情况等确认文件，并按要求提供结算材料，（上月出勤情况需经采购人相关科室负责人签字确认），甲方对乙方提交的结算材料进行审核。甲方根据考核结果确认应付费用后，乙方开具相应金额的合规发票，甲方根据支付管理流程向乙方支付服务费。合同期内因政策性因素影响（如最低工资上涨、社保等）导致支出发生变化，由乙方自行承担，甲方不再另行支付费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w:t>
      </w:r>
      <w:r>
        <w:rPr>
          <w:rFonts w:asciiTheme="minorEastAsia" w:eastAsiaTheme="minorEastAsia" w:hAnsiTheme="minorEastAsia" w:cstheme="minorEastAsia" w:hint="eastAsia"/>
          <w:color w:val="000000" w:themeColor="text1"/>
          <w:sz w:val="21"/>
          <w:szCs w:val="21"/>
          <w14:textFill>
            <w14:solidFill>
              <w14:schemeClr w14:val="tx1"/>
            </w14:solidFill>
          </w14:textFill>
        </w:rPr>
        <w:tab/>
      </w:r>
      <w:r>
        <w:rPr>
          <w:rFonts w:asciiTheme="minorEastAsia" w:eastAsiaTheme="minorEastAsia" w:hAnsiTheme="minorEastAsia" w:cstheme="minorEastAsia" w:hint="eastAsia"/>
          <w:color w:val="000000" w:themeColor="text1"/>
          <w:sz w:val="21"/>
          <w:szCs w:val="21"/>
          <w14:textFill>
            <w14:solidFill>
              <w14:schemeClr w14:val="tx1"/>
            </w14:solidFill>
          </w14:textFill>
        </w:rPr>
        <w:t>本项目报价为人民币报价，报价包括物业服务成本、法定税费和乙方企业的利润等一切应尽费用，应包括以下内容：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（1）行政费用，包括：员工\管理人员工资、社保等费用，加班费、节日费等。</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（2）清洁材料费。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（3）绿化费。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（4）维修材料费。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（5）不可预见费。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（6）法定税费。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（7）物业管理佣金等。</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（8）招标范围有关项目内容要求所列的各项指定费用。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4.甲方根据实际情况提供管理用房（含办公、仓库及维修场所），不提供员工宿舍。</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5.公共水电费及发电机燃油费由甲方承担（包括卫生间、绿化、空调、清洁卫生、生活等各类用水；消防、水泵、照明、电梯、各类机电设备等各类的用电）。</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6.除合同另有约定除外，大、中修和更新改造费用由甲方负责。</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7.院内设施设备的专业维保、检测、年审等费用由甲方支付。</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8.甲方直接委外管理的设施设备维保及维修材料等费用由采购人承担。</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9.春节、五一、十一等法定节假日加班安排：由乙方按采购人要求，综合考虑管理需求安排岗位，加班费用由乙方按相关政策支付和承担，甲方不另外支付。</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10.物业管理承包项目中双方所负责的材料（详见下表），因业务资质或管理需要，乙方可以将化粪池清理、隔油设备维修、无害化清理、绝缘工具检测、消杀、绿化业务分包给专业公司，除合同许可并经采购人书面同意外，乙方将本物业服务项目整体分包或转包给第三方的，甲方可立即解除服务合同，并要求乙方支付服务费总额【5%】的违约金。</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5"/>
        <w:gridCol w:w="3669"/>
        <w:gridCol w:w="3944"/>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537" w:type="pct"/>
            <w:vAlign w:val="center"/>
          </w:tcPr>
          <w:p>
            <w:pPr>
              <w:spacing w:line="360" w:lineRule="auto"/>
              <w:ind w:left="181" w:leftChars="86"/>
              <w:jc w:val="center"/>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color w:val="000000"/>
                <w:szCs w:val="21"/>
              </w:rPr>
              <w:t>对应</w:t>
            </w:r>
          </w:p>
          <w:p>
            <w:pPr>
              <w:spacing w:line="360" w:lineRule="auto"/>
              <w:ind w:left="181" w:leftChars="86"/>
              <w:jc w:val="center"/>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color w:val="000000"/>
                <w:szCs w:val="21"/>
              </w:rPr>
              <w:t>岗位</w:t>
            </w:r>
          </w:p>
        </w:tc>
        <w:tc>
          <w:tcPr>
            <w:tcW w:w="2151" w:type="pct"/>
            <w:vAlign w:val="center"/>
          </w:tcPr>
          <w:p>
            <w:pPr>
              <w:spacing w:line="360" w:lineRule="auto"/>
              <w:ind w:left="181" w:leftChars="86"/>
              <w:jc w:val="center"/>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color w:val="000000"/>
                <w:szCs w:val="21"/>
              </w:rPr>
              <w:t>甲方承担</w:t>
            </w:r>
          </w:p>
        </w:tc>
        <w:tc>
          <w:tcPr>
            <w:tcW w:w="2312" w:type="pct"/>
            <w:vAlign w:val="center"/>
          </w:tcPr>
          <w:p>
            <w:pPr>
              <w:spacing w:line="360" w:lineRule="auto"/>
              <w:ind w:left="181" w:leftChars="86"/>
              <w:jc w:val="center"/>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color w:val="000000"/>
                <w:szCs w:val="21"/>
              </w:rPr>
              <w:t>乙方承担</w:t>
            </w:r>
          </w:p>
          <w:p>
            <w:pPr>
              <w:spacing w:line="360" w:lineRule="auto"/>
              <w:ind w:left="181" w:leftChars="86"/>
              <w:jc w:val="center"/>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color w:val="000000"/>
                <w:szCs w:val="21"/>
              </w:rPr>
              <w:t>（院本部及各社康中心）</w:t>
            </w:r>
          </w:p>
        </w:tc>
      </w:tr>
      <w:tr>
        <w:tblPrEx>
          <w:tblW w:w="5000" w:type="pct"/>
          <w:jc w:val="center"/>
          <w:tblLayout w:type="fixed"/>
          <w:tblCellMar>
            <w:top w:w="0" w:type="dxa"/>
            <w:left w:w="108" w:type="dxa"/>
            <w:bottom w:w="0" w:type="dxa"/>
            <w:right w:w="108" w:type="dxa"/>
          </w:tblCellMar>
        </w:tblPrEx>
        <w:trPr>
          <w:trHeight w:val="2070"/>
          <w:jc w:val="center"/>
        </w:trPr>
        <w:tc>
          <w:tcPr>
            <w:tcW w:w="537" w:type="pct"/>
            <w:vAlign w:val="center"/>
          </w:tcPr>
          <w:p>
            <w:pPr>
              <w:spacing w:line="360" w:lineRule="auto"/>
              <w:ind w:left="181" w:leftChars="86"/>
              <w:jc w:val="center"/>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物业管理处</w:t>
            </w: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1.公共水电费及发电机燃油费。</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2.采购人根据实际需要提供管理用房（含办公、仓库及维修场所）；</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3.标识制作（除物业办公室）；</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4.物业办公电话费、网络费。</w:t>
            </w:r>
          </w:p>
        </w:tc>
        <w:tc>
          <w:tcPr>
            <w:tcW w:w="2312"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1.电脑、沙发等物业办公室使用的固定资产。</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2.办公用品：纸、笔等。</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t>3.标识制作（物业办公室管理标识）。</w:t>
            </w:r>
          </w:p>
        </w:tc>
      </w:tr>
      <w:tr>
        <w:tblPrEx>
          <w:tblW w:w="5000" w:type="pct"/>
          <w:jc w:val="center"/>
          <w:tblLayout w:type="fixed"/>
          <w:tblCellMar>
            <w:top w:w="0" w:type="dxa"/>
            <w:left w:w="108" w:type="dxa"/>
            <w:bottom w:w="0" w:type="dxa"/>
            <w:right w:w="108" w:type="dxa"/>
          </w:tblCellMar>
        </w:tblPrEx>
        <w:trPr>
          <w:jc w:val="center"/>
        </w:trPr>
        <w:tc>
          <w:tcPr>
            <w:tcW w:w="537" w:type="pct"/>
            <w:vAlign w:val="center"/>
          </w:tcPr>
          <w:p>
            <w:pPr>
              <w:spacing w:line="360" w:lineRule="auto"/>
              <w:ind w:left="181" w:leftChars="86"/>
              <w:jc w:val="center"/>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秩序维护部</w:t>
            </w: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1.灭火器、消防栓、消防水带等消防器材的过期填充、老化更换以及新增等支出由采购人承担。</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2.反恐装备、安检手持工具。</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3.防汛所需用品（防汛挡板等）。</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4.停车场现有设施设备的维修维护、新增及改造。</w:t>
            </w:r>
          </w:p>
        </w:tc>
        <w:tc>
          <w:tcPr>
            <w:tcW w:w="2312"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1.秩序员的工作服。</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2.秩序员对讲机等。</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3.职业安全防护用品、巡逻工具等。</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4.停车场警示带、反光膜、防撞柱、挡车墩等低值易耗品（大规模更换除外）。</w:t>
            </w:r>
          </w:p>
          <w:p>
            <w:pPr>
              <w:spacing w:line="360" w:lineRule="auto"/>
              <w:ind w:left="181" w:leftChars="86"/>
              <w:jc w:val="left"/>
              <w:rPr>
                <w:rFonts w:asciiTheme="minorEastAsia" w:eastAsiaTheme="minorEastAsia" w:hAnsiTheme="minorEastAsia" w:cstheme="minorEastAsia" w:hint="eastAsia"/>
                <w:color w:val="000000"/>
                <w:szCs w:val="21"/>
              </w:rPr>
            </w:pPr>
          </w:p>
        </w:tc>
      </w:tr>
      <w:tr>
        <w:tblPrEx>
          <w:tblW w:w="5000" w:type="pct"/>
          <w:jc w:val="center"/>
          <w:tblLayout w:type="fixed"/>
          <w:tblCellMar>
            <w:top w:w="0" w:type="dxa"/>
            <w:left w:w="108" w:type="dxa"/>
            <w:bottom w:w="0" w:type="dxa"/>
            <w:right w:w="108" w:type="dxa"/>
          </w:tblCellMar>
        </w:tblPrEx>
        <w:trPr>
          <w:trHeight w:val="706"/>
          <w:jc w:val="center"/>
        </w:trPr>
        <w:tc>
          <w:tcPr>
            <w:tcW w:w="537" w:type="pct"/>
            <w:vMerge w:val="restart"/>
            <w:vAlign w:val="center"/>
          </w:tcPr>
          <w:p>
            <w:pPr>
              <w:spacing w:line="360" w:lineRule="auto"/>
              <w:ind w:left="181" w:leftChars="86"/>
              <w:jc w:val="center"/>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机电工程部</w:t>
            </w: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1.专业维保：除物业负责外的其他维保（医疗设备不在本次招标范围内）。</w:t>
            </w:r>
          </w:p>
        </w:tc>
        <w:tc>
          <w:tcPr>
            <w:tcW w:w="2312" w:type="pct"/>
            <w:vAlign w:val="center"/>
          </w:tcPr>
          <w:p>
            <w:pPr>
              <w:spacing w:line="360" w:lineRule="auto"/>
              <w:ind w:left="181" w:leftChars="86"/>
              <w:jc w:val="left"/>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bCs/>
                <w:color w:val="000000"/>
                <w:szCs w:val="21"/>
              </w:rPr>
              <w:t>专业维保（可分包）：</w:t>
            </w:r>
          </w:p>
          <w:p>
            <w:pPr>
              <w:spacing w:line="360" w:lineRule="auto"/>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化粪池清理、隔油设备维修、无害化清理（清理频次每季度一次）、绝缘工具检测。</w:t>
            </w:r>
          </w:p>
        </w:tc>
      </w:tr>
      <w:tr>
        <w:tblPrEx>
          <w:tblW w:w="5000" w:type="pct"/>
          <w:jc w:val="center"/>
          <w:tblLayout w:type="fixed"/>
          <w:tblCellMar>
            <w:top w:w="0" w:type="dxa"/>
            <w:left w:w="108" w:type="dxa"/>
            <w:bottom w:w="0" w:type="dxa"/>
            <w:right w:w="108" w:type="dxa"/>
          </w:tblCellMar>
        </w:tblPrEx>
        <w:trPr>
          <w:jc w:val="center"/>
        </w:trPr>
        <w:tc>
          <w:tcPr>
            <w:tcW w:w="537" w:type="pct"/>
            <w:vMerge/>
            <w:vAlign w:val="center"/>
          </w:tcPr>
          <w:p>
            <w:pPr>
              <w:spacing w:line="360" w:lineRule="auto"/>
              <w:ind w:left="181" w:leftChars="86"/>
              <w:jc w:val="center"/>
              <w:rPr>
                <w:rFonts w:asciiTheme="minorEastAsia" w:eastAsiaTheme="minorEastAsia" w:hAnsiTheme="minorEastAsia" w:cstheme="minorEastAsia" w:hint="eastAsia"/>
                <w:color w:val="000000"/>
                <w:szCs w:val="21"/>
              </w:rPr>
            </w:pP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1.全院及各社康设施设备配件、分体空调配件以及日常维修单个、单价在300元以上（不含300元）的维修材料。</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2.新装线路、线路改造、布线等相关费用。</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3.医院路牙粉刷的材料。</w:t>
            </w:r>
          </w:p>
        </w:tc>
        <w:tc>
          <w:tcPr>
            <w:tcW w:w="2312"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1.全院及各社康设施设备（不含医疗设备、不含采购人委外设备、不含设施设备批量更新改造、新建、加装、改装）配件、分体空调配件以及日常维修、更换单个、单价在300 元以下（含300）的维修材料费。</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2.维修员工作服及职业安全防护用品、维修工具。</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3.除所列采购人承担费用外的其</w:t>
            </w:r>
            <w:r>
              <w:rPr>
                <w:rFonts w:asciiTheme="minorEastAsia" w:eastAsiaTheme="minorEastAsia" w:hAnsiTheme="minorEastAsia" w:cstheme="minorEastAsia" w:hint="eastAsia"/>
                <w:color w:val="000000"/>
                <w:szCs w:val="21"/>
                <w:lang w:eastAsia="zh-CN"/>
              </w:rPr>
              <w:t>他</w:t>
            </w:r>
            <w:r>
              <w:rPr>
                <w:rFonts w:asciiTheme="minorEastAsia" w:eastAsiaTheme="minorEastAsia" w:hAnsiTheme="minorEastAsia" w:cstheme="minorEastAsia" w:hint="eastAsia"/>
                <w:color w:val="000000"/>
                <w:szCs w:val="21"/>
              </w:rPr>
              <w:t>未详尽费用， 由双方协商。</w:t>
            </w:r>
          </w:p>
        </w:tc>
      </w:tr>
      <w:tr>
        <w:tblPrEx>
          <w:tblW w:w="5000" w:type="pct"/>
          <w:jc w:val="center"/>
          <w:tblLayout w:type="fixed"/>
          <w:tblCellMar>
            <w:top w:w="0" w:type="dxa"/>
            <w:left w:w="108" w:type="dxa"/>
            <w:bottom w:w="0" w:type="dxa"/>
            <w:right w:w="108" w:type="dxa"/>
          </w:tblCellMar>
        </w:tblPrEx>
        <w:trPr>
          <w:trHeight w:val="658"/>
          <w:jc w:val="center"/>
        </w:trPr>
        <w:tc>
          <w:tcPr>
            <w:tcW w:w="537" w:type="pct"/>
            <w:vAlign w:val="center"/>
          </w:tcPr>
          <w:p>
            <w:pPr>
              <w:spacing w:line="360" w:lineRule="auto"/>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医辅部</w:t>
            </w: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标本运送箱。</w:t>
            </w:r>
          </w:p>
        </w:tc>
        <w:tc>
          <w:tcPr>
            <w:tcW w:w="2312"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员工服装等劳保用品、生活用品。</w:t>
            </w:r>
          </w:p>
        </w:tc>
      </w:tr>
      <w:tr>
        <w:tblPrEx>
          <w:tblW w:w="5000" w:type="pct"/>
          <w:jc w:val="center"/>
          <w:tblLayout w:type="fixed"/>
          <w:tblCellMar>
            <w:top w:w="0" w:type="dxa"/>
            <w:left w:w="108" w:type="dxa"/>
            <w:bottom w:w="0" w:type="dxa"/>
            <w:right w:w="108" w:type="dxa"/>
          </w:tblCellMar>
        </w:tblPrEx>
        <w:trPr>
          <w:trHeight w:val="558"/>
          <w:jc w:val="center"/>
        </w:trPr>
        <w:tc>
          <w:tcPr>
            <w:tcW w:w="537" w:type="pct"/>
            <w:vMerge w:val="restart"/>
            <w:vAlign w:val="center"/>
          </w:tcPr>
          <w:p>
            <w:pPr>
              <w:spacing w:line="360" w:lineRule="auto"/>
              <w:ind w:left="181" w:leftChars="86"/>
              <w:jc w:val="center"/>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保洁部</w:t>
            </w: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1.医疗、生活垃圾转运费及处理费。</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2.医疗、生活垃圾运送工具、垃圾桶以及非物业承担的清洁工具。塑胶锐器盒、医废系统。</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3.洗消中心洗涤设备（洗衣机、烘干机）、地巾、布巾、消毒药剂等。</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4.住院部区域、门诊区域、社康区域卫生间卷纸。</w:t>
            </w:r>
          </w:p>
          <w:p>
            <w:pPr>
              <w:spacing w:line="360" w:lineRule="auto"/>
              <w:ind w:left="181" w:leftChars="86"/>
              <w:jc w:val="left"/>
              <w:rPr>
                <w:rFonts w:asciiTheme="minorEastAsia" w:eastAsiaTheme="minorEastAsia" w:hAnsiTheme="minorEastAsia" w:cstheme="minorEastAsia" w:hint="eastAsia"/>
                <w:color w:val="000000"/>
                <w:szCs w:val="21"/>
              </w:rPr>
            </w:pPr>
          </w:p>
        </w:tc>
        <w:tc>
          <w:tcPr>
            <w:tcW w:w="2312"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1.院本部大理石地面、PVC地板保养：半年一次。</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清洁工具（如：扫把、拖把、尘推、洁厕刷、拖桶、地毯刷等）耗材（如：玻璃清、碧丽珠、不锈钢油、洗衣粉、洁厕灵、钢丝球等）、生活垃圾袋、医疗垃圾袋（含扎带）、保洁所需消毒片等常用清洁物资（包含社康）。</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3.清洁专业作业机器设备。</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4.清洁工工作服及职业安全防护用品。</w:t>
            </w:r>
          </w:p>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5. 四害消杀、白蚁防治等。</w:t>
            </w:r>
          </w:p>
        </w:tc>
      </w:tr>
      <w:tr>
        <w:tblPrEx>
          <w:tblW w:w="5000" w:type="pct"/>
          <w:jc w:val="center"/>
          <w:tblLayout w:type="fixed"/>
          <w:tblCellMar>
            <w:top w:w="0" w:type="dxa"/>
            <w:left w:w="108" w:type="dxa"/>
            <w:bottom w:w="0" w:type="dxa"/>
            <w:right w:w="108" w:type="dxa"/>
          </w:tblCellMar>
        </w:tblPrEx>
        <w:trPr>
          <w:jc w:val="center"/>
        </w:trPr>
        <w:tc>
          <w:tcPr>
            <w:tcW w:w="537" w:type="pct"/>
            <w:vMerge/>
            <w:vAlign w:val="center"/>
          </w:tcPr>
          <w:p>
            <w:pPr>
              <w:spacing w:line="360" w:lineRule="auto"/>
              <w:ind w:left="181" w:leftChars="86"/>
              <w:jc w:val="center"/>
              <w:rPr>
                <w:rFonts w:asciiTheme="minorEastAsia" w:eastAsiaTheme="minorEastAsia" w:hAnsiTheme="minorEastAsia" w:cstheme="minorEastAsia" w:hint="eastAsia"/>
                <w:color w:val="000000"/>
                <w:szCs w:val="21"/>
              </w:rPr>
            </w:pPr>
          </w:p>
        </w:tc>
        <w:tc>
          <w:tcPr>
            <w:tcW w:w="2151" w:type="pct"/>
            <w:vAlign w:val="center"/>
          </w:tcPr>
          <w:p>
            <w:pPr>
              <w:spacing w:line="360" w:lineRule="auto"/>
              <w:ind w:left="181" w:leftChars="86"/>
              <w:jc w:val="left"/>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现有绿化植物（包括但不限于草 坪、花 卉、灌乔木及室内绿植等）。</w:t>
            </w:r>
          </w:p>
        </w:tc>
        <w:tc>
          <w:tcPr>
            <w:tcW w:w="2312" w:type="pct"/>
            <w:vAlign w:val="center"/>
          </w:tcPr>
          <w:p>
            <w:pPr>
              <w:spacing w:line="360" w:lineRule="auto"/>
              <w:ind w:left="181" w:leftChars="86"/>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院本部绿植的补种（包括但不限于草、坪、花卉、灌乔木等），中标单位养护责任不到位导致的补种由中标单位承担苗木购买，其他情况由采购人负责购买。同时，中标单位对小面积（10平方米）草坪及低值（单株20元及以下）花草的缺失应及时完成补种。</w:t>
            </w:r>
          </w:p>
          <w:p>
            <w:pPr>
              <w:spacing w:line="360" w:lineRule="auto"/>
              <w:ind w:left="181" w:leftChars="86"/>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2.绿化工具及耗材：绿篱机、喷药机、除草剂、除虫剂等（不含社康）。</w:t>
            </w:r>
          </w:p>
          <w:p>
            <w:pPr>
              <w:spacing w:line="360" w:lineRule="auto"/>
              <w:ind w:left="181" w:leftChars="86"/>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3.院本部绿植租摆：每半年更换一次。</w:t>
            </w:r>
          </w:p>
        </w:tc>
      </w:tr>
      <w:tr>
        <w:tblPrEx>
          <w:tblW w:w="5000" w:type="pct"/>
          <w:jc w:val="center"/>
          <w:tblLayout w:type="fixed"/>
          <w:tblCellMar>
            <w:top w:w="0" w:type="dxa"/>
            <w:left w:w="108" w:type="dxa"/>
            <w:bottom w:w="0" w:type="dxa"/>
            <w:right w:w="108" w:type="dxa"/>
          </w:tblCellMar>
        </w:tblPrEx>
        <w:trPr>
          <w:jc w:val="center"/>
        </w:trPr>
        <w:tc>
          <w:tcPr>
            <w:tcW w:w="5000" w:type="pct"/>
            <w:gridSpan w:val="3"/>
            <w:vAlign w:val="center"/>
          </w:tcPr>
          <w:p>
            <w:pPr>
              <w:spacing w:line="360" w:lineRule="auto"/>
              <w:ind w:left="181" w:leftChars="86"/>
              <w:jc w:val="center"/>
              <w:rPr>
                <w:rFonts w:asciiTheme="minorEastAsia" w:eastAsiaTheme="minorEastAsia" w:hAnsiTheme="minorEastAsia" w:cstheme="minorEastAsia" w:hint="eastAsia"/>
                <w:b/>
                <w:color w:val="000000"/>
                <w:szCs w:val="21"/>
              </w:rPr>
            </w:pPr>
            <w:r>
              <w:rPr>
                <w:rFonts w:asciiTheme="minorEastAsia" w:eastAsiaTheme="minorEastAsia" w:hAnsiTheme="minorEastAsia" w:cstheme="minorEastAsia" w:hint="eastAsia"/>
                <w:b/>
                <w:color w:val="000000"/>
                <w:szCs w:val="21"/>
              </w:rPr>
              <w:t>开荒部分</w:t>
            </w:r>
          </w:p>
        </w:tc>
      </w:tr>
      <w:tr>
        <w:tblPrEx>
          <w:tblW w:w="5000" w:type="pct"/>
          <w:jc w:val="center"/>
          <w:tblLayout w:type="fixed"/>
          <w:tblCellMar>
            <w:top w:w="0" w:type="dxa"/>
            <w:left w:w="108" w:type="dxa"/>
            <w:bottom w:w="0" w:type="dxa"/>
            <w:right w:w="108" w:type="dxa"/>
          </w:tblCellMar>
        </w:tblPrEx>
        <w:trPr>
          <w:jc w:val="center"/>
        </w:trPr>
        <w:tc>
          <w:tcPr>
            <w:tcW w:w="537" w:type="pct"/>
            <w:vAlign w:val="center"/>
          </w:tcPr>
          <w:p>
            <w:pPr>
              <w:spacing w:line="360" w:lineRule="auto"/>
              <w:ind w:left="181" w:leftChars="86"/>
              <w:jc w:val="center"/>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1</w:t>
            </w:r>
          </w:p>
        </w:tc>
        <w:tc>
          <w:tcPr>
            <w:tcW w:w="2151" w:type="pct"/>
            <w:vAlign w:val="center"/>
          </w:tcPr>
          <w:p>
            <w:pPr>
              <w:spacing w:line="360" w:lineRule="auto"/>
              <w:ind w:left="181" w:leftChars="86"/>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搬迁、甲醛治理。</w:t>
            </w:r>
          </w:p>
        </w:tc>
        <w:tc>
          <w:tcPr>
            <w:tcW w:w="2312" w:type="pct"/>
            <w:vAlign w:val="center"/>
          </w:tcPr>
          <w:p>
            <w:pPr>
              <w:spacing w:line="360" w:lineRule="auto"/>
              <w:ind w:left="181" w:leftChars="86"/>
              <w:rPr>
                <w:rFonts w:asciiTheme="minorEastAsia" w:eastAsiaTheme="minorEastAsia" w:hAnsiTheme="minorEastAsia" w:cstheme="minorEastAsia" w:hint="eastAsia"/>
                <w:color w:val="000000"/>
                <w:szCs w:val="21"/>
              </w:rPr>
            </w:pPr>
            <w:r>
              <w:rPr>
                <w:rFonts w:asciiTheme="minorEastAsia" w:eastAsiaTheme="minorEastAsia" w:hAnsiTheme="minorEastAsia" w:cstheme="minorEastAsia" w:hint="eastAsia"/>
                <w:color w:val="000000"/>
                <w:szCs w:val="21"/>
              </w:rPr>
              <w:t>300平方米及以下区域的清洁开荒</w:t>
            </w:r>
          </w:p>
        </w:tc>
      </w:tr>
    </w:tbl>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11.乙方根据以下信息向甲方开具合法有效的增值税普通发票，甲方开票抬头信息：深圳市龙岗区人民医院。</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12.根据约定，乙方作为收取本合同物业管理等相关费用的收款方，其收款信息如下：</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名        称：</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银 行  账 号：</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纳税人识别号：</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开 户  银 行：</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第七条  违约责任</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1．如因甲方原因，造成乙方未完成规定管理目标或直接造成乙方经济损失的，甲方应给予乙方相应补偿；乙方有权要求甲方限期整改，逾期未整改的，乙方有权终止合同的履行。</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2．如因乙方原因，未按招标文件、投标文件履行服务内容、不能完成规定管理目标或直接造成甲方经济损失的，乙方应给予甲方相应补偿。甲方有权要求乙方限期整改，逾期未整改的，甲方有权终止合同。</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3．因甲方房屋建筑或设施设备质量或安装技术等原因，造成重大事故的，由甲方统筹处理，乙方配合善后处理。</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因乙方管理不善、操作不当、疏忽、失职失误等原因造成重大事故的，由乙方承担一切责任并负责善后处理（产生事故的直接原因，以政府有关部门的鉴定结论为准），且甲方有权单方解除合同，并要求乙方赔偿相关损失。</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5．甲、乙双方如采取不正当竞争手段而取得管理权或致使对方失去管理权，或造成对方经济损失的，应承担全部责任。</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6．甲方若无故逾期支付物业管理费超过一个月时间，每逾期一天，需按逾期支付管理费金额的万分之一支付违约金。如乙方迟延提供或不能提供合法发票，则甲方有权推迟付款而不承担任何责任。</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7. 乙方在合同执行期间有下列行为之一的，甲方有权直接解除合同：</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（1）擅自变更或者中止采购服务合同的；</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（2）在项目服务期间，未经采购人同意，随意变更管理层人员；</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（3）不按采购需求、招投标文件以及服务合同要求全面履约的；</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（4）服务以次充好且不改正的；</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（5）质量出现问题，引起纠纷的；</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（6）造成严重后果或恶劣影响的；</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（7）违规进行项目分包或未经采购人同意将项目分包；</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（8）未按时向员工发放工资，非因甲方未及时结算物业费原因导致拖欠工资投诉2次以上；</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（9）以不合理理由要求增加费用或降低服务品质；</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（10）因乙方过错，造成政府部门检查（包括但不限于环保、反恐、消防、医院评审检查等）不合格，对采购人造成重大影响的。</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第八条  物业服务履约验收及考核方案</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（根据招投标文件确定）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pP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p>
    <w:p>
      <w:pPr>
        <w:adjustRightInd w:val="0"/>
        <w:snapToGrid w:val="0"/>
        <w:spacing w:line="360" w:lineRule="auto"/>
        <w:ind w:firstLine="420" w:firstLineChars="200"/>
        <w:rPr>
          <w:rFonts w:asciiTheme="minorEastAsia" w:eastAsiaTheme="minorEastAsia" w:hAnsiTheme="minorEastAsia" w:cstheme="minorEastAsia" w:hint="eastAsia"/>
          <w:b/>
          <w:bCs/>
          <w:color w:val="000000" w:themeColor="text1"/>
          <w:sz w:val="21"/>
          <w:szCs w:val="21"/>
          <w14:textFill>
            <w14:solidFill>
              <w14:schemeClr w14:val="tx1"/>
            </w14:solidFill>
          </w14:textFill>
        </w:rPr>
      </w:pPr>
      <w:r>
        <w:rPr>
          <w:rFonts w:asciiTheme="minorEastAsia" w:eastAsiaTheme="minorEastAsia" w:hAnsiTheme="minorEastAsia" w:cstheme="minorEastAsia" w:hint="eastAsia"/>
          <w:b/>
          <w:bCs/>
          <w:color w:val="000000" w:themeColor="text1"/>
          <w:sz w:val="21"/>
          <w:szCs w:val="21"/>
          <w14:textFill>
            <w14:solidFill>
              <w14:schemeClr w14:val="tx1"/>
            </w14:solidFill>
          </w14:textFill>
        </w:rPr>
        <w:t>第九条  其它事项</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1．双方可对本合同的条款进行修订、更改或补充，并书面签订补充协议，补充协议与本合同具有同等效力。</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2．合同规定的管理期满，本合同自然终止，双方如续订合同，应在该合同期满前向对方提出书面要求。</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3．本合同执行期间，如遇不可抗力，致使合同无法履行时，双方均不承担违约责任并按有关法规政策规定及时协商处理。</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4．本合同在履行中如发生争议，双方应协商解决，协商不成时，提交甲方所在地人民法院提起诉讼解决。</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5．本合同正本共</w:t>
      </w:r>
      <w:r>
        <w:rPr>
          <w:rFonts w:asciiTheme="minorEastAsia" w:eastAsiaTheme="minorEastAsia" w:hAnsiTheme="minorEastAsia" w:cstheme="minorEastAsia" w:hint="eastAsia"/>
          <w:color w:val="000000" w:themeColor="text1"/>
          <w:sz w:val="21"/>
          <w:szCs w:val="21"/>
          <w:u w:val="single"/>
          <w14:textFill>
            <w14:solidFill>
              <w14:schemeClr w14:val="tx1"/>
            </w14:solidFill>
          </w14:textFill>
        </w:rPr>
        <w:t xml:space="preserve">         </w:t>
      </w:r>
      <w:r>
        <w:rPr>
          <w:rFonts w:asciiTheme="minorEastAsia" w:eastAsiaTheme="minorEastAsia" w:hAnsiTheme="minorEastAsia" w:cstheme="minorEastAsia" w:hint="eastAsia"/>
          <w:color w:val="000000" w:themeColor="text1"/>
          <w:sz w:val="21"/>
          <w:szCs w:val="21"/>
          <w14:textFill>
            <w14:solidFill>
              <w14:schemeClr w14:val="tx1"/>
            </w14:solidFill>
          </w14:textFill>
        </w:rPr>
        <w:t>页，一式六份，甲、乙双方各执三份，具有同等法律效力。</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6．本合同自签订之日起生效。</w:t>
      </w:r>
    </w:p>
    <w:p>
      <w:pPr>
        <w:adjustRightInd w:val="0"/>
        <w:snapToGrid w:val="0"/>
        <w:spacing w:line="360" w:lineRule="auto"/>
        <w:ind w:firstLine="420" w:firstLineChars="200"/>
        <w:rPr>
          <w:rFonts w:asciiTheme="minorEastAsia" w:eastAsiaTheme="minorEastAsia" w:hAnsiTheme="minorEastAsia" w:cstheme="minorEastAsia" w:hint="eastAsia"/>
          <w:color w:val="000000" w:themeColor="text1"/>
          <w:sz w:val="21"/>
          <w:szCs w:val="21"/>
          <w14:textFill>
            <w14:solidFill>
              <w14:schemeClr w14:val="tx1"/>
            </w14:solidFill>
          </w14:textFill>
        </w:rPr>
      </w:pPr>
      <w:r>
        <w:rPr>
          <w:rFonts w:asciiTheme="minorEastAsia" w:eastAsiaTheme="minorEastAsia" w:hAnsiTheme="minorEastAsia" w:cstheme="minorEastAsia" w:hint="eastAsia"/>
          <w:color w:val="000000" w:themeColor="text1"/>
          <w:sz w:val="21"/>
          <w:szCs w:val="21"/>
          <w14:textFill>
            <w14:solidFill>
              <w14:schemeClr w14:val="tx1"/>
            </w14:solidFill>
          </w14:textFill>
        </w:rPr>
        <w:t>7.附件：</w:t>
      </w:r>
    </w:p>
    <w:p>
      <w:pPr>
        <w:adjustRightInd w:val="0"/>
        <w:snapToGrid w:val="0"/>
        <w:spacing w:line="360" w:lineRule="auto"/>
        <w:ind w:firstLine="420" w:firstLineChars="200"/>
        <w:rPr>
          <w:rFonts w:asciiTheme="minorEastAsia" w:eastAsiaTheme="minorEastAsia" w:hAnsiTheme="minorEastAsia" w:cstheme="minorEastAsia" w:hint="eastAsia"/>
          <w:color w:val="000000"/>
          <w:sz w:val="21"/>
          <w:szCs w:val="21"/>
        </w:rPr>
      </w:pPr>
      <w:r>
        <w:rPr>
          <w:rFonts w:asciiTheme="minorEastAsia" w:eastAsiaTheme="minorEastAsia" w:hAnsiTheme="minorEastAsia" w:cstheme="minorEastAsia" w:hint="eastAsia"/>
          <w:color w:val="000000"/>
          <w:sz w:val="21"/>
          <w:szCs w:val="21"/>
        </w:rPr>
        <w:t>(1)《深圳市龙岗区人民医院物业管理服务考核标准》</w:t>
      </w:r>
    </w:p>
    <w:p>
      <w:pPr>
        <w:spacing w:line="360" w:lineRule="auto"/>
        <w:ind w:firstLine="420" w:firstLineChars="200"/>
        <w:rPr>
          <w:rFonts w:ascii="宋体" w:hAnsi="宋体"/>
          <w:szCs w:val="21"/>
        </w:rPr>
      </w:pPr>
      <w:r>
        <w:rPr>
          <w:rFonts w:asciiTheme="minorEastAsia" w:eastAsiaTheme="minorEastAsia" w:hAnsiTheme="minorEastAsia" w:cstheme="minorEastAsia" w:hint="eastAsia"/>
          <w:color w:val="000000"/>
          <w:sz w:val="21"/>
          <w:szCs w:val="21"/>
        </w:rPr>
        <w:t>（2）《深圳市龙岗区人民医院物业服务季度满意度调查表》</w:t>
      </w:r>
    </w:p>
    <w:p>
      <w:pPr>
        <w:ind w:firstLine="420" w:firstLineChars="200"/>
        <w:rPr>
          <w:rFonts w:ascii="宋体" w:hAnsi="宋体"/>
          <w:szCs w:val="21"/>
        </w:rPr>
      </w:pPr>
    </w:p>
    <w:p>
      <w:pPr>
        <w:widowControl/>
        <w:jc w:val="left"/>
        <w:rPr>
          <w:rFonts w:ascii="宋体" w:hAnsi="宋体"/>
          <w:szCs w:val="21"/>
        </w:rPr>
      </w:pPr>
      <w:r>
        <w:rPr>
          <w:rFonts w:ascii="宋体" w:hAnsi="宋体"/>
          <w:szCs w:val="21"/>
        </w:rPr>
        <w:br w:type="page"/>
      </w:r>
    </w:p>
    <w:p>
      <w:pPr>
        <w:pStyle w:val="Heading2"/>
        <w:spacing w:before="120" w:beforeLines="50" w:after="120" w:afterLines="50" w:line="360" w:lineRule="auto"/>
        <w:ind w:left="562"/>
        <w:rPr>
          <w:sz w:val="28"/>
          <w:szCs w:val="28"/>
        </w:rPr>
      </w:pPr>
      <w:r>
        <w:rPr>
          <w:rFonts w:hint="eastAsia"/>
          <w:sz w:val="28"/>
          <w:szCs w:val="28"/>
        </w:rPr>
        <w:t>第二册  通用条款（公开招标）</w:t>
      </w:r>
    </w:p>
    <w:p>
      <w:pPr>
        <w:pStyle w:val="Heading2"/>
        <w:numPr>
          <w:ilvl w:val="0"/>
          <w:numId w:val="42"/>
        </w:numPr>
        <w:spacing w:before="120" w:beforeLines="50" w:after="120" w:afterLines="50" w:line="360" w:lineRule="auto"/>
        <w:ind w:left="562" w:hanging="562"/>
        <w:rPr>
          <w:sz w:val="28"/>
          <w:szCs w:val="28"/>
        </w:rPr>
      </w:pPr>
      <w:bookmarkStart w:id="45" w:name="_Hlk72399513"/>
      <w:r>
        <w:rPr>
          <w:rFonts w:hint="eastAsia"/>
          <w:sz w:val="28"/>
          <w:szCs w:val="28"/>
        </w:rPr>
        <w:t>总则</w:t>
      </w:r>
    </w:p>
    <w:p>
      <w:pPr>
        <w:spacing w:line="360" w:lineRule="auto"/>
        <w:rPr>
          <w:rFonts w:ascii="黑体" w:eastAsia="黑体" w:hAnsi="宋体"/>
          <w:sz w:val="24"/>
        </w:rPr>
      </w:pPr>
      <w:bookmarkEnd w:id="45"/>
      <w:r>
        <w:rPr>
          <w:rFonts w:ascii="黑体" w:eastAsia="黑体" w:hAnsi="宋体" w:hint="eastAsia"/>
          <w:sz w:val="24"/>
        </w:rPr>
        <w:t>1. 通用条款说明</w:t>
      </w:r>
    </w:p>
    <w:p>
      <w:pPr>
        <w:spacing w:line="360" w:lineRule="auto"/>
        <w:ind w:firstLine="412" w:firstLineChars="196"/>
        <w:rPr>
          <w:rFonts w:ascii="宋体" w:hAnsi="宋体"/>
          <w:szCs w:val="21"/>
        </w:rPr>
      </w:pPr>
      <w:r>
        <w:rPr>
          <w:rFonts w:ascii="宋体" w:hAnsi="宋体" w:hint="eastAsia"/>
          <w:szCs w:val="21"/>
        </w:rPr>
        <w:t>1.1政府集中采购机构发出招标文件通用条款版本，列出深圳市政府采购项目进行招标采购所适用的通用条款内容。</w:t>
      </w:r>
      <w:bookmarkStart w:id="46" w:name="_Hlk72399729"/>
      <w:r>
        <w:rPr>
          <w:rFonts w:ascii="宋体" w:hAnsi="宋体" w:hint="eastAsia"/>
          <w:szCs w:val="21"/>
        </w:rPr>
        <w:t>如有需要，政府集中采购机构可以对通用条款的内容进行补充。</w:t>
      </w:r>
      <w:bookmarkEnd w:id="46"/>
    </w:p>
    <w:p>
      <w:pPr>
        <w:spacing w:line="360" w:lineRule="auto"/>
        <w:ind w:firstLine="412" w:firstLineChars="196"/>
        <w:rPr>
          <w:rFonts w:ascii="宋体" w:hAnsi="宋体"/>
          <w:szCs w:val="21"/>
        </w:rPr>
      </w:pPr>
      <w:r>
        <w:rPr>
          <w:rFonts w:ascii="宋体" w:hAnsi="宋体" w:hint="eastAsia"/>
          <w:szCs w:val="21"/>
        </w:rPr>
        <w:t>1.2招标文件分为第一册“专用条款”和第二册“通用条款”。</w:t>
      </w:r>
    </w:p>
    <w:p>
      <w:pPr>
        <w:spacing w:line="360" w:lineRule="auto"/>
        <w:ind w:firstLine="412" w:firstLineChars="196"/>
        <w:rPr>
          <w:rFonts w:ascii="宋体" w:hAnsi="宋体"/>
          <w:szCs w:val="21"/>
        </w:rPr>
      </w:pPr>
      <w:r>
        <w:rPr>
          <w:rFonts w:ascii="宋体" w:hAnsi="宋体" w:hint="eastAsia"/>
          <w:szCs w:val="21"/>
        </w:rPr>
        <w:t>1.3“专用条款”是对本次采购项目的具体要求，包含招标公告、对通用条款的补充内容及其他关键信息、用户需求书、投标文件格式及附件、合同条款及格式等内容。</w:t>
      </w:r>
    </w:p>
    <w:p>
      <w:pPr>
        <w:spacing w:line="360" w:lineRule="auto"/>
        <w:ind w:firstLine="412" w:firstLineChars="196"/>
        <w:rPr>
          <w:rFonts w:ascii="宋体" w:hAnsi="宋体"/>
          <w:szCs w:val="21"/>
        </w:rPr>
      </w:pPr>
      <w:r>
        <w:rPr>
          <w:rFonts w:ascii="宋体" w:hAnsi="宋体" w:hint="eastAsia"/>
          <w:szCs w:val="21"/>
        </w:rPr>
        <w:t>1.4“通用条款”是适用于政府采购公开招标项目的基础性条款，具有普遍性和通用性。</w:t>
      </w:r>
    </w:p>
    <w:p>
      <w:pPr>
        <w:spacing w:line="360" w:lineRule="auto"/>
        <w:ind w:firstLine="412" w:firstLineChars="196"/>
        <w:rPr>
          <w:rFonts w:ascii="宋体" w:hAnsi="宋体"/>
          <w:szCs w:val="21"/>
        </w:rPr>
      </w:pPr>
      <w:r>
        <w:rPr>
          <w:rFonts w:ascii="宋体" w:hAnsi="宋体" w:hint="eastAsia"/>
          <w:szCs w:val="21"/>
        </w:rPr>
        <w:t>1.5 “专用条款”和“通用条款”表述不一致或有冲突时，以“专用条款”为准。</w:t>
      </w:r>
    </w:p>
    <w:p>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w:t>
      </w:r>
      <w:r>
        <w:rPr>
          <w:rFonts w:ascii="黑体" w:eastAsia="黑体" w:hAnsi="宋体" w:hint="eastAsia"/>
          <w:sz w:val="24"/>
        </w:rPr>
        <w:t>招标说明</w:t>
      </w:r>
    </w:p>
    <w:p>
      <w:pPr>
        <w:spacing w:line="360" w:lineRule="auto"/>
        <w:ind w:firstLine="412" w:firstLineChars="196"/>
        <w:rPr>
          <w:rFonts w:ascii="宋体" w:hAnsi="宋体"/>
          <w:szCs w:val="21"/>
        </w:rPr>
      </w:pPr>
      <w:r>
        <w:rPr>
          <w:rFonts w:ascii="宋体" w:hAnsi="宋体" w:hint="eastAsia"/>
          <w:szCs w:val="21"/>
        </w:rPr>
        <w:t>本项目按照《深圳经济特区政府采购条例》、《深圳经济特区政府采购条例实施细则》及政府采购其他法律法规，通过公开招标方式确定中标供应商。</w:t>
      </w:r>
    </w:p>
    <w:p>
      <w:pPr>
        <w:spacing w:line="360" w:lineRule="auto"/>
        <w:rPr>
          <w:rFonts w:ascii="黑体" w:eastAsia="黑体" w:hAnsi="宋体"/>
          <w:sz w:val="24"/>
        </w:rPr>
      </w:pPr>
      <w:r>
        <w:rPr>
          <w:rFonts w:ascii="黑体" w:eastAsia="黑体" w:hAnsi="宋体" w:hint="eastAsia"/>
          <w:sz w:val="24"/>
        </w:rPr>
        <w:t>3．定义</w:t>
      </w:r>
    </w:p>
    <w:p>
      <w:pPr>
        <w:spacing w:line="360" w:lineRule="auto"/>
        <w:ind w:firstLine="420" w:firstLineChars="200"/>
        <w:rPr>
          <w:rFonts w:ascii="宋体" w:hAnsi="宋体"/>
          <w:szCs w:val="21"/>
        </w:rPr>
      </w:pPr>
      <w:r>
        <w:rPr>
          <w:rFonts w:ascii="宋体" w:hAnsi="宋体"/>
          <w:szCs w:val="21"/>
        </w:rPr>
        <w:t>招标文件中下列术语应解释为：</w:t>
      </w:r>
    </w:p>
    <w:p>
      <w:pPr>
        <w:spacing w:line="360" w:lineRule="auto"/>
        <w:ind w:firstLine="412" w:firstLineChars="196"/>
        <w:rPr>
          <w:rFonts w:ascii="宋体" w:hAnsi="宋体"/>
          <w:szCs w:val="21"/>
        </w:rPr>
      </w:pPr>
      <w:r>
        <w:rPr>
          <w:rFonts w:ascii="宋体" w:hAnsi="宋体" w:hint="eastAsia"/>
          <w:szCs w:val="21"/>
        </w:rPr>
        <w:t>3.</w:t>
      </w:r>
      <w:r>
        <w:rPr>
          <w:rFonts w:ascii="宋体" w:hAnsi="宋体"/>
          <w:szCs w:val="21"/>
        </w:rPr>
        <w:t>1</w:t>
      </w:r>
      <w:r>
        <w:rPr>
          <w:rFonts w:ascii="宋体" w:hAnsi="宋体" w:hint="eastAsia"/>
          <w:szCs w:val="21"/>
        </w:rPr>
        <w:t>“采购人”：指利用财政性资金依法进行政府采购的国家机关、事业单位、团体组织；</w:t>
      </w:r>
      <w:r>
        <w:rPr>
          <w:rFonts w:ascii="宋体" w:hAnsi="宋体"/>
          <w:szCs w:val="21"/>
        </w:rPr>
        <w:t xml:space="preserve"> </w:t>
      </w:r>
    </w:p>
    <w:p>
      <w:pPr>
        <w:spacing w:line="360" w:lineRule="auto"/>
        <w:ind w:firstLine="412" w:firstLineChars="196"/>
        <w:rPr>
          <w:rFonts w:ascii="宋体" w:hAnsi="宋体"/>
          <w:szCs w:val="21"/>
        </w:rPr>
      </w:pPr>
      <w:r>
        <w:rPr>
          <w:rFonts w:ascii="宋体" w:hAnsi="宋体" w:hint="eastAsia"/>
          <w:szCs w:val="21"/>
        </w:rPr>
        <w:t>3.2 “政府集中采购机构”</w:t>
      </w:r>
      <w:r>
        <w:rPr>
          <w:rFonts w:ascii="Arial" w:hAnsi="Arial" w:cs="Arial" w:hint="eastAsia"/>
          <w:szCs w:val="21"/>
          <w:shd w:val="clear" w:color="auto" w:fill="FFFFFF"/>
        </w:rPr>
        <w:t>是指市政府设立的，组织实施政府采购项目，并对政府采购活动提供服务的专门机构；</w:t>
      </w:r>
      <w:r>
        <w:rPr>
          <w:rFonts w:ascii="宋体" w:hAnsi="宋体" w:hint="eastAsia"/>
          <w:szCs w:val="21"/>
        </w:rPr>
        <w:t>本文件所述的“政府集中采购机构”</w:t>
      </w:r>
      <w:r>
        <w:rPr>
          <w:rFonts w:ascii="宋体" w:hAnsi="宋体"/>
          <w:szCs w:val="21"/>
        </w:rPr>
        <w:t>指</w:t>
      </w:r>
      <w:r>
        <w:rPr>
          <w:rFonts w:ascii="宋体" w:hAnsi="宋体" w:hint="eastAsia"/>
          <w:b/>
          <w:bCs/>
          <w:szCs w:val="21"/>
        </w:rPr>
        <w:t>深圳公共资源交易中心</w:t>
      </w:r>
      <w:r>
        <w:rPr>
          <w:rFonts w:ascii="宋体" w:hAnsi="宋体" w:hint="eastAsia"/>
          <w:szCs w:val="21"/>
        </w:rPr>
        <w:t>；</w:t>
      </w:r>
    </w:p>
    <w:p>
      <w:pPr>
        <w:spacing w:line="360" w:lineRule="auto"/>
        <w:ind w:firstLine="412" w:firstLineChars="196"/>
        <w:rPr>
          <w:rFonts w:ascii="宋体" w:hAnsi="宋体"/>
          <w:szCs w:val="21"/>
        </w:rPr>
      </w:pPr>
      <w:r>
        <w:rPr>
          <w:rFonts w:ascii="宋体" w:hAnsi="宋体" w:hint="eastAsia"/>
          <w:szCs w:val="21"/>
        </w:rPr>
        <w:t>3.3“投标人”，即供应商，指参加投标竞争并愿意按照招标文件要求向采购人提供货物、工程或者服务的依法成立的法人、其他组织或者自然人；</w:t>
      </w:r>
    </w:p>
    <w:p>
      <w:pPr>
        <w:spacing w:line="360" w:lineRule="auto"/>
        <w:ind w:firstLine="412" w:firstLineChars="196"/>
        <w:rPr>
          <w:rFonts w:ascii="宋体" w:hAnsi="宋体"/>
          <w:szCs w:val="21"/>
        </w:rPr>
      </w:pPr>
      <w:r>
        <w:rPr>
          <w:rFonts w:ascii="宋体" w:hAnsi="宋体" w:hint="eastAsia"/>
          <w:szCs w:val="21"/>
        </w:rPr>
        <w:t>3.4“评审委员会”是依据《深圳经济特区政府采购条例》、《深圳经济特区政府采购条例实施细则》等有关规定组建的专门负责本次招标评审工作的临时性机构；</w:t>
      </w:r>
    </w:p>
    <w:p>
      <w:pPr>
        <w:spacing w:line="360" w:lineRule="auto"/>
        <w:ind w:firstLine="412" w:firstLineChars="196"/>
        <w:rPr>
          <w:rFonts w:ascii="宋体" w:hAnsi="宋体"/>
          <w:szCs w:val="21"/>
        </w:rPr>
      </w:pPr>
      <w:r>
        <w:rPr>
          <w:rFonts w:ascii="宋体" w:hAnsi="宋体" w:hint="eastAsia"/>
          <w:szCs w:val="21"/>
        </w:rPr>
        <w:t>3.5“日期”</w:t>
      </w:r>
      <w:r>
        <w:rPr>
          <w:rFonts w:ascii="宋体" w:hAnsi="宋体"/>
          <w:szCs w:val="21"/>
        </w:rPr>
        <w:t>指</w:t>
      </w:r>
      <w:r>
        <w:rPr>
          <w:rFonts w:ascii="宋体" w:hAnsi="宋体" w:hint="eastAsia"/>
          <w:szCs w:val="21"/>
        </w:rPr>
        <w:t>公历日；</w:t>
      </w:r>
    </w:p>
    <w:p>
      <w:pPr>
        <w:spacing w:line="360" w:lineRule="auto"/>
        <w:ind w:firstLine="412" w:firstLineChars="196"/>
        <w:rPr>
          <w:rFonts w:ascii="宋体" w:hAnsi="宋体"/>
          <w:szCs w:val="21"/>
        </w:rPr>
      </w:pPr>
      <w:r>
        <w:rPr>
          <w:rFonts w:ascii="宋体" w:hAnsi="宋体" w:hint="eastAsia"/>
          <w:szCs w:val="21"/>
        </w:rPr>
        <w:t>3.6“合同”指由本次招标所产生的合同或合约文件；</w:t>
      </w:r>
    </w:p>
    <w:p>
      <w:pPr>
        <w:spacing w:line="360" w:lineRule="auto"/>
        <w:ind w:firstLine="412" w:firstLineChars="196"/>
        <w:rPr>
          <w:rFonts w:ascii="宋体" w:hAnsi="宋体"/>
          <w:szCs w:val="21"/>
        </w:rPr>
      </w:pPr>
      <w:r>
        <w:rPr>
          <w:rFonts w:ascii="宋体" w:hAnsi="宋体" w:hint="eastAsia"/>
          <w:szCs w:val="21"/>
        </w:rPr>
        <w:t>3.7“电子投标文件”指利用</w:t>
      </w:r>
      <w:r>
        <w:rPr>
          <w:rFonts w:ascii="宋体" w:hAnsi="宋体" w:hint="eastAsia"/>
          <w:b/>
          <w:bCs/>
          <w:szCs w:val="21"/>
        </w:rPr>
        <w:t>深圳公共资源交易中心（深圳交易集团有限公司</w:t>
      </w:r>
      <w:r>
        <w:rPr>
          <w:rFonts w:ascii="宋体" w:hAnsi="宋体" w:hint="eastAsia"/>
          <w:b/>
          <w:bCs/>
          <w:szCs w:val="21"/>
          <w:lang w:val="en-US" w:eastAsia="zh-CN"/>
        </w:rPr>
        <w:t>龙岗</w:t>
      </w:r>
      <w:r>
        <w:rPr>
          <w:rFonts w:ascii="宋体" w:hAnsi="宋体" w:hint="eastAsia"/>
          <w:b/>
          <w:bCs/>
          <w:szCs w:val="21"/>
        </w:rPr>
        <w:t>分公司）</w:t>
      </w:r>
      <w:r>
        <w:rPr>
          <w:rFonts w:ascii="宋体" w:hAnsi="宋体" w:hint="eastAsia"/>
          <w:szCs w:val="21"/>
        </w:rPr>
        <w:t>网站提供的深圳智慧采购平台投标文件制作专用软件（以下简称：投标文件制作软件）制作并加密的投标文件,适用于网上投标；（投标文件制作软件可从“下载地址：http://zfcg.szggzy.com:8081/cgxy/013002/20210923/173e0b2c-7a4c-4246-a0c7-e0ea75d84dd6.html深圳智慧采购平台投标文件制作专用软件.zip”下载）</w:t>
      </w:r>
      <w:bookmarkStart w:id="47" w:name="_Hlk72398581"/>
      <w:r>
        <w:rPr>
          <w:rFonts w:ascii="宋体" w:hAnsi="宋体" w:hint="eastAsia"/>
          <w:szCs w:val="21"/>
        </w:rPr>
        <w:t>；</w:t>
      </w:r>
      <w:bookmarkEnd w:id="47"/>
    </w:p>
    <w:p>
      <w:pPr>
        <w:spacing w:line="360" w:lineRule="auto"/>
        <w:ind w:firstLine="412" w:firstLineChars="196"/>
        <w:rPr>
          <w:rFonts w:ascii="宋体" w:hAnsi="宋体"/>
          <w:szCs w:val="21"/>
        </w:rPr>
      </w:pPr>
      <w:r>
        <w:rPr>
          <w:rFonts w:ascii="宋体" w:hAnsi="宋体" w:hint="eastAsia"/>
          <w:szCs w:val="21"/>
        </w:rPr>
        <w:t>3.8“网上投标”指通过</w:t>
      </w:r>
      <w:r>
        <w:rPr>
          <w:rFonts w:ascii="宋体" w:hAnsi="宋体" w:hint="eastAsia"/>
          <w:b/>
          <w:bCs/>
          <w:szCs w:val="21"/>
        </w:rPr>
        <w:t>深圳公共资源交易中心（深圳交易集团有限公司*</w:t>
      </w:r>
      <w:r>
        <w:rPr>
          <w:rFonts w:ascii="宋体" w:hAnsi="宋体"/>
          <w:b/>
          <w:bCs/>
          <w:szCs w:val="21"/>
        </w:rPr>
        <w:t>**</w:t>
      </w:r>
      <w:r>
        <w:rPr>
          <w:rFonts w:ascii="宋体" w:hAnsi="宋体" w:hint="eastAsia"/>
          <w:b/>
          <w:bCs/>
          <w:szCs w:val="21"/>
        </w:rPr>
        <w:t>分公司）</w:t>
      </w:r>
      <w:r>
        <w:rPr>
          <w:rFonts w:ascii="宋体" w:hAnsi="宋体" w:hint="eastAsia"/>
          <w:szCs w:val="21"/>
        </w:rPr>
        <w:t>网站上传电子投标文件；</w:t>
      </w:r>
    </w:p>
    <w:p>
      <w:pPr>
        <w:spacing w:line="360" w:lineRule="auto"/>
        <w:ind w:firstLine="412" w:firstLineChars="196"/>
        <w:rPr>
          <w:rFonts w:ascii="宋体" w:hAnsi="宋体"/>
          <w:szCs w:val="21"/>
        </w:rPr>
      </w:pPr>
      <w:r>
        <w:rPr>
          <w:rFonts w:ascii="宋体" w:hAnsi="宋体" w:hint="eastAsia"/>
          <w:szCs w:val="21"/>
        </w:rPr>
        <w:t>3.9招标文件中的标题或题名仅起引导作用，而不应视为对招标文件内容的理解和解释。</w:t>
      </w:r>
    </w:p>
    <w:p>
      <w:pPr>
        <w:spacing w:line="360" w:lineRule="auto"/>
        <w:rPr>
          <w:rFonts w:ascii="黑体" w:eastAsia="黑体" w:hAnsi="宋体"/>
          <w:sz w:val="24"/>
        </w:rPr>
      </w:pPr>
      <w:r>
        <w:rPr>
          <w:rFonts w:ascii="黑体" w:eastAsia="黑体" w:hAnsi="宋体" w:hint="eastAsia"/>
          <w:sz w:val="24"/>
        </w:rPr>
        <w:t>4.</w:t>
      </w:r>
      <w:bookmarkStart w:id="48" w:name="_Hlk72398643"/>
      <w:r>
        <w:rPr>
          <w:rFonts w:ascii="黑体" w:eastAsia="黑体" w:hAnsi="宋体" w:hint="eastAsia"/>
          <w:sz w:val="24"/>
        </w:rPr>
        <w:t>政府采购供应商责任</w:t>
      </w:r>
    </w:p>
    <w:p>
      <w:pPr>
        <w:spacing w:line="360" w:lineRule="auto"/>
        <w:ind w:firstLine="412" w:firstLineChars="196"/>
        <w:rPr>
          <w:rFonts w:ascii="宋体" w:hAnsi="宋体"/>
          <w:szCs w:val="21"/>
        </w:rPr>
      </w:pPr>
      <w:r>
        <w:rPr>
          <w:rFonts w:ascii="宋体" w:hAnsi="宋体" w:hint="eastAsia"/>
          <w:szCs w:val="21"/>
        </w:rPr>
        <w:t>4.1欢迎诚信、有实力和有社会责任心的供应商参与政府采购事业。</w:t>
      </w:r>
    </w:p>
    <w:p>
      <w:pPr>
        <w:spacing w:line="360" w:lineRule="auto"/>
        <w:ind w:firstLine="412" w:firstLineChars="196"/>
        <w:rPr>
          <w:rFonts w:ascii="宋体" w:hAnsi="宋体"/>
          <w:szCs w:val="21"/>
        </w:rPr>
      </w:pPr>
      <w:r>
        <w:rPr>
          <w:rFonts w:ascii="宋体" w:hAnsi="宋体" w:hint="eastAsia"/>
          <w:szCs w:val="21"/>
        </w:rPr>
        <w:t>4.2投标人应当遵循公平竞争的原则，不得恶意串通，不得妨碍其他投标人的竞争行为，不得损害采购人或者其他投标人的合法权益。如违反上述要求，经核实后，供应商的投标无效。</w:t>
      </w:r>
    </w:p>
    <w:p>
      <w:pPr>
        <w:spacing w:line="360" w:lineRule="auto"/>
        <w:rPr>
          <w:rFonts w:ascii="黑体" w:eastAsia="黑体" w:hAnsi="宋体"/>
          <w:sz w:val="24"/>
        </w:rPr>
      </w:pPr>
      <w:r>
        <w:rPr>
          <w:rFonts w:ascii="黑体" w:eastAsia="黑体" w:hAnsi="宋体" w:hint="eastAsia"/>
          <w:sz w:val="24"/>
        </w:rPr>
        <w:t>5．投标人参加政府采购的条件</w:t>
      </w:r>
    </w:p>
    <w:p>
      <w:pPr>
        <w:spacing w:line="360" w:lineRule="auto"/>
        <w:ind w:firstLine="412" w:firstLineChars="196"/>
        <w:rPr>
          <w:rFonts w:ascii="宋体" w:hAnsi="宋体"/>
          <w:szCs w:val="21"/>
        </w:rPr>
      </w:pPr>
      <w:r>
        <w:rPr>
          <w:rFonts w:ascii="宋体" w:hAnsi="宋体" w:hint="eastAsia"/>
          <w:szCs w:val="21"/>
        </w:rPr>
        <w:t>5.1投标人应在投标前到</w:t>
      </w:r>
      <w:r>
        <w:rPr>
          <w:rFonts w:ascii="宋体" w:hAnsi="宋体" w:hint="eastAsia"/>
          <w:b/>
          <w:bCs/>
          <w:szCs w:val="21"/>
        </w:rPr>
        <w:t>深圳公共资源交易中心（具体在深圳交易集团有限公司政府采购业务分公司进行办理）</w:t>
      </w:r>
      <w:r>
        <w:rPr>
          <w:rFonts w:ascii="宋体" w:hAnsi="宋体" w:hint="eastAsia"/>
          <w:szCs w:val="21"/>
        </w:rPr>
        <w:t>进行注册并办理电子密钥。《供应商注册及信息变更指引》详见www.szggzy.com网站“交易服务指南-政府采购”</w:t>
      </w:r>
      <w:r>
        <w:rPr>
          <w:rFonts w:ascii="宋体" w:hAnsi="宋体" w:hint="eastAsia"/>
          <w:szCs w:val="21"/>
          <w:lang w:val="en-US" w:eastAsia="zh-CN"/>
        </w:rPr>
        <w:t>。</w:t>
      </w:r>
      <w:r>
        <w:rPr>
          <w:rFonts w:ascii="宋体" w:hAnsi="宋体" w:hint="eastAsia"/>
          <w:szCs w:val="21"/>
        </w:rPr>
        <w:t>。</w:t>
      </w:r>
    </w:p>
    <w:p>
      <w:pPr>
        <w:spacing w:line="360" w:lineRule="auto"/>
        <w:ind w:firstLine="412" w:firstLineChars="196"/>
        <w:rPr>
          <w:rFonts w:ascii="宋体" w:hAnsi="宋体"/>
          <w:szCs w:val="21"/>
        </w:rPr>
      </w:pPr>
      <w:r>
        <w:rPr>
          <w:rFonts w:ascii="宋体" w:hAnsi="宋体" w:hint="eastAsia"/>
          <w:szCs w:val="21"/>
        </w:rPr>
        <w:t>5.2投标人资格要求</w:t>
      </w:r>
    </w:p>
    <w:p>
      <w:pPr>
        <w:spacing w:line="360" w:lineRule="auto"/>
        <w:ind w:firstLine="412" w:firstLineChars="196"/>
        <w:rPr>
          <w:rFonts w:ascii="宋体" w:hAnsi="宋体"/>
          <w:szCs w:val="21"/>
        </w:rPr>
      </w:pPr>
      <w:r>
        <w:rPr>
          <w:rFonts w:ascii="宋体" w:hAnsi="宋体" w:hint="eastAsia"/>
          <w:szCs w:val="21"/>
        </w:rPr>
        <w:t>参加本项目的投标人应具备的资格条件详见本项目招标公告中 “投标人资格要求”（即申请人的资格要求）的内容。</w:t>
      </w:r>
    </w:p>
    <w:p>
      <w:pPr>
        <w:spacing w:line="360" w:lineRule="auto"/>
        <w:ind w:firstLine="412" w:firstLineChars="196"/>
        <w:rPr>
          <w:rFonts w:ascii="宋体" w:hAnsi="宋体"/>
          <w:szCs w:val="21"/>
        </w:rPr>
      </w:pPr>
      <w:r>
        <w:rPr>
          <w:rFonts w:ascii="宋体" w:hAnsi="宋体" w:hint="eastAsia"/>
          <w:szCs w:val="21"/>
        </w:rPr>
        <w:t>5.3联合体投标</w:t>
      </w:r>
    </w:p>
    <w:p>
      <w:pPr>
        <w:spacing w:line="360" w:lineRule="auto"/>
        <w:ind w:firstLine="412" w:firstLineChars="196"/>
        <w:rPr>
          <w:rFonts w:ascii="宋体" w:hAnsi="宋体"/>
          <w:szCs w:val="21"/>
        </w:rPr>
      </w:pPr>
      <w:r>
        <w:rPr>
          <w:rFonts w:ascii="宋体" w:hAnsi="宋体" w:hint="eastAsia"/>
          <w:szCs w:val="21"/>
        </w:rPr>
        <w:t>5.3.1　以下有关联合体投标的条款仅适用于允许投标人组成联合体投标的项目。</w:t>
      </w:r>
    </w:p>
    <w:p>
      <w:pPr>
        <w:spacing w:line="360" w:lineRule="auto"/>
        <w:ind w:firstLine="412" w:firstLineChars="196"/>
        <w:rPr>
          <w:rFonts w:ascii="宋体" w:hAnsi="宋体"/>
          <w:szCs w:val="21"/>
        </w:rPr>
      </w:pPr>
      <w:r>
        <w:rPr>
          <w:rFonts w:ascii="宋体" w:hAnsi="宋体" w:hint="eastAsia"/>
          <w:szCs w:val="21"/>
        </w:rPr>
        <w:t>5.3.2  由两个或两个以上的自然人、法人或者其他组织可以组成一个联合体，以一个供应商的身份共同投标时，应符合以下原则：</w:t>
      </w:r>
    </w:p>
    <w:p>
      <w:pPr>
        <w:spacing w:line="360" w:lineRule="auto"/>
        <w:ind w:firstLine="412" w:firstLineChars="196"/>
        <w:rPr>
          <w:rFonts w:ascii="宋体" w:hAnsi="宋体"/>
        </w:rPr>
      </w:pPr>
      <w:r>
        <w:rPr>
          <w:rFonts w:ascii="宋体" w:hAnsi="宋体" w:hint="eastAsia"/>
        </w:rPr>
        <w:t>（1）投标联合体各方参加政府采购活动应当具备下列条件：</w:t>
      </w:r>
      <w:r>
        <w:rPr>
          <w:rFonts w:ascii="宋体" w:hAnsi="宋体"/>
        </w:rPr>
        <w:t xml:space="preserve"> </w:t>
      </w:r>
    </w:p>
    <w:p>
      <w:pPr>
        <w:spacing w:line="360" w:lineRule="auto"/>
        <w:ind w:left="420" w:firstLine="412" w:leftChars="200" w:firstLineChars="196"/>
        <w:rPr>
          <w:rFonts w:ascii="宋体" w:hAnsi="宋体"/>
        </w:rPr>
      </w:pPr>
      <w:r>
        <w:rPr>
          <w:rFonts w:ascii="宋体" w:hAnsi="宋体" w:hint="eastAsia"/>
        </w:rPr>
        <w:t>1、具有独立承担民事责任的能力；</w:t>
      </w:r>
      <w:r>
        <w:rPr>
          <w:rFonts w:ascii="宋体" w:hAnsi="宋体"/>
        </w:rPr>
        <w:t xml:space="preserve"> </w:t>
      </w:r>
    </w:p>
    <w:p>
      <w:pPr>
        <w:spacing w:line="360" w:lineRule="auto"/>
        <w:ind w:left="420" w:firstLine="412" w:firstLineChars="196"/>
        <w:rPr>
          <w:rFonts w:ascii="宋体" w:hAnsi="宋体"/>
        </w:rPr>
      </w:pPr>
      <w:r>
        <w:rPr>
          <w:rFonts w:ascii="宋体" w:hAnsi="宋体" w:hint="eastAsia"/>
        </w:rPr>
        <w:t>2、有良好的商业信誉和健全的财务会计制度；</w:t>
      </w:r>
      <w:r>
        <w:rPr>
          <w:rFonts w:ascii="宋体" w:hAnsi="宋体"/>
        </w:rPr>
        <w:t xml:space="preserve"> </w:t>
      </w:r>
    </w:p>
    <w:p>
      <w:pPr>
        <w:spacing w:line="360" w:lineRule="auto"/>
        <w:ind w:left="420" w:firstLine="412" w:leftChars="200" w:firstLineChars="196"/>
        <w:rPr>
          <w:rFonts w:ascii="宋体" w:hAnsi="宋体"/>
        </w:rPr>
      </w:pPr>
      <w:r>
        <w:rPr>
          <w:rFonts w:ascii="宋体" w:hAnsi="宋体" w:hint="eastAsia"/>
        </w:rPr>
        <w:t>3、具有履行合同所必需的设备和专业技术能力；</w:t>
      </w:r>
      <w:r>
        <w:rPr>
          <w:rFonts w:ascii="宋体" w:hAnsi="宋体"/>
        </w:rPr>
        <w:t xml:space="preserve"> </w:t>
      </w:r>
    </w:p>
    <w:p>
      <w:pPr>
        <w:spacing w:line="360" w:lineRule="auto"/>
        <w:ind w:left="420" w:firstLine="412" w:leftChars="200" w:firstLineChars="196"/>
        <w:rPr>
          <w:rFonts w:ascii="宋体" w:hAnsi="宋体"/>
        </w:rPr>
      </w:pPr>
      <w:r>
        <w:rPr>
          <w:rFonts w:ascii="宋体" w:hAnsi="宋体" w:hint="eastAsia"/>
        </w:rPr>
        <w:t>4、有依法缴纳税收和社会保障资金的良好记录；</w:t>
      </w:r>
      <w:r>
        <w:rPr>
          <w:rFonts w:ascii="宋体" w:hAnsi="宋体"/>
        </w:rPr>
        <w:t xml:space="preserve"> </w:t>
      </w:r>
    </w:p>
    <w:p>
      <w:pPr>
        <w:spacing w:line="360" w:lineRule="auto"/>
        <w:ind w:left="420" w:firstLine="412" w:leftChars="200" w:firstLineChars="196"/>
        <w:rPr>
          <w:rFonts w:ascii="宋体" w:hAnsi="宋体"/>
        </w:rPr>
      </w:pPr>
      <w:r>
        <w:rPr>
          <w:rFonts w:ascii="宋体" w:hAnsi="宋体" w:hint="eastAsia"/>
        </w:rPr>
        <w:t>5、参加政府采购活动前三年内，在经营活动中没有重大违法记录；</w:t>
      </w:r>
      <w:r>
        <w:rPr>
          <w:rFonts w:ascii="宋体" w:hAnsi="宋体"/>
        </w:rPr>
        <w:t xml:space="preserve"> </w:t>
      </w:r>
    </w:p>
    <w:p>
      <w:pPr>
        <w:spacing w:line="360" w:lineRule="auto"/>
        <w:ind w:left="420" w:firstLine="412" w:leftChars="200" w:firstLineChars="196"/>
        <w:rPr>
          <w:rFonts w:ascii="宋体" w:hAnsi="宋体"/>
        </w:rPr>
      </w:pPr>
      <w:r>
        <w:rPr>
          <w:rFonts w:ascii="宋体" w:hAnsi="宋体" w:hint="eastAsia"/>
        </w:rPr>
        <w:t>6、法律、行政法规规定的其他条件。</w:t>
      </w:r>
      <w:r>
        <w:rPr>
          <w:rFonts w:ascii="宋体" w:hAnsi="宋体"/>
        </w:rPr>
        <w:t xml:space="preserve"> </w:t>
      </w:r>
    </w:p>
    <w:p>
      <w:pPr>
        <w:spacing w:line="360" w:lineRule="auto"/>
        <w:ind w:firstLine="412" w:firstLineChars="196"/>
        <w:rPr>
          <w:rFonts w:ascii="宋体" w:hAnsi="宋体"/>
        </w:rPr>
      </w:pPr>
      <w:r>
        <w:rPr>
          <w:rFonts w:ascii="宋体" w:hAnsi="宋体" w:hint="eastAsia"/>
        </w:rPr>
        <w:t>（2）在投标截止前，投标联合体各方均应注册成政府集中采购机构供应商；</w:t>
      </w:r>
    </w:p>
    <w:p>
      <w:pPr>
        <w:spacing w:line="360" w:lineRule="auto"/>
        <w:ind w:firstLine="412" w:firstLineChars="196"/>
        <w:rPr>
          <w:rFonts w:ascii="宋体" w:hAnsi="宋体"/>
        </w:rPr>
      </w:pPr>
      <w:r>
        <w:rPr>
          <w:rFonts w:ascii="宋体" w:hAnsi="宋体" w:hint="eastAsia"/>
        </w:rPr>
        <w:t>（3）联合体中有同类资质的供应商按照联合体分工承担相同工作的，应当按照资质等级较低的供应商确定资质等级；</w:t>
      </w:r>
    </w:p>
    <w:p>
      <w:pPr>
        <w:spacing w:line="360" w:lineRule="auto"/>
        <w:ind w:firstLine="412" w:firstLineChars="196"/>
      </w:pPr>
      <w:r>
        <w:rPr>
          <w:rFonts w:hint="eastAsia"/>
        </w:rPr>
        <w:t>（4）是否允许联合体参加投标，应当由采购人和采购代理机构根据项目的实际情况和潜在供应商的数量自主决定，如果决定接受联合体投标则应当在招标公告中明示；</w:t>
      </w:r>
    </w:p>
    <w:p>
      <w:pPr>
        <w:spacing w:line="360" w:lineRule="auto"/>
        <w:ind w:firstLine="412" w:firstLineChars="196"/>
        <w:rPr>
          <w:rFonts w:ascii="宋体" w:hAnsi="宋体"/>
        </w:rPr>
      </w:pPr>
      <w:r>
        <w:rPr>
          <w:rFonts w:ascii="宋体" w:hAnsi="宋体" w:hint="eastAsia"/>
        </w:rPr>
        <w:t>（5）投标人的投标文件及中标后签署的合同协议对联合体各方均具法律约束力；</w:t>
      </w:r>
    </w:p>
    <w:p>
      <w:pPr>
        <w:spacing w:line="360" w:lineRule="auto"/>
        <w:ind w:firstLine="412" w:firstLineChars="196"/>
        <w:rPr>
          <w:rFonts w:ascii="宋体" w:hAnsi="宋体"/>
        </w:rPr>
      </w:pPr>
      <w:r>
        <w:rPr>
          <w:rFonts w:ascii="宋体" w:hAnsi="宋体" w:hint="eastAsia"/>
        </w:rPr>
        <w:t>（6）联合体各方应当签订联合体投标协议，明确约定各方拟承担的工作和责任，并将该协议随投标文件一并递交给政府集中采购机构；</w:t>
      </w:r>
    </w:p>
    <w:p>
      <w:pPr>
        <w:spacing w:line="360" w:lineRule="auto"/>
        <w:ind w:firstLine="412" w:firstLineChars="196"/>
        <w:rPr>
          <w:rFonts w:ascii="宋体" w:hAnsi="宋体"/>
        </w:rPr>
      </w:pPr>
      <w:r>
        <w:rPr>
          <w:rFonts w:ascii="宋体" w:hAnsi="宋体" w:hint="eastAsia"/>
        </w:rPr>
        <w:t>（7）联合体中标后，联合体各方应当共同与采购人签订合同，就中标项目向采购人承担连带责任；</w:t>
      </w:r>
    </w:p>
    <w:p>
      <w:pPr>
        <w:spacing w:line="360" w:lineRule="auto"/>
        <w:ind w:firstLine="412" w:firstLineChars="196"/>
        <w:rPr>
          <w:rFonts w:ascii="宋体" w:hAnsi="宋体"/>
        </w:rPr>
      </w:pPr>
      <w:r>
        <w:rPr>
          <w:rFonts w:ascii="宋体" w:hAnsi="宋体" w:hint="eastAsia"/>
        </w:rPr>
        <w:t>（8）以联合体形式参加政府采购活动的，联合体各方不得再单独参加或者与其他供应商另外组成联合体参加同一合同项下的政府采购活动，出现上述情况者，其投标和与此有关联合体、总包单位的投标将被拒绝；</w:t>
      </w:r>
    </w:p>
    <w:p>
      <w:pPr>
        <w:spacing w:line="360" w:lineRule="auto"/>
        <w:ind w:firstLine="412" w:firstLineChars="196"/>
        <w:rPr>
          <w:rFonts w:ascii="宋体" w:hAnsi="宋体"/>
          <w:szCs w:val="21"/>
        </w:rPr>
      </w:pPr>
      <w:r>
        <w:rPr>
          <w:rFonts w:ascii="宋体" w:hAnsi="宋体" w:hint="eastAsia"/>
        </w:rPr>
        <w:t>（9）本通用条款中“投标人”一词亦指联合体各方，专用条款另有规定或说明的除外。</w:t>
      </w:r>
    </w:p>
    <w:p>
      <w:pPr>
        <w:spacing w:line="360" w:lineRule="auto"/>
        <w:rPr>
          <w:rFonts w:ascii="黑体" w:eastAsia="黑体" w:hAnsi="宋体"/>
          <w:sz w:val="24"/>
        </w:rPr>
      </w:pPr>
      <w:r>
        <w:rPr>
          <w:rFonts w:ascii="黑体" w:eastAsia="黑体" w:hAnsi="宋体" w:hint="eastAsia"/>
          <w:sz w:val="24"/>
        </w:rPr>
        <w:t>6．政策导向</w:t>
      </w:r>
    </w:p>
    <w:p>
      <w:pPr>
        <w:spacing w:line="360" w:lineRule="auto"/>
        <w:ind w:firstLine="412" w:firstLineChars="196"/>
        <w:rPr>
          <w:rFonts w:ascii="宋体" w:hAnsi="宋体"/>
        </w:rPr>
      </w:pPr>
      <w:r>
        <w:rPr>
          <w:rFonts w:ascii="宋体" w:hAnsi="宋体" w:hint="eastAsia"/>
        </w:rPr>
        <w:t>6.1</w:t>
      </w:r>
      <w:r>
        <w:rPr>
          <w:rFonts w:ascii="宋体" w:hAnsi="宋体"/>
        </w:rPr>
        <w:t xml:space="preserve">  </w:t>
      </w:r>
      <w:r>
        <w:rPr>
          <w:rFonts w:ascii="宋体" w:hAnsi="宋体" w:hint="eastAsia"/>
        </w:rPr>
        <w:t>政府采购扶持贫困地区、中小企业、监狱企业和残疾人福利性单位发展，支持节能减排、环境保护。</w:t>
      </w:r>
    </w:p>
    <w:p>
      <w:pPr>
        <w:spacing w:line="360" w:lineRule="auto"/>
        <w:ind w:firstLine="405"/>
        <w:rPr>
          <w:rFonts w:ascii="宋体" w:hAnsi="宋体" w:hint="eastAsia"/>
        </w:rPr>
      </w:pPr>
      <w:r>
        <w:rPr>
          <w:rFonts w:ascii="宋体" w:hAnsi="宋体" w:hint="eastAsia"/>
        </w:rPr>
        <w:t>6.2</w:t>
      </w:r>
      <w:r>
        <w:rPr>
          <w:rFonts w:ascii="宋体" w:hAnsi="宋体"/>
        </w:rPr>
        <w:t xml:space="preserve">  </w:t>
      </w:r>
      <w:r>
        <w:rPr>
          <w:rFonts w:ascii="宋体" w:hAnsi="宋体" w:hint="eastAsia"/>
        </w:rPr>
        <w:t>本项目落实深圳市政府采购供应商诚信管理政策要求。</w:t>
      </w:r>
    </w:p>
    <w:p>
      <w:pPr>
        <w:spacing w:line="360" w:lineRule="auto"/>
        <w:ind w:firstLine="405"/>
        <w:rPr>
          <w:rFonts w:eastAsia="宋体" w:hint="default"/>
          <w:lang w:val="en-US" w:eastAsia="zh-CN"/>
        </w:rPr>
      </w:pPr>
      <w:r>
        <w:rPr>
          <w:rFonts w:ascii="宋体" w:hAnsi="宋体" w:hint="eastAsia"/>
          <w:lang w:val="en-US" w:eastAsia="zh-CN"/>
        </w:rPr>
        <w:t>6.3  本项目支持投标人性别平等的相关政策。</w:t>
      </w:r>
    </w:p>
    <w:p>
      <w:pPr>
        <w:spacing w:line="360" w:lineRule="auto"/>
        <w:rPr>
          <w:rFonts w:ascii="黑体" w:eastAsia="黑体" w:hAnsi="宋体"/>
          <w:sz w:val="24"/>
        </w:rPr>
      </w:pPr>
      <w:r>
        <w:rPr>
          <w:rFonts w:ascii="黑体" w:eastAsia="黑体" w:hAnsi="宋体" w:hint="eastAsia"/>
          <w:sz w:val="24"/>
        </w:rPr>
        <w:t>7.本项目若涉及采购货物，则合格的货物及相应服务应满足以下要求：</w:t>
      </w:r>
    </w:p>
    <w:p>
      <w:pPr>
        <w:spacing w:line="360" w:lineRule="auto"/>
        <w:ind w:firstLine="412" w:firstLineChars="196"/>
        <w:rPr>
          <w:rFonts w:ascii="宋体" w:hAnsi="宋体"/>
        </w:rPr>
      </w:pPr>
      <w:r>
        <w:rPr>
          <w:rFonts w:ascii="宋体" w:hAnsi="宋体" w:hint="eastAsia"/>
        </w:rPr>
        <w:t>7</w:t>
      </w:r>
      <w:r>
        <w:rPr>
          <w:rFonts w:ascii="宋体" w:hAnsi="宋体"/>
        </w:rPr>
        <w:t xml:space="preserve">.1  </w:t>
      </w:r>
      <w:r>
        <w:rPr>
          <w:rFonts w:ascii="宋体" w:hAnsi="宋体" w:hint="eastAsia"/>
        </w:rPr>
        <w:t>必须是全新、未使用过的原装合格正品（包括零部件），如安装或配置了软件的，须为正版软件。</w:t>
      </w:r>
    </w:p>
    <w:p>
      <w:pPr>
        <w:spacing w:line="360" w:lineRule="auto"/>
        <w:ind w:firstLine="412" w:firstLineChars="196"/>
        <w:rPr>
          <w:rFonts w:ascii="宋体" w:hAnsi="宋体"/>
        </w:rPr>
      </w:pPr>
      <w:r>
        <w:rPr>
          <w:rFonts w:ascii="宋体" w:hAnsi="宋体" w:hint="eastAsia"/>
        </w:rPr>
        <w:t>7.2  国产的货物及其有关服务必须符合中华人民共和国的设计、制造生产标准及行业标准。招标公告有其他要求的，亦应符合其要求。</w:t>
      </w:r>
    </w:p>
    <w:p>
      <w:pPr>
        <w:spacing w:line="360" w:lineRule="auto"/>
        <w:ind w:firstLine="412" w:firstLineChars="196"/>
        <w:rPr>
          <w:rFonts w:ascii="宋体" w:hAnsi="宋体"/>
        </w:rPr>
      </w:pPr>
      <w:r>
        <w:rPr>
          <w:rFonts w:ascii="宋体" w:hAnsi="宋体" w:hint="eastAsia"/>
        </w:rPr>
        <w:t>7</w:t>
      </w:r>
      <w:r>
        <w:rPr>
          <w:rFonts w:ascii="宋体" w:hAnsi="宋体"/>
        </w:rPr>
        <w:t>.</w:t>
      </w:r>
      <w:r>
        <w:rPr>
          <w:rFonts w:ascii="宋体" w:hAnsi="宋体" w:hint="eastAsia"/>
        </w:rPr>
        <w:t>3</w:t>
      </w:r>
      <w:r>
        <w:rPr>
          <w:rFonts w:ascii="宋体" w:hAnsi="宋体"/>
        </w:rPr>
        <w:t xml:space="preserve">  </w:t>
      </w:r>
      <w:r>
        <w:rPr>
          <w:rFonts w:ascii="宋体" w:hAnsi="宋体" w:hint="eastAsia"/>
        </w:rPr>
        <w:t>进口货物及其有关服务必须符合原产地和中华人民共和国的设计、制造生产标准及行业标准。进口的货物必须具有合法的进口手续和途径，并通过中华人民共和国商检部门检验。招标公告有其他要求的，亦应符合其要求。</w:t>
      </w:r>
    </w:p>
    <w:p>
      <w:pPr>
        <w:spacing w:line="360" w:lineRule="auto"/>
        <w:ind w:firstLine="412" w:firstLineChars="196"/>
        <w:rPr>
          <w:rFonts w:ascii="宋体" w:hAnsi="宋体"/>
        </w:rPr>
      </w:pPr>
      <w:r>
        <w:rPr>
          <w:rFonts w:ascii="宋体" w:hAnsi="宋体" w:hint="eastAsia"/>
        </w:rPr>
        <w:t>7</w:t>
      </w:r>
      <w:r>
        <w:rPr>
          <w:rFonts w:ascii="宋体" w:hAnsi="宋体"/>
        </w:rPr>
        <w:t>.</w:t>
      </w:r>
      <w:r>
        <w:rPr>
          <w:rFonts w:ascii="宋体" w:hAnsi="宋体" w:hint="eastAsia"/>
        </w:rPr>
        <w:t>4</w:t>
      </w:r>
      <w:r>
        <w:rPr>
          <w:rFonts w:ascii="宋体" w:hAnsi="宋体"/>
        </w:rPr>
        <w:t xml:space="preserve">  </w:t>
      </w:r>
      <w:r>
        <w:rPr>
          <w:rFonts w:ascii="宋体" w:hAnsi="宋体" w:hint="eastAsia"/>
        </w:rPr>
        <w:t>投标人</w:t>
      </w:r>
      <w:bookmarkStart w:id="49" w:name="_Hlk72152753"/>
      <w:r>
        <w:rPr>
          <w:rFonts w:ascii="宋体" w:hAnsi="宋体" w:hint="eastAsia"/>
        </w:rPr>
        <w:t>应保证，其所提供的货物通过合法正规渠道供货，在提供给采购人前具有完全的所有权，采购人在中华人民共和国使用该货物或货物的任何一部分时，不会产生因第三方提出的包括但不限于侵犯其专利权、商标权、工业设计权等知识产权和侵犯其所有权、抵押权等物权及其他权利而引发的纠纷。如有纠纷，投标人应承担全部责任。</w:t>
      </w:r>
      <w:bookmarkEnd w:id="49"/>
    </w:p>
    <w:p>
      <w:pPr>
        <w:spacing w:line="360" w:lineRule="auto"/>
        <w:ind w:firstLine="412" w:firstLineChars="196"/>
        <w:rPr>
          <w:rFonts w:ascii="宋体" w:hAnsi="宋体"/>
        </w:rPr>
      </w:pPr>
      <w:r>
        <w:rPr>
          <w:rFonts w:ascii="宋体" w:hAnsi="宋体" w:hint="eastAsia"/>
        </w:rPr>
        <w:t>7.5  投标人应保证，其所提供的货物符合国家强制性标准要求；符合相关行业标准（如具备行政主管部门颁发的资质证书或国家质量监督部门的产品《检验报告》等）。设备到货验收时，还必须提供设备的产品合格证、质量保证文件。若中标后，除非另有约定，投标人必须按合同规定完成设备的安装，并达到验收标准。</w:t>
      </w:r>
    </w:p>
    <w:p>
      <w:pPr>
        <w:spacing w:line="360" w:lineRule="auto"/>
        <w:ind w:firstLine="412" w:firstLineChars="196"/>
        <w:rPr>
          <w:rFonts w:ascii="宋体" w:hAnsi="宋体"/>
        </w:rPr>
      </w:pPr>
      <w:r>
        <w:rPr>
          <w:rFonts w:ascii="宋体" w:hAnsi="宋体" w:hint="eastAsia"/>
        </w:rPr>
        <w:t>7.6  工期要求：投标人在投标时对其所投项目应提交交货进度、交货计划等，在合同规定的时间内完成项目实施工作。</w:t>
      </w:r>
    </w:p>
    <w:p>
      <w:pPr>
        <w:spacing w:line="360" w:lineRule="auto"/>
        <w:ind w:firstLine="412" w:firstLineChars="196"/>
        <w:rPr>
          <w:rFonts w:ascii="宋体" w:hAnsi="宋体"/>
        </w:rPr>
      </w:pPr>
      <w:r>
        <w:rPr>
          <w:rFonts w:ascii="宋体" w:hAnsi="宋体" w:hint="eastAsia"/>
        </w:rPr>
        <w:t>7.7  投标人必须承担设备运输、安装调试、验收检测和提供设备操作说明书、图纸等其他相关及类似的义务。</w:t>
      </w:r>
    </w:p>
    <w:p>
      <w:pPr>
        <w:spacing w:line="360" w:lineRule="auto"/>
        <w:rPr>
          <w:rFonts w:ascii="黑体" w:eastAsia="黑体" w:hAnsi="宋体"/>
          <w:sz w:val="24"/>
        </w:rPr>
      </w:pPr>
      <w:r>
        <w:rPr>
          <w:rFonts w:ascii="黑体" w:eastAsia="黑体" w:hAnsi="宋体" w:hint="eastAsia"/>
          <w:sz w:val="24"/>
        </w:rPr>
        <w:t>8．投标费用</w:t>
      </w:r>
    </w:p>
    <w:p>
      <w:pPr>
        <w:spacing w:line="360" w:lineRule="auto"/>
        <w:ind w:firstLine="412" w:firstLineChars="196"/>
        <w:rPr>
          <w:rFonts w:ascii="宋体" w:hAnsi="宋体"/>
          <w:szCs w:val="21"/>
        </w:rPr>
      </w:pPr>
      <w:r>
        <w:rPr>
          <w:rFonts w:ascii="宋体" w:hAnsi="宋体" w:hint="eastAsia"/>
          <w:szCs w:val="21"/>
        </w:rPr>
        <w:t>不论投标结果如何，投标人应承担其编制投标文件与递交投标文件所涉及的一切费用。</w:t>
      </w:r>
    </w:p>
    <w:p>
      <w:pPr>
        <w:spacing w:line="360" w:lineRule="auto"/>
        <w:rPr>
          <w:rFonts w:ascii="黑体" w:eastAsia="黑体" w:hAnsi="宋体"/>
          <w:sz w:val="24"/>
        </w:rPr>
      </w:pPr>
      <w:r>
        <w:rPr>
          <w:rFonts w:ascii="黑体" w:eastAsia="黑体" w:hAnsi="宋体" w:hint="eastAsia"/>
          <w:sz w:val="24"/>
        </w:rPr>
        <w:t>9．踏勘现场</w:t>
      </w:r>
    </w:p>
    <w:p>
      <w:pPr>
        <w:spacing w:line="360" w:lineRule="auto"/>
        <w:ind w:firstLine="412" w:firstLineChars="196"/>
        <w:rPr>
          <w:rFonts w:ascii="宋体" w:hAnsi="宋体"/>
          <w:szCs w:val="21"/>
        </w:rPr>
      </w:pPr>
      <w:r>
        <w:rPr>
          <w:rFonts w:ascii="宋体" w:hAnsi="宋体" w:hint="eastAsia"/>
          <w:szCs w:val="21"/>
        </w:rPr>
        <w:t>9.1如有需要（详见专用条款），采购人或政府集中采购机构将组织投标人对项目现场及周围环境进行踏勘，以便投标人获取有关编制投标文件和签署合同所需的资料。踏勘现场所发生的费用由投标人自行承担。投标人应按招标文件所约定的时间、地点踏勘现场。</w:t>
      </w:r>
    </w:p>
    <w:p>
      <w:pPr>
        <w:spacing w:line="360" w:lineRule="auto"/>
        <w:ind w:firstLine="412" w:firstLineChars="196"/>
        <w:rPr>
          <w:rFonts w:ascii="宋体" w:hAnsi="宋体"/>
        </w:rPr>
      </w:pPr>
      <w:r>
        <w:rPr>
          <w:rFonts w:ascii="宋体" w:hAnsi="宋体" w:hint="eastAsia"/>
        </w:rPr>
        <w:t>9.2投标人及其人员经过采购人的允许，可以进入采购人的项目现场踏勘。若招标文件要求投标人于统一时间地点踏勘现场的，投标人应当按时前往。</w:t>
      </w:r>
    </w:p>
    <w:p>
      <w:pPr>
        <w:spacing w:line="360" w:lineRule="auto"/>
        <w:ind w:firstLine="412" w:firstLineChars="196"/>
        <w:rPr>
          <w:rFonts w:ascii="宋体" w:hAnsi="宋体"/>
        </w:rPr>
      </w:pPr>
      <w:r>
        <w:rPr>
          <w:rFonts w:ascii="宋体" w:hAnsi="宋体" w:hint="eastAsia"/>
        </w:rPr>
        <w:t>9.3采购人应当通过政府集中采购机构向投标人提供有关现场的书面资料和数据。</w:t>
      </w:r>
    </w:p>
    <w:p>
      <w:pPr>
        <w:spacing w:line="360" w:lineRule="auto"/>
        <w:ind w:firstLine="412" w:firstLineChars="196"/>
        <w:rPr>
          <w:rFonts w:ascii="宋体" w:hAnsi="宋体"/>
        </w:rPr>
      </w:pPr>
      <w:r>
        <w:rPr>
          <w:rFonts w:ascii="宋体" w:hAnsi="宋体" w:hint="eastAsia"/>
        </w:rPr>
        <w:t>9.4任何人或任何组织在踏勘现场时向投标人提供的任何书面资料或口头承诺，未经政府集中采购机构在网上发布或书面通知，均作无效处理。</w:t>
      </w:r>
    </w:p>
    <w:p>
      <w:pPr>
        <w:spacing w:line="360" w:lineRule="auto"/>
        <w:ind w:firstLine="412" w:firstLineChars="196"/>
        <w:rPr>
          <w:rFonts w:ascii="宋体" w:hAnsi="宋体"/>
        </w:rPr>
      </w:pPr>
      <w:r>
        <w:rPr>
          <w:rFonts w:ascii="宋体" w:hAnsi="宋体"/>
          <w:szCs w:val="21"/>
        </w:rPr>
        <w:t>9</w:t>
      </w:r>
      <w:r>
        <w:rPr>
          <w:rFonts w:ascii="宋体" w:hAnsi="宋体" w:hint="eastAsia"/>
          <w:szCs w:val="21"/>
        </w:rPr>
        <w:t>.</w:t>
      </w:r>
      <w:r>
        <w:rPr>
          <w:rFonts w:ascii="宋体" w:hAnsi="宋体"/>
          <w:szCs w:val="21"/>
        </w:rPr>
        <w:t>5</w:t>
      </w:r>
      <w:r>
        <w:rPr>
          <w:rFonts w:ascii="宋体" w:hAnsi="宋体" w:hint="eastAsia"/>
          <w:szCs w:val="21"/>
        </w:rPr>
        <w:t>未参与踏勘现场不作为否定投标人资格的理由。</w:t>
      </w:r>
    </w:p>
    <w:p>
      <w:pPr>
        <w:spacing w:line="360" w:lineRule="auto"/>
        <w:rPr>
          <w:rFonts w:ascii="宋体" w:hAnsi="宋体"/>
          <w:szCs w:val="21"/>
        </w:rPr>
      </w:pPr>
      <w:r>
        <w:rPr>
          <w:rFonts w:ascii="黑体" w:eastAsia="黑体" w:hAnsi="宋体" w:hint="eastAsia"/>
          <w:sz w:val="24"/>
        </w:rPr>
        <w:t>1</w:t>
      </w:r>
      <w:r>
        <w:rPr>
          <w:rFonts w:ascii="黑体" w:eastAsia="黑体" w:hAnsi="宋体"/>
          <w:sz w:val="24"/>
        </w:rPr>
        <w:t>0</w:t>
      </w:r>
      <w:r>
        <w:rPr>
          <w:rFonts w:ascii="黑体" w:eastAsia="黑体" w:hAnsi="宋体" w:hint="eastAsia"/>
          <w:sz w:val="24"/>
        </w:rPr>
        <w:t>．标前会议</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w:t>
      </w:r>
      <w:r>
        <w:rPr>
          <w:rFonts w:ascii="宋体" w:hAnsi="宋体"/>
          <w:szCs w:val="21"/>
        </w:rPr>
        <w:t>1</w:t>
      </w:r>
      <w:r>
        <w:rPr>
          <w:rFonts w:ascii="宋体" w:hAnsi="宋体" w:hint="eastAsia"/>
          <w:szCs w:val="21"/>
        </w:rPr>
        <w:t>如采购人或政府集中采购机构认为有必要组织标前会议，投标人应按照招标文件规定的时间或政府集中采购机构另行书面通知（包括政府集中采购机构网站发布方式，如更正公告等）的时间和地点，参与标前会议。</w:t>
      </w:r>
    </w:p>
    <w:p>
      <w:pPr>
        <w:spacing w:line="360" w:lineRule="auto"/>
        <w:ind w:firstLine="412" w:firstLineChars="196"/>
        <w:rPr>
          <w:rFonts w:ascii="宋体" w:hAnsi="宋体"/>
          <w:szCs w:val="21"/>
        </w:rPr>
      </w:pPr>
      <w:r>
        <w:rPr>
          <w:rFonts w:ascii="宋体" w:hAnsi="宋体"/>
        </w:rPr>
        <w:t>10</w:t>
      </w:r>
      <w:r>
        <w:rPr>
          <w:rFonts w:ascii="宋体" w:hAnsi="宋体" w:hint="eastAsia"/>
        </w:rPr>
        <w:t>.</w:t>
      </w:r>
      <w:r>
        <w:rPr>
          <w:rFonts w:ascii="宋体" w:hAnsi="宋体"/>
        </w:rPr>
        <w:t>2</w:t>
      </w:r>
      <w:r>
        <w:rPr>
          <w:rFonts w:ascii="宋体" w:hAnsi="宋体" w:hint="eastAsia"/>
        </w:rPr>
        <w:t>任何人或任何组织在标前会议时向投标人提供的任何书面资料或口头承诺，未经政府集中采购机构在网上发布或书面通知，均作无效处理。</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w:t>
      </w:r>
      <w:r>
        <w:rPr>
          <w:rFonts w:ascii="宋体" w:hAnsi="宋体"/>
          <w:szCs w:val="21"/>
        </w:rPr>
        <w:t>3</w:t>
      </w:r>
      <w:r>
        <w:rPr>
          <w:rFonts w:ascii="宋体" w:hAnsi="宋体" w:hint="eastAsia"/>
          <w:szCs w:val="21"/>
        </w:rPr>
        <w:t>未参与标前会议不作为否定投标人资格的理由。</w:t>
      </w:r>
    </w:p>
    <w:p>
      <w:pPr>
        <w:spacing w:line="360" w:lineRule="auto"/>
        <w:ind w:firstLine="412" w:firstLineChars="196"/>
        <w:rPr>
          <w:rFonts w:ascii="宋体" w:hAnsi="宋体"/>
        </w:rPr>
      </w:pPr>
      <w:bookmarkEnd w:id="48"/>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招标文件</w:t>
      </w:r>
    </w:p>
    <w:p>
      <w:pPr>
        <w:spacing w:line="360" w:lineRule="auto"/>
        <w:rPr>
          <w:rFonts w:ascii="黑体" w:eastAsia="黑体" w:hAnsi="宋体"/>
          <w:sz w:val="24"/>
        </w:rPr>
      </w:pPr>
      <w:r>
        <w:rPr>
          <w:rFonts w:ascii="黑体" w:eastAsia="黑体" w:hAnsi="宋体" w:hint="eastAsia"/>
          <w:sz w:val="24"/>
        </w:rPr>
        <w:t>1</w:t>
      </w:r>
      <w:r>
        <w:rPr>
          <w:rFonts w:ascii="黑体" w:eastAsia="黑体" w:hAnsi="宋体"/>
          <w:sz w:val="24"/>
        </w:rPr>
        <w:t>1</w:t>
      </w:r>
      <w:r>
        <w:rPr>
          <w:rFonts w:ascii="黑体" w:eastAsia="黑体" w:hAnsi="宋体" w:hint="eastAsia"/>
          <w:sz w:val="24"/>
        </w:rPr>
        <w:t>．</w:t>
      </w:r>
      <w:bookmarkStart w:id="50" w:name="_Hlk72399819"/>
      <w:r>
        <w:rPr>
          <w:rFonts w:ascii="黑体" w:eastAsia="黑体" w:hAnsi="宋体" w:hint="eastAsia"/>
          <w:sz w:val="24"/>
        </w:rPr>
        <w:t>招标文件的编制与组成</w:t>
      </w:r>
    </w:p>
    <w:p>
      <w:pPr>
        <w:snapToGrid w:val="0"/>
        <w:spacing w:line="360" w:lineRule="auto"/>
        <w:ind w:firstLine="420" w:firstLineChars="200"/>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.1招标文件除以下内容外，政府集中采购机构在招标期间发出的澄清或修改等相关公告或通知内容，均是招标文件的组成部分，对投标人起约束作用；</w:t>
      </w:r>
    </w:p>
    <w:p>
      <w:pPr>
        <w:spacing w:line="360" w:lineRule="auto"/>
        <w:ind w:firstLine="412" w:firstLineChars="196"/>
        <w:rPr>
          <w:rFonts w:ascii="宋体" w:hAnsi="宋体"/>
          <w:szCs w:val="21"/>
        </w:rPr>
      </w:pPr>
      <w:r>
        <w:rPr>
          <w:rFonts w:ascii="宋体" w:hAnsi="宋体" w:hint="eastAsia"/>
          <w:szCs w:val="21"/>
        </w:rPr>
        <w:t>招标文件包括下列内容：</w:t>
      </w:r>
    </w:p>
    <w:p>
      <w:pPr>
        <w:spacing w:line="360" w:lineRule="auto"/>
        <w:ind w:left="420" w:firstLine="412" w:leftChars="200" w:firstLineChars="196"/>
        <w:rPr>
          <w:rFonts w:ascii="宋体" w:hAnsi="宋体"/>
          <w:b/>
          <w:szCs w:val="21"/>
        </w:rPr>
      </w:pPr>
      <w:r>
        <w:rPr>
          <w:rFonts w:ascii="宋体" w:hAnsi="宋体" w:hint="eastAsia"/>
          <w:b/>
          <w:szCs w:val="21"/>
        </w:rPr>
        <w:t>第一册  专用条款</w:t>
      </w:r>
    </w:p>
    <w:p>
      <w:pPr>
        <w:spacing w:line="360" w:lineRule="auto"/>
        <w:ind w:left="1079" w:leftChars="514"/>
        <w:rPr>
          <w:rFonts w:ascii="宋体" w:hAnsi="宋体"/>
          <w:b/>
          <w:szCs w:val="21"/>
        </w:rPr>
      </w:pPr>
      <w:r>
        <w:rPr>
          <w:rFonts w:ascii="宋体" w:hAnsi="宋体" w:hint="eastAsia"/>
          <w:b/>
          <w:szCs w:val="21"/>
        </w:rPr>
        <w:t>关键信息</w:t>
      </w:r>
    </w:p>
    <w:p>
      <w:pPr>
        <w:spacing w:line="360" w:lineRule="auto"/>
        <w:ind w:left="630" w:firstLine="412" w:leftChars="300" w:firstLineChars="196"/>
        <w:rPr>
          <w:rFonts w:ascii="宋体" w:hAnsi="宋体"/>
          <w:szCs w:val="21"/>
        </w:rPr>
      </w:pPr>
      <w:r>
        <w:rPr>
          <w:rFonts w:ascii="宋体" w:hAnsi="宋体" w:hint="eastAsia"/>
          <w:szCs w:val="21"/>
        </w:rPr>
        <w:t>第一章  招标公告</w:t>
      </w:r>
    </w:p>
    <w:p>
      <w:pPr>
        <w:spacing w:line="360" w:lineRule="auto"/>
        <w:ind w:left="630" w:firstLine="412" w:leftChars="300" w:firstLineChars="196"/>
        <w:rPr>
          <w:rFonts w:ascii="宋体" w:hAnsi="宋体"/>
          <w:szCs w:val="21"/>
        </w:rPr>
      </w:pPr>
      <w:r>
        <w:rPr>
          <w:rFonts w:ascii="宋体" w:hAnsi="宋体" w:hint="eastAsia"/>
          <w:szCs w:val="21"/>
        </w:rPr>
        <w:t>第二章  对通用条款的补充内容及其他关键信息</w:t>
      </w:r>
    </w:p>
    <w:p>
      <w:pPr>
        <w:spacing w:line="360" w:lineRule="auto"/>
        <w:ind w:left="630" w:firstLine="412" w:leftChars="300" w:firstLineChars="196"/>
        <w:rPr>
          <w:rFonts w:ascii="宋体" w:hAnsi="宋体"/>
          <w:szCs w:val="21"/>
        </w:rPr>
      </w:pPr>
      <w:r>
        <w:rPr>
          <w:rFonts w:ascii="宋体" w:hAnsi="宋体" w:hint="eastAsia"/>
          <w:szCs w:val="21"/>
        </w:rPr>
        <w:t>第三章  用户需求书</w:t>
      </w:r>
    </w:p>
    <w:p>
      <w:pPr>
        <w:spacing w:line="360" w:lineRule="auto"/>
        <w:ind w:left="630" w:firstLine="412" w:leftChars="300" w:firstLineChars="196"/>
        <w:rPr>
          <w:rFonts w:ascii="宋体" w:hAnsi="宋体"/>
          <w:szCs w:val="21"/>
        </w:rPr>
      </w:pPr>
      <w:r>
        <w:rPr>
          <w:rFonts w:hint="eastAsia"/>
        </w:rPr>
        <w:t xml:space="preserve">第四章 </w:t>
      </w:r>
      <w:r>
        <w:t xml:space="preserve"> </w:t>
      </w:r>
      <w:r>
        <w:rPr>
          <w:rFonts w:hint="eastAsia"/>
        </w:rPr>
        <w:t>投标文件格式及附件</w:t>
      </w:r>
    </w:p>
    <w:p>
      <w:pPr>
        <w:spacing w:line="360" w:lineRule="auto"/>
        <w:ind w:left="630" w:firstLine="412" w:leftChars="300" w:firstLineChars="196"/>
        <w:rPr>
          <w:rFonts w:ascii="宋体" w:hAnsi="宋体"/>
          <w:szCs w:val="21"/>
        </w:rPr>
      </w:pPr>
      <w:r>
        <w:rPr>
          <w:rFonts w:ascii="宋体" w:hAnsi="宋体" w:hint="eastAsia"/>
          <w:szCs w:val="21"/>
        </w:rPr>
        <w:t>第五章  合同条款及格式</w:t>
      </w:r>
    </w:p>
    <w:p>
      <w:pPr>
        <w:spacing w:line="360" w:lineRule="auto"/>
        <w:ind w:left="420" w:firstLine="412" w:leftChars="200" w:firstLineChars="196"/>
        <w:rPr>
          <w:rFonts w:ascii="宋体" w:hAnsi="宋体"/>
          <w:b/>
          <w:szCs w:val="21"/>
        </w:rPr>
      </w:pPr>
      <w:r>
        <w:rPr>
          <w:rFonts w:ascii="宋体" w:hAnsi="宋体" w:hint="eastAsia"/>
          <w:b/>
          <w:szCs w:val="21"/>
        </w:rPr>
        <w:t>第二册  通用条款</w:t>
      </w:r>
    </w:p>
    <w:p>
      <w:pPr>
        <w:spacing w:line="360" w:lineRule="auto"/>
        <w:ind w:left="630" w:firstLine="412" w:leftChars="300" w:firstLineChars="196"/>
        <w:rPr>
          <w:rFonts w:ascii="宋体" w:hAnsi="宋体"/>
          <w:szCs w:val="21"/>
        </w:rPr>
      </w:pPr>
      <w:r>
        <w:rPr>
          <w:rFonts w:ascii="宋体" w:hAnsi="宋体" w:hint="eastAsia"/>
          <w:szCs w:val="21"/>
        </w:rPr>
        <w:t>第一章  总则</w:t>
      </w:r>
    </w:p>
    <w:p>
      <w:pPr>
        <w:spacing w:line="360" w:lineRule="auto"/>
        <w:ind w:left="630" w:firstLine="412" w:leftChars="300" w:firstLineChars="196"/>
        <w:rPr>
          <w:rFonts w:ascii="宋体" w:hAnsi="宋体"/>
          <w:szCs w:val="21"/>
        </w:rPr>
      </w:pPr>
      <w:r>
        <w:rPr>
          <w:rFonts w:ascii="宋体" w:hAnsi="宋体" w:hint="eastAsia"/>
          <w:szCs w:val="21"/>
        </w:rPr>
        <w:t>第二章  招标文件</w:t>
      </w:r>
    </w:p>
    <w:p>
      <w:pPr>
        <w:spacing w:line="360" w:lineRule="auto"/>
        <w:ind w:left="630" w:firstLine="412" w:leftChars="300" w:firstLineChars="196"/>
        <w:rPr>
          <w:rFonts w:ascii="宋体" w:hAnsi="宋体"/>
          <w:szCs w:val="21"/>
        </w:rPr>
      </w:pPr>
      <w:r>
        <w:rPr>
          <w:rFonts w:ascii="宋体" w:hAnsi="宋体" w:hint="eastAsia"/>
          <w:szCs w:val="21"/>
        </w:rPr>
        <w:t>第三章  投标文件的编制</w:t>
      </w:r>
    </w:p>
    <w:p>
      <w:pPr>
        <w:spacing w:line="360" w:lineRule="auto"/>
        <w:ind w:left="630" w:firstLine="412" w:leftChars="300" w:firstLineChars="196"/>
        <w:rPr>
          <w:rFonts w:ascii="宋体" w:hAnsi="宋体"/>
          <w:szCs w:val="21"/>
        </w:rPr>
      </w:pPr>
      <w:r>
        <w:rPr>
          <w:rFonts w:ascii="宋体" w:hAnsi="宋体" w:hint="eastAsia"/>
          <w:szCs w:val="21"/>
        </w:rPr>
        <w:t>第四章  投标文件的递交</w:t>
      </w:r>
    </w:p>
    <w:p>
      <w:pPr>
        <w:spacing w:line="360" w:lineRule="auto"/>
        <w:ind w:left="630" w:firstLine="412" w:leftChars="300" w:firstLineChars="196"/>
        <w:rPr>
          <w:rFonts w:ascii="宋体" w:hAnsi="宋体"/>
          <w:szCs w:val="21"/>
        </w:rPr>
      </w:pPr>
      <w:r>
        <w:rPr>
          <w:rFonts w:ascii="宋体" w:hAnsi="宋体" w:hint="eastAsia"/>
          <w:szCs w:val="21"/>
        </w:rPr>
        <w:t>第五章  开标</w:t>
      </w:r>
    </w:p>
    <w:p>
      <w:pPr>
        <w:spacing w:line="360" w:lineRule="auto"/>
        <w:ind w:left="630" w:firstLine="412" w:leftChars="300" w:firstLineChars="196"/>
        <w:rPr>
          <w:rFonts w:ascii="宋体" w:hAnsi="宋体"/>
          <w:szCs w:val="21"/>
        </w:rPr>
      </w:pPr>
      <w:r>
        <w:rPr>
          <w:rFonts w:ascii="宋体" w:hAnsi="宋体" w:hint="eastAsia"/>
          <w:szCs w:val="21"/>
        </w:rPr>
        <w:t>第六章  评审要求</w:t>
      </w:r>
    </w:p>
    <w:p>
      <w:pPr>
        <w:spacing w:line="360" w:lineRule="auto"/>
        <w:ind w:left="630" w:firstLine="412" w:leftChars="300" w:firstLineChars="196"/>
        <w:rPr>
          <w:rFonts w:ascii="宋体" w:hAnsi="宋体"/>
          <w:szCs w:val="21"/>
        </w:rPr>
      </w:pPr>
      <w:r>
        <w:rPr>
          <w:rFonts w:ascii="宋体" w:hAnsi="宋体" w:hint="eastAsia"/>
          <w:szCs w:val="21"/>
        </w:rPr>
        <w:t>第七章  评审程序及评审方法</w:t>
      </w:r>
    </w:p>
    <w:p>
      <w:pPr>
        <w:spacing w:line="360" w:lineRule="auto"/>
        <w:ind w:left="630" w:firstLine="412" w:leftChars="300" w:firstLineChars="196"/>
        <w:rPr>
          <w:rFonts w:ascii="宋体" w:hAnsi="宋体"/>
          <w:szCs w:val="21"/>
        </w:rPr>
      </w:pPr>
      <w:r>
        <w:rPr>
          <w:rFonts w:ascii="宋体" w:hAnsi="宋体" w:hint="eastAsia"/>
          <w:szCs w:val="21"/>
        </w:rPr>
        <w:t>第八章  定标及公示</w:t>
      </w:r>
    </w:p>
    <w:p>
      <w:pPr>
        <w:spacing w:line="360" w:lineRule="auto"/>
        <w:ind w:left="630" w:firstLine="412" w:leftChars="300" w:firstLineChars="196"/>
        <w:rPr>
          <w:rFonts w:ascii="宋体" w:hAnsi="宋体"/>
          <w:szCs w:val="21"/>
        </w:rPr>
      </w:pPr>
      <w:r>
        <w:rPr>
          <w:rFonts w:ascii="宋体" w:hAnsi="宋体" w:hint="eastAsia"/>
          <w:szCs w:val="21"/>
        </w:rPr>
        <w:t>第九章  公开招标失败的后续处理</w:t>
      </w:r>
    </w:p>
    <w:p>
      <w:pPr>
        <w:spacing w:line="360" w:lineRule="auto"/>
        <w:ind w:left="630" w:firstLine="412" w:leftChars="300" w:firstLineChars="196"/>
        <w:rPr>
          <w:rFonts w:ascii="宋体" w:hAnsi="宋体"/>
          <w:szCs w:val="21"/>
        </w:rPr>
      </w:pPr>
      <w:r>
        <w:rPr>
          <w:rFonts w:ascii="宋体" w:hAnsi="宋体" w:hint="eastAsia"/>
          <w:szCs w:val="21"/>
        </w:rPr>
        <w:t>第十章  合同的授予与备案</w:t>
      </w:r>
    </w:p>
    <w:p>
      <w:pPr>
        <w:spacing w:line="360" w:lineRule="auto"/>
        <w:ind w:left="630" w:firstLine="412" w:leftChars="300" w:firstLineChars="196"/>
        <w:rPr>
          <w:rFonts w:ascii="宋体" w:hAnsi="宋体"/>
          <w:szCs w:val="21"/>
        </w:rPr>
      </w:pPr>
      <w:r>
        <w:rPr>
          <w:rFonts w:ascii="宋体" w:hAnsi="宋体" w:hint="eastAsia"/>
          <w:szCs w:val="21"/>
        </w:rPr>
        <w:t>第十一章  质疑处理</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.2 投标人下载招标文件后，应仔细检查招标文件的所有内容，如有疑问应在答疑截止时间之前向政府集中采购机构提出，否则，由此引起的投标损失自负；投标人同时应认真审阅招标文件所有的事项、格式、条款和规范要求等，如果投标人的投标文件未按招标文件要求提交全部资料或者投标文件未对招标文件做出实质性响应，其风险由投标人自行承担。</w:t>
      </w:r>
    </w:p>
    <w:p>
      <w:pPr>
        <w:spacing w:line="360" w:lineRule="auto"/>
        <w:ind w:firstLine="412" w:firstLineChars="196"/>
        <w:rPr>
          <w:rFonts w:ascii="宋体" w:hAnsi="宋体" w:hint="eastAsia"/>
        </w:rPr>
      </w:pPr>
      <w:r>
        <w:rPr>
          <w:rFonts w:ascii="宋体" w:hAnsi="宋体" w:hint="eastAsia"/>
          <w:szCs w:val="21"/>
        </w:rPr>
        <w:t>1</w:t>
      </w:r>
      <w:r>
        <w:rPr>
          <w:rFonts w:ascii="宋体" w:hAnsi="宋体"/>
          <w:szCs w:val="21"/>
        </w:rPr>
        <w:t>1</w:t>
      </w:r>
      <w:r>
        <w:rPr>
          <w:rFonts w:ascii="宋体" w:hAnsi="宋体" w:hint="eastAsia"/>
          <w:szCs w:val="21"/>
        </w:rPr>
        <w:t>.3</w:t>
      </w:r>
      <w:r>
        <w:rPr>
          <w:rFonts w:ascii="宋体" w:hAnsi="宋体" w:hint="eastAsia"/>
        </w:rPr>
        <w:t>任何人或任何组织向投标人提交的任何书面或口头资料，未经政府集中采购机构在网上发布或书面通知，均作无效处理，不得作为招标文件的组成部分。政府集中采购机构对投标人由此而做出的推论、理解和结论概不负责。</w:t>
      </w:r>
    </w:p>
    <w:p>
      <w:pPr>
        <w:pStyle w:val="BodyText"/>
        <w:ind w:firstLine="420" w:firstLineChars="200"/>
      </w:pPr>
      <w:r>
        <w:rPr>
          <w:rFonts w:ascii="宋体" w:eastAsia="宋体" w:hAnsi="宋体" w:cs="Times New Roman" w:hint="eastAsia"/>
          <w:b w:val="0"/>
          <w:bCs w:val="0"/>
          <w:kern w:val="2"/>
          <w:sz w:val="21"/>
          <w:szCs w:val="24"/>
          <w:lang w:val="en-US" w:eastAsia="zh-CN" w:bidi="ar-SA"/>
        </w:rPr>
        <w:t>11.4</w:t>
      </w:r>
      <w:r>
        <w:rPr>
          <w:rFonts w:ascii="宋体" w:hAnsi="宋体" w:cs="Times New Roman" w:hint="eastAsia"/>
          <w:b w:val="0"/>
          <w:bCs w:val="0"/>
          <w:kern w:val="2"/>
          <w:sz w:val="21"/>
          <w:szCs w:val="24"/>
          <w:lang w:val="en-US" w:eastAsia="zh-CN" w:bidi="ar-SA"/>
        </w:rPr>
        <w:t>招标文件所称“原件</w:t>
      </w:r>
      <w:r>
        <w:rPr>
          <w:rFonts w:ascii="宋体" w:eastAsia="宋体" w:hAnsi="宋体" w:cs="Times New Roman" w:hint="eastAsia"/>
          <w:b w:val="0"/>
          <w:bCs w:val="0"/>
          <w:kern w:val="2"/>
          <w:sz w:val="21"/>
          <w:szCs w:val="24"/>
          <w:lang w:val="en-US" w:eastAsia="zh-CN" w:bidi="ar-SA"/>
        </w:rPr>
        <w:t>备查</w:t>
      </w:r>
      <w:r>
        <w:rPr>
          <w:rFonts w:ascii="宋体" w:hAnsi="宋体" w:cs="Times New Roman" w:hint="eastAsia"/>
          <w:b w:val="0"/>
          <w:bCs w:val="0"/>
          <w:kern w:val="2"/>
          <w:sz w:val="21"/>
          <w:szCs w:val="24"/>
          <w:lang w:val="en-US" w:eastAsia="zh-CN" w:bidi="ar-SA"/>
        </w:rPr>
        <w:t>”，</w:t>
      </w:r>
      <w:r>
        <w:rPr>
          <w:rFonts w:ascii="宋体" w:eastAsia="宋体" w:hAnsi="宋体" w:cs="Times New Roman" w:hint="eastAsia"/>
          <w:b w:val="0"/>
          <w:bCs w:val="0"/>
          <w:kern w:val="2"/>
          <w:sz w:val="21"/>
          <w:szCs w:val="24"/>
          <w:lang w:val="en-US" w:eastAsia="zh-CN" w:bidi="ar-SA"/>
        </w:rPr>
        <w:t>是指在项目产生质疑、投诉等阶段，主管部门、采购人、代理机构、评审委员会等可以要求供应商提供原件进行核查。</w:t>
      </w:r>
    </w:p>
    <w:p>
      <w:pPr>
        <w:spacing w:line="360" w:lineRule="auto"/>
        <w:rPr>
          <w:rFonts w:ascii="黑体" w:eastAsia="黑体" w:hAnsi="宋体"/>
          <w:sz w:val="24"/>
        </w:rPr>
      </w:pPr>
      <w:r>
        <w:rPr>
          <w:rFonts w:ascii="黑体" w:eastAsia="黑体" w:hAnsi="宋体" w:hint="eastAsia"/>
          <w:sz w:val="24"/>
        </w:rPr>
        <w:t>1</w:t>
      </w:r>
      <w:r>
        <w:rPr>
          <w:rFonts w:ascii="黑体" w:eastAsia="黑体" w:hAnsi="宋体"/>
          <w:sz w:val="24"/>
        </w:rPr>
        <w:t>2</w:t>
      </w:r>
      <w:r>
        <w:rPr>
          <w:rFonts w:ascii="黑体" w:eastAsia="黑体" w:hAnsi="宋体" w:hint="eastAsia"/>
          <w:sz w:val="24"/>
        </w:rPr>
        <w:t>．招标文件的澄清</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2</w:t>
      </w:r>
      <w:r>
        <w:rPr>
          <w:rFonts w:ascii="宋体" w:hAnsi="宋体" w:hint="eastAsia"/>
          <w:szCs w:val="21"/>
        </w:rPr>
        <w:t>.1招标文件澄清的目的是澄清、解答投标人在查阅招标文件后或现场踏勘中可能提出的与投标有关的疑问或询问。</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2</w:t>
      </w:r>
      <w:r>
        <w:rPr>
          <w:rFonts w:ascii="宋体" w:hAnsi="宋体" w:hint="eastAsia"/>
          <w:szCs w:val="21"/>
        </w:rPr>
        <w:t>.2投标人如对招标文件内容有疑问，应当在招标公告规定的澄清（提问）截止时间前以网上提问的形式通过网上政府采购系统提交政府集中采购机构。</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2</w:t>
      </w:r>
      <w:r>
        <w:rPr>
          <w:rFonts w:ascii="宋体" w:hAnsi="宋体" w:hint="eastAsia"/>
          <w:szCs w:val="21"/>
        </w:rPr>
        <w:t>.3不论是政府集中采购机构根据需要主动对招标文件进行必要的澄清或是根据投标人的要求对招标文件做出澄清，政府集中采购机构都将在投标截止日期前以书面形式（包括政府集中采购机构网站发布方式）答复或发送给所有投标人。答复内容是招标文件的组成部分，对投标人起约束作用，其有效性按照本通用条款第1</w:t>
      </w:r>
      <w:r>
        <w:rPr>
          <w:rFonts w:ascii="宋体" w:hAnsi="宋体"/>
          <w:szCs w:val="21"/>
        </w:rPr>
        <w:t>3.3</w:t>
      </w:r>
      <w:r>
        <w:rPr>
          <w:rFonts w:ascii="宋体" w:hAnsi="宋体" w:hint="eastAsia"/>
          <w:szCs w:val="21"/>
        </w:rPr>
        <w:t>、1</w:t>
      </w:r>
      <w:r>
        <w:rPr>
          <w:rFonts w:ascii="宋体" w:hAnsi="宋体"/>
          <w:szCs w:val="21"/>
        </w:rPr>
        <w:t>3.4</w:t>
      </w:r>
      <w:r>
        <w:rPr>
          <w:rFonts w:ascii="宋体" w:hAnsi="宋体" w:hint="eastAsia"/>
          <w:szCs w:val="21"/>
        </w:rPr>
        <w:t>款规定执行。</w:t>
      </w:r>
    </w:p>
    <w:p>
      <w:pPr>
        <w:spacing w:line="360" w:lineRule="auto"/>
        <w:rPr>
          <w:rFonts w:ascii="黑体" w:eastAsia="黑体" w:hAnsi="宋体"/>
          <w:sz w:val="24"/>
        </w:rPr>
      </w:pPr>
      <w:r>
        <w:rPr>
          <w:rFonts w:ascii="黑体" w:eastAsia="黑体" w:hAnsi="宋体"/>
          <w:sz w:val="24"/>
        </w:rPr>
        <w:t>1</w:t>
      </w:r>
      <w:r>
        <w:rPr>
          <w:rFonts w:ascii="黑体" w:eastAsia="黑体" w:hAnsi="宋体" w:hint="eastAsia"/>
          <w:sz w:val="24"/>
        </w:rPr>
        <w:t>3．招标文件的修改</w:t>
      </w:r>
    </w:p>
    <w:p>
      <w:pPr>
        <w:spacing w:line="360" w:lineRule="auto"/>
        <w:ind w:firstLine="412" w:firstLineChars="196"/>
        <w:rPr>
          <w:rFonts w:ascii="宋体" w:hAnsi="宋体"/>
          <w:szCs w:val="21"/>
        </w:rPr>
      </w:pPr>
      <w:r>
        <w:rPr>
          <w:rFonts w:ascii="宋体" w:hAnsi="宋体"/>
          <w:szCs w:val="21"/>
        </w:rPr>
        <w:t>1</w:t>
      </w:r>
      <w:r>
        <w:rPr>
          <w:rFonts w:ascii="宋体" w:hAnsi="宋体" w:hint="eastAsia"/>
          <w:szCs w:val="21"/>
        </w:rPr>
        <w:t>3.1招标文件发出后，在投标截止日期前任何时候，确需要变更招标文件内容的，政府集中采购机构可主动或在解答投标人提出的澄清问题时对招标文件进行修改。</w:t>
      </w:r>
    </w:p>
    <w:p>
      <w:pPr>
        <w:spacing w:line="360" w:lineRule="auto"/>
        <w:ind w:firstLine="412" w:firstLineChars="196"/>
        <w:rPr>
          <w:rFonts w:ascii="宋体" w:hAnsi="宋体"/>
          <w:szCs w:val="21"/>
        </w:rPr>
      </w:pPr>
      <w:r>
        <w:rPr>
          <w:rFonts w:ascii="宋体" w:hAnsi="宋体"/>
          <w:szCs w:val="21"/>
        </w:rPr>
        <w:t>1</w:t>
      </w:r>
      <w:r>
        <w:rPr>
          <w:rFonts w:ascii="宋体" w:hAnsi="宋体" w:hint="eastAsia"/>
          <w:szCs w:val="21"/>
        </w:rPr>
        <w:t>3.2招标文件的修改以书面形式（包括政府集中采购机构网站发布方式，如更正公告等）发送给所有投标人，招标文件的修改内容作为招标文件的组成部分，并具有约束力。</w:t>
      </w:r>
    </w:p>
    <w:p>
      <w:pPr>
        <w:spacing w:line="360" w:lineRule="auto"/>
        <w:ind w:firstLine="412" w:firstLineChars="196"/>
        <w:rPr>
          <w:rFonts w:ascii="宋体" w:hAnsi="宋体"/>
          <w:szCs w:val="21"/>
        </w:rPr>
      </w:pPr>
      <w:r>
        <w:rPr>
          <w:rFonts w:ascii="宋体" w:hAnsi="宋体"/>
          <w:szCs w:val="21"/>
        </w:rPr>
        <w:t>1</w:t>
      </w:r>
      <w:r>
        <w:rPr>
          <w:rFonts w:ascii="宋体" w:hAnsi="宋体" w:hint="eastAsia"/>
          <w:szCs w:val="21"/>
        </w:rPr>
        <w:t>3.3招标文件、招标文件澄清答复内容、招标文件修改补充内容均以书面形式（包括政府集中采购机构网站公开发布方式，如更正公告等）明确的内容为准。当招标文件、修改补充通知、招标文件澄清答复内容相互矛盾时，以最后发出的内容为准。</w:t>
      </w:r>
    </w:p>
    <w:p>
      <w:pPr>
        <w:spacing w:line="360" w:lineRule="auto"/>
        <w:ind w:firstLine="412" w:firstLineChars="196"/>
        <w:rPr>
          <w:rFonts w:ascii="宋体" w:hAnsi="宋体"/>
          <w:szCs w:val="21"/>
        </w:rPr>
      </w:pPr>
      <w:r>
        <w:rPr>
          <w:rFonts w:ascii="宋体" w:hAnsi="宋体"/>
          <w:szCs w:val="21"/>
        </w:rPr>
        <w:t>1</w:t>
      </w:r>
      <w:r>
        <w:rPr>
          <w:rFonts w:ascii="宋体" w:hAnsi="宋体" w:hint="eastAsia"/>
          <w:szCs w:val="21"/>
        </w:rPr>
        <w:t>3.4政府集中采购机构保证招标文件澄清答复内容和招标文件修改补充内容在投标截止时间前以书面形式（包括政府集中采购机构网站发布方式，如更正公告等）发送给所有投标人。为使投标人在编制投标文件时有充分时间对招标文件的修改部分进行研究，政府集中采购机构可以酌情延长递交投标文件的截止日期。</w:t>
      </w:r>
      <w:bookmarkEnd w:id="50"/>
    </w:p>
    <w:p>
      <w:pPr>
        <w:spacing w:line="360" w:lineRule="auto"/>
        <w:rPr>
          <w:rFonts w:ascii="宋体" w:hAnsi="宋体"/>
          <w:szCs w:val="21"/>
        </w:rPr>
      </w:pPr>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投标文件的编制</w:t>
      </w:r>
    </w:p>
    <w:p>
      <w:pPr>
        <w:spacing w:line="360" w:lineRule="auto"/>
        <w:rPr>
          <w:rFonts w:ascii="黑体" w:eastAsia="黑体" w:hAnsi="宋体"/>
          <w:sz w:val="24"/>
        </w:rPr>
      </w:pPr>
      <w:r>
        <w:rPr>
          <w:rFonts w:ascii="黑体" w:eastAsia="黑体" w:hAnsi="宋体" w:hint="eastAsia"/>
          <w:sz w:val="24"/>
        </w:rPr>
        <w:t>14．</w:t>
      </w:r>
      <w:bookmarkStart w:id="51" w:name="_Hlk72400236"/>
      <w:r>
        <w:rPr>
          <w:rFonts w:ascii="黑体" w:eastAsia="黑体" w:hAnsi="宋体" w:hint="eastAsia"/>
          <w:sz w:val="24"/>
        </w:rPr>
        <w:t>投标文件的语言及度量单位</w:t>
      </w:r>
    </w:p>
    <w:p>
      <w:pPr>
        <w:spacing w:line="360" w:lineRule="auto"/>
        <w:ind w:firstLine="412" w:firstLineChars="196"/>
        <w:rPr>
          <w:rFonts w:ascii="宋体" w:hAnsi="宋体"/>
          <w:szCs w:val="21"/>
        </w:rPr>
      </w:pPr>
      <w:r>
        <w:rPr>
          <w:rFonts w:ascii="宋体" w:hAnsi="宋体" w:hint="eastAsia"/>
          <w:szCs w:val="21"/>
        </w:rPr>
        <w:t>14.1 投标人与政府集中采购机构之间与投标有关的所有往来通知、函件和投标文件均用中文表述。投标人随投标文件提供的证明文件和资料可以为其</w:t>
      </w:r>
      <w:r>
        <w:rPr>
          <w:rFonts w:ascii="宋体" w:hAnsi="宋体" w:hint="eastAsia"/>
          <w:szCs w:val="21"/>
          <w:lang w:eastAsia="zh-CN"/>
        </w:rPr>
        <w:t>他</w:t>
      </w:r>
      <w:r>
        <w:rPr>
          <w:rFonts w:ascii="宋体" w:hAnsi="宋体" w:hint="eastAsia"/>
          <w:szCs w:val="21"/>
        </w:rPr>
        <w:t>语言，但必须附中文译文。翻译的中文资料与外文资料如果出现差异时，以中文为准。</w:t>
      </w:r>
    </w:p>
    <w:p>
      <w:pPr>
        <w:spacing w:line="360" w:lineRule="auto"/>
        <w:ind w:firstLine="412" w:firstLineChars="196"/>
        <w:rPr>
          <w:rFonts w:ascii="宋体" w:hAnsi="宋体"/>
          <w:szCs w:val="21"/>
        </w:rPr>
      </w:pPr>
      <w:r>
        <w:rPr>
          <w:rFonts w:ascii="宋体" w:hAnsi="宋体" w:hint="eastAsia"/>
          <w:szCs w:val="21"/>
        </w:rPr>
        <w:t>14.2 除技术规范另有规定外，投标文件使用的度量单位，均采用中华人民共和国法定计量单位。</w:t>
      </w:r>
    </w:p>
    <w:p>
      <w:pPr>
        <w:spacing w:line="360" w:lineRule="auto"/>
        <w:rPr>
          <w:rFonts w:ascii="黑体" w:eastAsia="黑体" w:hAnsi="宋体"/>
          <w:sz w:val="24"/>
        </w:rPr>
      </w:pPr>
      <w:bookmarkEnd w:id="51"/>
      <w:r>
        <w:rPr>
          <w:rFonts w:ascii="黑体" w:eastAsia="黑体" w:hAnsi="宋体" w:hint="eastAsia"/>
          <w:sz w:val="24"/>
        </w:rPr>
        <w:t>15．</w:t>
      </w:r>
      <w:bookmarkStart w:id="52" w:name="_Hlk72401567"/>
      <w:r>
        <w:rPr>
          <w:rFonts w:ascii="黑体" w:eastAsia="黑体" w:hAnsi="宋体" w:hint="eastAsia"/>
          <w:sz w:val="24"/>
        </w:rPr>
        <w:t>投标文件的组成</w:t>
      </w:r>
    </w:p>
    <w:p>
      <w:pPr>
        <w:spacing w:line="360" w:lineRule="auto"/>
        <w:ind w:firstLine="412" w:firstLineChars="196"/>
        <w:rPr>
          <w:rFonts w:ascii="宋体" w:hAnsi="宋体"/>
          <w:szCs w:val="21"/>
        </w:rPr>
      </w:pPr>
      <w:r>
        <w:rPr>
          <w:rFonts w:ascii="宋体" w:hAnsi="宋体" w:hint="eastAsia"/>
          <w:szCs w:val="21"/>
        </w:rPr>
        <w:t>具体内容在招标文件专用条款中进行规定。</w:t>
      </w:r>
    </w:p>
    <w:p>
      <w:pPr>
        <w:spacing w:line="360" w:lineRule="auto"/>
        <w:rPr>
          <w:rFonts w:ascii="黑体" w:eastAsia="黑体" w:hAnsi="宋体"/>
          <w:sz w:val="24"/>
        </w:rPr>
      </w:pPr>
      <w:r>
        <w:rPr>
          <w:rFonts w:ascii="黑体" w:eastAsia="黑体" w:hAnsi="宋体"/>
          <w:sz w:val="24"/>
        </w:rPr>
        <w:t>16．投标文件格式</w:t>
      </w:r>
    </w:p>
    <w:p>
      <w:pPr>
        <w:spacing w:line="360" w:lineRule="auto"/>
        <w:ind w:firstLine="412" w:firstLineChars="196"/>
        <w:rPr>
          <w:rFonts w:ascii="宋体" w:hAnsi="宋体"/>
          <w:szCs w:val="21"/>
        </w:rPr>
      </w:pPr>
      <w:r>
        <w:rPr>
          <w:rFonts w:ascii="宋体" w:hAnsi="宋体" w:hint="eastAsia"/>
          <w:szCs w:val="21"/>
        </w:rPr>
        <w:t>投标文件包括本通用条款第</w:t>
      </w:r>
      <w:r>
        <w:rPr>
          <w:rFonts w:ascii="宋体" w:hAnsi="宋体"/>
          <w:szCs w:val="21"/>
        </w:rPr>
        <w:t>15条中规定的内容。如招标文件提供了投标文件格式，则</w:t>
      </w:r>
      <w:r>
        <w:rPr>
          <w:rFonts w:ascii="宋体" w:hAnsi="宋体" w:hint="eastAsia"/>
          <w:b/>
          <w:bCs/>
          <w:szCs w:val="21"/>
        </w:rPr>
        <w:t>投标人提交的投标文件应毫无例外地使用招标文件所提供的相应格式</w:t>
      </w:r>
      <w:r>
        <w:rPr>
          <w:rFonts w:ascii="宋体" w:hAnsi="宋体" w:hint="eastAsia"/>
          <w:szCs w:val="21"/>
        </w:rPr>
        <w:t>（表格均可按同样格式扩展）。</w:t>
      </w:r>
    </w:p>
    <w:p>
      <w:pPr>
        <w:spacing w:line="360" w:lineRule="auto"/>
        <w:rPr>
          <w:rFonts w:ascii="黑体" w:eastAsia="黑体" w:hAnsi="宋体"/>
          <w:sz w:val="24"/>
        </w:rPr>
      </w:pPr>
      <w:r>
        <w:rPr>
          <w:rFonts w:ascii="黑体" w:eastAsia="黑体" w:hAnsi="宋体" w:hint="eastAsia"/>
          <w:sz w:val="24"/>
        </w:rPr>
        <w:t>17．投标货币</w:t>
      </w:r>
    </w:p>
    <w:p>
      <w:pPr>
        <w:spacing w:line="360" w:lineRule="auto"/>
        <w:ind w:firstLine="412" w:firstLineChars="196"/>
        <w:rPr>
          <w:rFonts w:ascii="宋体" w:hAnsi="宋体"/>
          <w:szCs w:val="21"/>
        </w:rPr>
      </w:pPr>
      <w:r>
        <w:rPr>
          <w:rFonts w:ascii="宋体" w:hAnsi="宋体" w:hint="eastAsia"/>
          <w:szCs w:val="21"/>
        </w:rPr>
        <w:t>本项目的投标报价应以人民币计。</w:t>
      </w:r>
    </w:p>
    <w:p>
      <w:pPr>
        <w:spacing w:line="360" w:lineRule="auto"/>
        <w:rPr>
          <w:rFonts w:ascii="黑体" w:eastAsia="黑体" w:hAnsi="宋体"/>
          <w:sz w:val="24"/>
        </w:rPr>
      </w:pPr>
      <w:bookmarkEnd w:id="52"/>
      <w:r>
        <w:rPr>
          <w:rFonts w:ascii="黑体" w:eastAsia="黑体" w:hAnsi="宋体" w:hint="eastAsia"/>
          <w:sz w:val="24"/>
        </w:rPr>
        <w:t>18．</w:t>
      </w:r>
      <w:bookmarkStart w:id="53" w:name="_Hlk72401735"/>
      <w:r>
        <w:rPr>
          <w:rFonts w:ascii="黑体" w:eastAsia="黑体" w:hAnsi="宋体" w:hint="eastAsia"/>
          <w:sz w:val="24"/>
        </w:rPr>
        <w:t>证明投标文件投标技术方案的合格性和符合招标文件规定的文件要求</w:t>
      </w:r>
    </w:p>
    <w:p>
      <w:pPr>
        <w:spacing w:line="360" w:lineRule="auto"/>
        <w:ind w:firstLine="412" w:firstLineChars="196"/>
        <w:rPr>
          <w:rFonts w:ascii="宋体" w:hAnsi="宋体"/>
          <w:szCs w:val="21"/>
        </w:rPr>
      </w:pPr>
      <w:r>
        <w:rPr>
          <w:rFonts w:ascii="宋体" w:hAnsi="宋体" w:hint="eastAsia"/>
          <w:szCs w:val="21"/>
        </w:rPr>
        <w:t>18</w:t>
      </w:r>
      <w:r>
        <w:rPr>
          <w:rFonts w:ascii="宋体" w:hAnsi="宋体"/>
          <w:szCs w:val="21"/>
        </w:rPr>
        <w:t xml:space="preserve">.1 </w:t>
      </w:r>
      <w:r>
        <w:rPr>
          <w:rFonts w:ascii="宋体" w:hAnsi="宋体" w:hint="eastAsia"/>
          <w:szCs w:val="21"/>
        </w:rPr>
        <w:t>投标人应提交证明文件，证明其投标技术方案项下的货物和服务的合格性符合招标文件规定。该投标技术方案及其证明文件均作为投标文件组成部分。</w:t>
      </w:r>
    </w:p>
    <w:p>
      <w:pPr>
        <w:spacing w:line="360" w:lineRule="auto"/>
        <w:ind w:firstLine="412" w:firstLineChars="196"/>
        <w:rPr>
          <w:rFonts w:ascii="宋体" w:hAnsi="宋体"/>
          <w:szCs w:val="21"/>
        </w:rPr>
      </w:pPr>
      <w:r>
        <w:rPr>
          <w:rFonts w:ascii="宋体" w:hAnsi="宋体"/>
          <w:szCs w:val="21"/>
        </w:rPr>
        <w:t>1</w:t>
      </w:r>
      <w:r>
        <w:rPr>
          <w:rFonts w:ascii="宋体" w:hAnsi="宋体" w:hint="eastAsia"/>
          <w:szCs w:val="21"/>
        </w:rPr>
        <w:t>8</w:t>
      </w:r>
      <w:r>
        <w:rPr>
          <w:rFonts w:ascii="宋体" w:hAnsi="宋体"/>
          <w:szCs w:val="21"/>
        </w:rPr>
        <w:t xml:space="preserve">.2 </w:t>
      </w:r>
      <w:r>
        <w:rPr>
          <w:rFonts w:ascii="宋体" w:hAnsi="宋体" w:hint="eastAsia"/>
          <w:szCs w:val="21"/>
        </w:rPr>
        <w:t>投标人提供证明投标技术方案与招标文件的要求相一致的文件，可以是文字资料、图纸、数据或数码照片、制造商公布的产品说明书、产品彩页和我国政府机构出具的产品检验和核准证件等，提供的文件应符合以下要求：</w:t>
      </w:r>
    </w:p>
    <w:p>
      <w:pPr>
        <w:spacing w:line="360" w:lineRule="auto"/>
        <w:ind w:firstLine="412" w:firstLineChars="196"/>
        <w:rPr>
          <w:rFonts w:ascii="宋体" w:hAnsi="宋体"/>
          <w:szCs w:val="21"/>
        </w:rPr>
      </w:pPr>
      <w:r>
        <w:rPr>
          <w:rFonts w:ascii="宋体" w:hAnsi="宋体" w:hint="eastAsia"/>
          <w:szCs w:val="21"/>
        </w:rPr>
        <w:t>18.2.1主要技术指标和性能的详细说明。</w:t>
      </w:r>
    </w:p>
    <w:p>
      <w:pPr>
        <w:spacing w:line="360" w:lineRule="auto"/>
        <w:ind w:firstLine="412" w:firstLineChars="196"/>
        <w:rPr>
          <w:rFonts w:ascii="宋体" w:hAnsi="宋体"/>
          <w:szCs w:val="21"/>
        </w:rPr>
      </w:pPr>
      <w:r>
        <w:rPr>
          <w:rFonts w:ascii="宋体" w:hAnsi="宋体" w:hint="eastAsia"/>
          <w:szCs w:val="21"/>
        </w:rPr>
        <w:t>18.2.</w:t>
      </w:r>
      <w:r>
        <w:rPr>
          <w:rFonts w:ascii="宋体" w:hAnsi="宋体"/>
          <w:szCs w:val="21"/>
        </w:rPr>
        <w:t>2</w:t>
      </w:r>
      <w:r>
        <w:rPr>
          <w:rFonts w:ascii="宋体" w:hAnsi="宋体" w:hint="eastAsia"/>
          <w:szCs w:val="21"/>
        </w:rPr>
        <w:t>投标产品从采购人开始使用至招标文件中规定的周期内正常、连续地使用所必须的备件和专用工具清单，包括备件和专用工具的货源及现行价格。</w:t>
      </w:r>
    </w:p>
    <w:p>
      <w:pPr>
        <w:spacing w:line="360" w:lineRule="auto"/>
        <w:ind w:firstLine="412" w:firstLineChars="196"/>
        <w:rPr>
          <w:rFonts w:ascii="宋体" w:hAnsi="宋体"/>
          <w:szCs w:val="21"/>
        </w:rPr>
      </w:pPr>
      <w:r>
        <w:rPr>
          <w:rFonts w:ascii="宋体" w:hAnsi="宋体" w:hint="eastAsia"/>
          <w:szCs w:val="21"/>
        </w:rPr>
        <w:t>18.2.</w:t>
      </w:r>
      <w:r>
        <w:rPr>
          <w:rFonts w:ascii="宋体" w:hAnsi="宋体"/>
          <w:szCs w:val="21"/>
        </w:rPr>
        <w:t>3</w:t>
      </w:r>
      <w:r>
        <w:rPr>
          <w:rFonts w:ascii="宋体" w:hAnsi="宋体" w:hint="eastAsia"/>
          <w:szCs w:val="21"/>
        </w:rPr>
        <w:t>对照招标文件技术规格，逐条说明投标技术方案已对采购人的技术规格做出了实质性的响应，或申明与技术规格条文的偏差和例外。投标人应详细说明投标技术方案中产品的具体参数，不得不合理照搬照抄招标文件的技术要求。</w:t>
      </w:r>
    </w:p>
    <w:p>
      <w:pPr>
        <w:spacing w:line="360" w:lineRule="auto"/>
        <w:ind w:firstLine="412" w:firstLineChars="196"/>
        <w:rPr>
          <w:rFonts w:ascii="宋体" w:hAnsi="宋体"/>
          <w:szCs w:val="21"/>
        </w:rPr>
      </w:pPr>
      <w:r>
        <w:rPr>
          <w:rFonts w:ascii="宋体" w:hAnsi="宋体" w:hint="eastAsia"/>
          <w:szCs w:val="21"/>
        </w:rPr>
        <w:t>18.2.4产品说明书或彩页应为制造商公布或出具的中文产品说明书或彩页；提供外文说明书或彩页的，必须同时提供加盖制造商公章的对应中文翻译说明，评标依据以中文翻译内容为准，外文说明书或彩页仅供参考；产品说明书或彩页的尺寸和</w:t>
      </w:r>
      <w:r>
        <w:rPr>
          <w:rFonts w:hint="eastAsia"/>
        </w:rPr>
        <w:t>清晰度要求能够使用电脑阅读、识别和判断</w:t>
      </w:r>
      <w:r>
        <w:rPr>
          <w:rFonts w:ascii="宋体" w:hAnsi="宋体" w:hint="eastAsia"/>
          <w:szCs w:val="21"/>
        </w:rPr>
        <w:t>；</w:t>
      </w:r>
    </w:p>
    <w:p>
      <w:pPr>
        <w:spacing w:line="360" w:lineRule="auto"/>
        <w:ind w:firstLine="412" w:firstLineChars="196"/>
        <w:rPr>
          <w:rFonts w:ascii="宋体" w:hAnsi="宋体"/>
          <w:szCs w:val="21"/>
        </w:rPr>
      </w:pPr>
      <w:r>
        <w:rPr>
          <w:rFonts w:ascii="宋体" w:hAnsi="宋体" w:hint="eastAsia"/>
          <w:szCs w:val="21"/>
        </w:rPr>
        <w:t>18.2.5我国政府机构出具的产品检验和核准证件应为证件正面、背面和附件标注的全部具体内容；产品检验和核准证件的尺寸和清晰度应该能够在电脑上被阅读、识别和判断，提供原件扫描件。</w:t>
      </w:r>
    </w:p>
    <w:p>
      <w:pPr>
        <w:spacing w:line="360" w:lineRule="auto"/>
        <w:ind w:firstLine="412" w:firstLineChars="196"/>
        <w:rPr>
          <w:rFonts w:ascii="宋体" w:hAnsi="宋体"/>
          <w:szCs w:val="21"/>
        </w:rPr>
      </w:pPr>
      <w:r>
        <w:rPr>
          <w:rFonts w:ascii="宋体" w:hAnsi="宋体" w:hint="eastAsia"/>
          <w:szCs w:val="21"/>
        </w:rPr>
        <w:t>18.3相关资料不符合18.2款要求的，评审委员会有权认定为投标技术方案不合格响应，其相关分数予以扣减或作投标无效处理。</w:t>
      </w:r>
    </w:p>
    <w:p>
      <w:pPr>
        <w:spacing w:line="360" w:lineRule="auto"/>
        <w:ind w:firstLine="412" w:firstLineChars="196"/>
        <w:rPr>
          <w:rFonts w:ascii="宋体" w:hAnsi="宋体"/>
          <w:szCs w:val="21"/>
        </w:rPr>
      </w:pPr>
      <w:r>
        <w:rPr>
          <w:rFonts w:ascii="宋体" w:hAnsi="宋体"/>
          <w:szCs w:val="21"/>
        </w:rPr>
        <w:t>1</w:t>
      </w:r>
      <w:r>
        <w:rPr>
          <w:rFonts w:ascii="宋体" w:hAnsi="宋体" w:hint="eastAsia"/>
          <w:szCs w:val="21"/>
        </w:rPr>
        <w:t>8</w:t>
      </w:r>
      <w:r>
        <w:rPr>
          <w:rFonts w:ascii="宋体" w:hAnsi="宋体"/>
          <w:szCs w:val="21"/>
        </w:rPr>
        <w:t>.</w:t>
      </w:r>
      <w:r>
        <w:rPr>
          <w:rFonts w:ascii="宋体" w:hAnsi="宋体" w:hint="eastAsia"/>
          <w:szCs w:val="21"/>
        </w:rPr>
        <w:t>4投标人在阐述上述第18.2时应注意采购人在技术规格中指出的工艺、材料和设备的标准以及参照的牌号或分类号仅起说明作用，并没有任何限制性。投标人在投标中可以选用替代标准、牌号或分类号，但这些替代要实质上满足招标文件中技术规格的要求，是否</w:t>
      </w:r>
      <w:r>
        <w:rPr>
          <w:rFonts w:hint="eastAsia"/>
        </w:rPr>
        <w:t>满足要求</w:t>
      </w:r>
      <w:r>
        <w:rPr>
          <w:rFonts w:ascii="宋体" w:hAnsi="宋体" w:hint="eastAsia"/>
          <w:szCs w:val="21"/>
        </w:rPr>
        <w:t>，由评审委员会来评判。</w:t>
      </w:r>
    </w:p>
    <w:p>
      <w:pPr>
        <w:spacing w:line="360" w:lineRule="auto"/>
        <w:ind w:firstLine="412" w:firstLineChars="196"/>
        <w:rPr>
          <w:rFonts w:ascii="宋体" w:hAnsi="宋体"/>
          <w:szCs w:val="21"/>
        </w:rPr>
      </w:pPr>
      <w:r>
        <w:rPr>
          <w:rFonts w:ascii="宋体" w:hAnsi="宋体" w:hint="eastAsia"/>
          <w:szCs w:val="21"/>
        </w:rPr>
        <w:t>18.5除非另有规定或说明，投标人对同一项目投标时，不得同时提供两套或两套以上的投标方案。</w:t>
      </w:r>
    </w:p>
    <w:p>
      <w:pPr>
        <w:spacing w:line="360" w:lineRule="auto"/>
        <w:rPr>
          <w:rFonts w:ascii="黑体" w:eastAsia="黑体" w:hAnsi="宋体"/>
          <w:sz w:val="24"/>
        </w:rPr>
      </w:pPr>
      <w:bookmarkEnd w:id="53"/>
      <w:r>
        <w:rPr>
          <w:rFonts w:ascii="黑体" w:eastAsia="黑体" w:hAnsi="宋体" w:hint="eastAsia"/>
          <w:sz w:val="24"/>
        </w:rPr>
        <w:t>19．</w:t>
      </w:r>
      <w:bookmarkStart w:id="54" w:name="_Hlk72402034"/>
      <w:r>
        <w:rPr>
          <w:rFonts w:ascii="黑体" w:eastAsia="黑体" w:hAnsi="宋体" w:hint="eastAsia"/>
          <w:sz w:val="24"/>
        </w:rPr>
        <w:t>投标文件其他证明文件的要求</w:t>
      </w:r>
    </w:p>
    <w:p>
      <w:pPr>
        <w:spacing w:line="360" w:lineRule="auto"/>
        <w:rPr>
          <w:rFonts w:ascii="宋体" w:hAnsi="宋体"/>
          <w:color w:val="FF0000"/>
          <w:szCs w:val="21"/>
        </w:rPr>
      </w:pPr>
      <w:r>
        <w:rPr>
          <w:rFonts w:ascii="黑体" w:eastAsia="黑体" w:hAnsi="宋体" w:hint="eastAsia"/>
          <w:sz w:val="24"/>
        </w:rPr>
        <w:t xml:space="preserve">    </w:t>
      </w:r>
      <w:r>
        <w:rPr>
          <w:rFonts w:ascii="宋体" w:hAnsi="宋体" w:hint="eastAsia"/>
          <w:szCs w:val="21"/>
        </w:rPr>
        <w:t>19.1采用综合评分法的项目，对项目招标文件《评标信息》评分项中涉及的相关业绩、社保情况等内容以及《资格性审查表》和《符合性审查表》中涉及的证明材料，投标人应提供相关部门出具的证明材料扫描件或照片，原件备查。有关扫描件（或照片）的尺寸和清晰度要求能够使用电脑阅读、识别和判断。</w:t>
      </w:r>
      <w:bookmarkStart w:id="55" w:name="_Hlk71407299"/>
      <w:r>
        <w:rPr>
          <w:rFonts w:ascii="宋体" w:hAnsi="宋体" w:hint="eastAsia"/>
          <w:szCs w:val="21"/>
        </w:rPr>
        <w:t>若投标人未按要求提供证明材料或提供的是部分证明材料或提供不清晰的扫描件（或照片）的，采购人</w:t>
      </w:r>
      <w:r>
        <w:rPr>
          <w:rFonts w:ascii="宋体" w:hAnsi="宋体" w:hint="eastAsia"/>
          <w:szCs w:val="21"/>
          <w:lang w:eastAsia="zh-CN"/>
        </w:rPr>
        <w:t>、</w:t>
      </w:r>
      <w:r>
        <w:rPr>
          <w:rFonts w:ascii="宋体" w:hAnsi="宋体" w:hint="eastAsia"/>
          <w:szCs w:val="21"/>
        </w:rPr>
        <w:t>代理机构</w:t>
      </w:r>
      <w:r>
        <w:rPr>
          <w:rFonts w:ascii="宋体" w:hAnsi="宋体" w:hint="eastAsia"/>
          <w:szCs w:val="21"/>
          <w:lang w:val="en-US" w:eastAsia="zh-CN"/>
        </w:rPr>
        <w:t>以及</w:t>
      </w:r>
      <w:r>
        <w:rPr>
          <w:rFonts w:ascii="宋体" w:hAnsi="宋体" w:hint="eastAsia"/>
          <w:szCs w:val="21"/>
        </w:rPr>
        <w:t>评审委员会依据各自审查范围，有权认定其投标文件未对招标文件有关需求进行响应，涉及资格性审查或符合性审查的予以投标无效处理，涉及《评标信息》打分项的则该项评分予以0分处理。对供应商投标资料是否异常、是否有效问题进行核查和判定，如认为供应商投标资料有异常或无效的，若涉及资格性审查或符合性审查条款的，则应作投标无效处理；若涉及评分的，则作不得分处理。</w:t>
      </w:r>
    </w:p>
    <w:p>
      <w:pPr>
        <w:spacing w:line="360" w:lineRule="auto"/>
        <w:ind w:firstLine="412" w:firstLineChars="196"/>
        <w:rPr>
          <w:rFonts w:ascii="宋体" w:hAnsi="宋体"/>
          <w:szCs w:val="21"/>
        </w:rPr>
      </w:pPr>
      <w:bookmarkEnd w:id="55"/>
      <w:r>
        <w:rPr>
          <w:rFonts w:ascii="宋体" w:hAnsi="宋体" w:hint="eastAsia"/>
          <w:szCs w:val="21"/>
        </w:rPr>
        <w:t>19.2本项目涉及提供的有关资质（资格）证书，若原有资质（资格）证书处于年审期间，须提供证书颁发部门提供的回执，并且回执须证明该证书依然有效（若在法规范围不需提供的，供应商应做书面说明并提供证明文件，否则该证书无效），则该投标人提供年审证明的可按原资质（资格）投标；若投标人正在申报上一级别资质（资格），在未获批准之前，仍按原级别资质（资格）投标。</w:t>
      </w:r>
    </w:p>
    <w:p>
      <w:pPr>
        <w:spacing w:line="360" w:lineRule="auto"/>
        <w:rPr>
          <w:rFonts w:ascii="黑体" w:eastAsia="黑体" w:hAnsi="宋体"/>
          <w:sz w:val="24"/>
        </w:rPr>
      </w:pPr>
      <w:r>
        <w:rPr>
          <w:rFonts w:ascii="黑体" w:eastAsia="黑体" w:hAnsi="宋体" w:hint="eastAsia"/>
          <w:sz w:val="24"/>
        </w:rPr>
        <w:t>20．投标有效期</w:t>
      </w:r>
    </w:p>
    <w:p>
      <w:pPr>
        <w:spacing w:line="360" w:lineRule="auto"/>
        <w:ind w:firstLine="412" w:firstLineChars="196"/>
        <w:rPr>
          <w:rFonts w:ascii="宋体" w:hAnsi="宋体"/>
          <w:szCs w:val="21"/>
        </w:rPr>
      </w:pPr>
      <w:bookmarkEnd w:id="54"/>
      <w:bookmarkStart w:id="56" w:name="_Hlk72402214"/>
      <w:r>
        <w:rPr>
          <w:rFonts w:ascii="宋体" w:hAnsi="宋体" w:hint="eastAsia"/>
          <w:szCs w:val="21"/>
        </w:rPr>
        <w:t>20.1 投标有效期为</w:t>
      </w:r>
      <w:r>
        <w:rPr>
          <w:rFonts w:ascii="Arial" w:hAnsi="Arial" w:cs="Arial" w:hint="eastAsia"/>
          <w:szCs w:val="21"/>
        </w:rPr>
        <w:t>从投标截止之日算起的日历天数。</w:t>
      </w:r>
      <w:r>
        <w:rPr>
          <w:rFonts w:ascii="宋体" w:hAnsi="宋体" w:hint="eastAsia"/>
          <w:szCs w:val="21"/>
        </w:rPr>
        <w:t>在此期限内，所有投标文件均保持有效。</w:t>
      </w:r>
    </w:p>
    <w:p>
      <w:pPr>
        <w:spacing w:line="360" w:lineRule="auto"/>
        <w:ind w:firstLine="412" w:firstLineChars="196"/>
        <w:rPr>
          <w:rFonts w:ascii="宋体" w:hAnsi="宋体"/>
          <w:szCs w:val="21"/>
        </w:rPr>
      </w:pPr>
      <w:r>
        <w:rPr>
          <w:rFonts w:ascii="宋体" w:hAnsi="宋体" w:hint="eastAsia"/>
          <w:szCs w:val="21"/>
        </w:rPr>
        <w:t>20.2 在特殊情况下，政府集中采购机构在原定的投标有效期满之前，政府集中采购机构可以根据需要以书面形式（包括政府集中采购机构网站公开发布方式）向投标人提出延长投标有效期的要求，对此要求投标人须以书面形式予以答复，投标人可以拒绝政府集中采购机构此项要求，其投标在原投标有效期满后不再有效。同意延长投标有效期的投标人不能要求也不允许修改其投标文件。</w:t>
      </w:r>
    </w:p>
    <w:p>
      <w:pPr>
        <w:spacing w:line="360" w:lineRule="auto"/>
        <w:ind w:firstLine="412" w:firstLineChars="196"/>
        <w:rPr>
          <w:rFonts w:ascii="宋体" w:hAnsi="宋体"/>
          <w:szCs w:val="21"/>
        </w:rPr>
      </w:pPr>
      <w:r>
        <w:rPr>
          <w:rFonts w:ascii="宋体" w:hAnsi="宋体" w:hint="eastAsia"/>
          <w:szCs w:val="21"/>
        </w:rPr>
        <w:t>20</w:t>
      </w:r>
      <w:r>
        <w:rPr>
          <w:rFonts w:ascii="宋体" w:hAnsi="宋体"/>
          <w:szCs w:val="21"/>
        </w:rPr>
        <w:t>.3</w:t>
      </w:r>
      <w:r>
        <w:rPr>
          <w:rFonts w:ascii="宋体" w:hAnsi="宋体" w:hint="eastAsia"/>
          <w:szCs w:val="21"/>
        </w:rPr>
        <w:t xml:space="preserve"> 中标供应商的投标文件有效期，截止于完成本招标文件规定的全部项目内容，并通过竣工验收及保修期结束。</w:t>
      </w:r>
    </w:p>
    <w:p>
      <w:pPr>
        <w:spacing w:line="360" w:lineRule="auto"/>
        <w:rPr>
          <w:rFonts w:ascii="黑体" w:eastAsia="黑体" w:hAnsi="宋体"/>
          <w:sz w:val="24"/>
        </w:rPr>
      </w:pPr>
      <w:bookmarkEnd w:id="56"/>
      <w:r>
        <w:rPr>
          <w:rFonts w:ascii="黑体" w:eastAsia="黑体" w:hAnsi="宋体" w:hint="eastAsia"/>
          <w:sz w:val="24"/>
        </w:rPr>
        <w:t>21．</w:t>
      </w:r>
      <w:bookmarkStart w:id="57" w:name="_Hlk72402325"/>
      <w:r>
        <w:rPr>
          <w:rFonts w:ascii="黑体" w:eastAsia="黑体" w:hAnsi="宋体" w:hint="eastAsia"/>
          <w:sz w:val="24"/>
        </w:rPr>
        <w:t xml:space="preserve">关于投标保证金 </w:t>
      </w:r>
    </w:p>
    <w:p>
      <w:pPr>
        <w:spacing w:line="360" w:lineRule="auto"/>
        <w:rPr>
          <w:rFonts w:ascii="宋体" w:hAnsi="宋体"/>
          <w:szCs w:val="21"/>
        </w:rPr>
      </w:pPr>
      <w:r>
        <w:rPr>
          <w:rFonts w:ascii="宋体" w:hAnsi="宋体" w:hint="eastAsia"/>
          <w:szCs w:val="21"/>
        </w:rPr>
        <w:t xml:space="preserve">    21.1 </w:t>
      </w:r>
      <w:r>
        <w:rPr>
          <w:rFonts w:hint="eastAsia"/>
        </w:rPr>
        <w:t>根据《深圳市财政局关于调整政府采购投标（响应）保证金管理政策的通知》（深财购〔2021〕51号）文</w:t>
      </w:r>
      <w:r>
        <w:rPr>
          <w:rFonts w:hint="eastAsia"/>
          <w:lang w:eastAsia="zh-CN"/>
        </w:rPr>
        <w:t>件</w:t>
      </w:r>
      <w:r>
        <w:rPr>
          <w:rFonts w:hint="eastAsia"/>
        </w:rPr>
        <w:t>的规定，本项目不收取投标保证金。</w:t>
      </w:r>
    </w:p>
    <w:p>
      <w:pPr>
        <w:spacing w:line="360" w:lineRule="auto"/>
        <w:rPr>
          <w:rFonts w:ascii="黑体" w:eastAsia="黑体" w:hAnsi="宋体"/>
          <w:sz w:val="24"/>
        </w:rPr>
      </w:pPr>
      <w:r>
        <w:rPr>
          <w:rFonts w:ascii="黑体" w:eastAsia="黑体" w:hAnsi="宋体" w:hint="eastAsia"/>
          <w:sz w:val="24"/>
        </w:rPr>
        <w:t>22．投标人的替代方案</w:t>
      </w:r>
    </w:p>
    <w:p>
      <w:pPr>
        <w:spacing w:line="360" w:lineRule="auto"/>
        <w:ind w:firstLine="412" w:firstLineChars="196"/>
        <w:rPr>
          <w:rFonts w:ascii="宋体" w:hAnsi="宋体"/>
          <w:szCs w:val="21"/>
        </w:rPr>
      </w:pPr>
      <w:r>
        <w:rPr>
          <w:rFonts w:ascii="宋体" w:hAnsi="宋体" w:hint="eastAsia"/>
          <w:szCs w:val="21"/>
        </w:rPr>
        <w:t>22.1投标人所提交的投标文件应完全满足招标文件（包括图纸和技术规范所示的基本技术设计）的要求。除非项目明确允许投标人提交替代方案，否则投标人有关替代方案的条款将初审不通过，作投标无效处理。</w:t>
      </w:r>
    </w:p>
    <w:p>
      <w:pPr>
        <w:spacing w:line="360" w:lineRule="auto"/>
        <w:ind w:firstLine="412" w:firstLineChars="196"/>
        <w:rPr>
          <w:rFonts w:ascii="宋体" w:hAnsi="宋体"/>
          <w:szCs w:val="21"/>
        </w:rPr>
      </w:pPr>
      <w:r>
        <w:rPr>
          <w:rFonts w:ascii="宋体" w:hAnsi="宋体" w:hint="eastAsia"/>
          <w:szCs w:val="21"/>
        </w:rPr>
        <w:t>22.2 如果允许投标人提交替代方案，则准备提交替代方案的投标人除应提交一份满足招标文件（包括图纸和技术规范所示的基本技术设计）要求的投标文件外，还应提交需评审其替代方案所需的全部资料，包括项目方案书、技术规范、替代方案报价书、所建议的项目方案及有关的其它详细资料。</w:t>
      </w:r>
    </w:p>
    <w:p>
      <w:pPr>
        <w:spacing w:line="360" w:lineRule="auto"/>
        <w:rPr>
          <w:rFonts w:ascii="黑体" w:eastAsia="黑体" w:hAnsi="宋体"/>
          <w:sz w:val="24"/>
        </w:rPr>
      </w:pPr>
      <w:bookmarkEnd w:id="57"/>
      <w:r>
        <w:rPr>
          <w:rFonts w:ascii="黑体" w:eastAsia="黑体" w:hAnsi="宋体" w:hint="eastAsia"/>
          <w:sz w:val="24"/>
        </w:rPr>
        <w:t>23．</w:t>
      </w:r>
      <w:bookmarkStart w:id="58" w:name="_Hlk72402860"/>
      <w:r>
        <w:rPr>
          <w:rFonts w:ascii="黑体" w:eastAsia="黑体" w:hAnsi="宋体"/>
          <w:sz w:val="24"/>
        </w:rPr>
        <w:t>投标文件的</w:t>
      </w:r>
      <w:r>
        <w:rPr>
          <w:rFonts w:ascii="黑体" w:eastAsia="黑体" w:hAnsi="宋体" w:hint="eastAsia"/>
          <w:sz w:val="24"/>
        </w:rPr>
        <w:t>制作</w:t>
      </w:r>
      <w:r>
        <w:rPr>
          <w:rFonts w:ascii="黑体" w:eastAsia="黑体" w:hAnsi="宋体"/>
          <w:sz w:val="24"/>
        </w:rPr>
        <w:t>要求</w:t>
      </w:r>
    </w:p>
    <w:p>
      <w:pPr>
        <w:spacing w:line="360" w:lineRule="auto"/>
        <w:ind w:firstLine="412" w:firstLineChars="196"/>
        <w:rPr>
          <w:rFonts w:ascii="宋体" w:hAnsi="宋体"/>
        </w:rPr>
      </w:pPr>
      <w:r>
        <w:rPr>
          <w:rFonts w:ascii="宋体" w:hAnsi="宋体" w:hint="eastAsia"/>
        </w:rPr>
        <w:t>23.1投标人应准备所投项目的电子投标文件一份。此电子投标文件须由投标人根据政府集中采购机构提供的后缀名为.</w:t>
      </w:r>
      <w:r>
        <w:rPr>
          <w:rFonts w:ascii="宋体" w:hAnsi="宋体"/>
        </w:rPr>
        <w:t>szczf</w:t>
      </w:r>
      <w:r>
        <w:rPr>
          <w:rFonts w:ascii="宋体" w:hAnsi="宋体" w:hint="eastAsia"/>
        </w:rPr>
        <w:t>的电子招标文件，下载并使用相应的深圳智慧采购平台投标文件制作专用软件打开招标文件（.szczf格式）【下载地址：</w:t>
      </w:r>
      <w:r>
        <w:rPr>
          <w:rFonts w:ascii="宋体" w:hAnsi="宋体"/>
        </w:rPr>
        <w:t>http://zfcg.szggzy.com:8081/cgxy/013002/list.html</w:t>
      </w:r>
      <w:r>
        <w:rPr>
          <w:rFonts w:ascii="宋体" w:hAnsi="宋体" w:hint="eastAsia"/>
        </w:rPr>
        <w:t>深圳智慧采购平台投标文件制作专用软件.zip】。</w:t>
      </w:r>
    </w:p>
    <w:p>
      <w:pPr>
        <w:spacing w:line="360" w:lineRule="auto"/>
        <w:ind w:firstLine="412" w:firstLineChars="196"/>
        <w:rPr>
          <w:rFonts w:ascii="宋体" w:hAnsi="宋体"/>
        </w:rPr>
      </w:pPr>
      <w:r>
        <w:rPr>
          <w:rFonts w:ascii="宋体" w:hAnsi="宋体" w:hint="eastAsia"/>
        </w:rPr>
        <w:t>23.2投标人在使用《投标书编制软件》编制投标书时须注意：</w:t>
      </w:r>
    </w:p>
    <w:p>
      <w:pPr>
        <w:spacing w:line="360" w:lineRule="auto"/>
        <w:ind w:firstLine="412" w:firstLineChars="196"/>
        <w:rPr>
          <w:rFonts w:ascii="宋体" w:hAnsi="宋体"/>
        </w:rPr>
      </w:pPr>
      <w:r>
        <w:rPr>
          <w:rFonts w:ascii="宋体" w:hAnsi="宋体" w:hint="eastAsia"/>
        </w:rPr>
        <w:t>23.2.1导入《投标书编制软件》的招标文件项目编号、包号应与以此制作的投标文件项目编号、包号一致。例如，不能将甲项目A包的招标书导入《投标书编制软件》，制作乙项目B包的投标书。</w:t>
      </w:r>
    </w:p>
    <w:p>
      <w:pPr>
        <w:spacing w:line="360" w:lineRule="auto"/>
        <w:ind w:firstLine="412" w:firstLineChars="196"/>
        <w:rPr>
          <w:rFonts w:ascii="宋体" w:hAnsi="宋体"/>
        </w:rPr>
      </w:pPr>
      <w:r>
        <w:rPr>
          <w:rFonts w:ascii="宋体" w:hAnsi="宋体" w:hint="eastAsia"/>
        </w:rPr>
        <w:t>23.2.2不能用非本公司的电子密钥加密本公司的投标文件，或者用其它公司的登录用户上传本公司的投标文件。</w:t>
      </w:r>
    </w:p>
    <w:p>
      <w:pPr>
        <w:spacing w:line="360" w:lineRule="auto"/>
        <w:ind w:firstLine="412" w:firstLineChars="196"/>
        <w:rPr>
          <w:rFonts w:ascii="宋体" w:hAnsi="宋体"/>
        </w:rPr>
      </w:pPr>
      <w:r>
        <w:rPr>
          <w:rFonts w:ascii="宋体" w:hAnsi="宋体" w:hint="eastAsia"/>
        </w:rPr>
        <w:t>23.2.3要求用《投标书编制软件》编制投标书的包，不能用其它方式编制投标书。编制投标文件时，电脑须连通互联网。</w:t>
      </w:r>
    </w:p>
    <w:p>
      <w:pPr>
        <w:spacing w:line="360" w:lineRule="auto"/>
        <w:ind w:firstLine="412" w:firstLineChars="196"/>
        <w:rPr>
          <w:rFonts w:ascii="宋体" w:hAnsi="宋体"/>
        </w:rPr>
      </w:pPr>
      <w:r>
        <w:rPr>
          <w:rFonts w:ascii="宋体" w:hAnsi="宋体" w:hint="eastAsia"/>
        </w:rPr>
        <w:t>23.2.4投标文件不能带病毒。政府集中采购机构将用专业杀毒软件对投标文件进行病毒检测，如果这两种软件均报告发现病毒，则政府集中采购机构认为该投标文件带病毒。</w:t>
      </w:r>
    </w:p>
    <w:p>
      <w:pPr>
        <w:spacing w:line="360" w:lineRule="auto"/>
        <w:ind w:firstLine="412" w:firstLineChars="196"/>
        <w:rPr>
          <w:rFonts w:ascii="宋体" w:hAnsi="宋体"/>
        </w:rPr>
      </w:pPr>
      <w:r>
        <w:rPr>
          <w:rFonts w:ascii="宋体" w:hAnsi="宋体" w:hint="eastAsia"/>
        </w:rPr>
        <w:t>23.2.5完整填写“投标关键信息”，如下图所示：</w:t>
      </w:r>
    </w:p>
    <w:p>
      <w:pPr>
        <w:spacing w:line="360" w:lineRule="auto"/>
        <w:ind w:firstLine="412" w:firstLineChars="196"/>
        <w:rPr>
          <w:rFonts w:ascii="宋体" w:hAnsi="宋体"/>
        </w:rPr>
      </w:pPr>
      <w:r>
        <w:rPr>
          <w:rFonts w:ascii="宋体" w:hAnsi="宋体"/>
        </w:rPr>
        <w:drawing>
          <wp:inline distT="0" distB="0" distL="0" distR="0">
            <wp:extent cx="5279390" cy="2719070"/>
            <wp:effectExtent l="0" t="0" r="3810" b="11430"/>
            <wp:docPr id="7" name="图片 9" descr="图形用户界面, 应用程序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图形用户界面, 应用程序  描述已自动生成"/>
                    <pic:cNvPicPr>
                      <a:picLocks noChangeAspect="1" noChangeArrowheads="1"/>
                    </pic:cNvPicPr>
                  </pic:nvPicPr>
                  <pic:blipFill>
                    <a:blip r:embed="rId7"/>
                    <a:stretch>
                      <a:fillRect/>
                    </a:stretch>
                  </pic:blipFill>
                  <pic:spPr>
                    <a:xfrm>
                      <a:off x="0" y="0"/>
                      <a:ext cx="5279390" cy="2719070"/>
                    </a:xfrm>
                    <a:prstGeom prst="rect">
                      <a:avLst/>
                    </a:prstGeom>
                    <a:noFill/>
                    <a:ln w="9525">
                      <a:noFill/>
                      <a:miter lim="800000"/>
                      <a:headEnd/>
                      <a:tailEnd/>
                    </a:ln>
                  </pic:spPr>
                </pic:pic>
              </a:graphicData>
            </a:graphic>
          </wp:inline>
        </w:drawing>
      </w:r>
    </w:p>
    <w:p>
      <w:pPr>
        <w:widowControl/>
        <w:spacing w:line="360" w:lineRule="auto"/>
        <w:jc w:val="left"/>
        <w:rPr>
          <w:rFonts w:ascii="宋体" w:hAnsi="宋体" w:cs="宋体"/>
          <w:kern w:val="0"/>
          <w:sz w:val="24"/>
        </w:rPr>
      </w:pPr>
    </w:p>
    <w:p>
      <w:pPr>
        <w:spacing w:line="360" w:lineRule="auto"/>
        <w:ind w:firstLine="412" w:firstLineChars="196"/>
        <w:rPr>
          <w:rFonts w:ascii="宋体" w:hAnsi="宋体"/>
          <w:b/>
        </w:rPr>
      </w:pPr>
      <w:r>
        <w:rPr>
          <w:rFonts w:ascii="宋体" w:hAnsi="宋体" w:hint="eastAsia"/>
          <w:b/>
        </w:rPr>
        <w:t>备注：上述“开标一览表”中的“投标</w:t>
      </w:r>
      <w:r>
        <w:rPr>
          <w:rFonts w:ascii="宋体" w:hAnsi="宋体" w:hint="eastAsia"/>
          <w:b/>
          <w:lang w:val="en-US" w:eastAsia="zh-CN"/>
        </w:rPr>
        <w:t>报价</w:t>
      </w:r>
      <w:r>
        <w:rPr>
          <w:rFonts w:ascii="宋体" w:hAnsi="宋体" w:hint="eastAsia"/>
          <w:b/>
        </w:rPr>
        <w:t>”将作为价格分计算依据；其它信息仅是对投标文件相关内容的概括性表述，不作为评审依据。</w:t>
      </w:r>
    </w:p>
    <w:p>
      <w:pPr>
        <w:spacing w:line="360" w:lineRule="auto"/>
        <w:ind w:firstLine="412" w:firstLineChars="196"/>
        <w:rPr>
          <w:rFonts w:ascii="宋体" w:hAnsi="宋体"/>
        </w:rPr>
      </w:pPr>
      <w:r>
        <w:rPr>
          <w:rFonts w:ascii="宋体" w:hAnsi="宋体" w:hint="eastAsia"/>
        </w:rPr>
        <w:t>23.2.6投标人在编辑投标文件时，</w:t>
      </w:r>
      <w:r>
        <w:rPr>
          <w:rFonts w:ascii="宋体" w:hAnsi="宋体" w:hint="eastAsia"/>
          <w:b/>
        </w:rPr>
        <w:t>在投标文件目录中属于本节点内容的必须在本节点中填写，填写到其他节点或附件，</w:t>
      </w:r>
      <w:r>
        <w:rPr>
          <w:rFonts w:ascii="宋体" w:hAnsi="宋体" w:hint="eastAsia"/>
        </w:rPr>
        <w:t>一切后果由供应商自行承担。</w:t>
      </w:r>
    </w:p>
    <w:p>
      <w:pPr>
        <w:spacing w:line="360" w:lineRule="auto"/>
        <w:ind w:firstLine="412" w:firstLineChars="196"/>
        <w:rPr>
          <w:rFonts w:ascii="宋体" w:hAnsi="宋体"/>
        </w:rPr>
      </w:pPr>
      <w:r>
        <w:rPr>
          <w:rFonts w:ascii="宋体" w:hAnsi="宋体" w:hint="eastAsia"/>
        </w:rPr>
        <w:t>23.2.7投标文件编写完成后，</w:t>
      </w:r>
      <w:r>
        <w:rPr>
          <w:rFonts w:ascii="宋体" w:hAnsi="宋体" w:hint="eastAsia"/>
          <w:b/>
        </w:rPr>
        <w:t>必须用属于投标人的电子密钥</w:t>
      </w:r>
      <w:r>
        <w:rPr>
          <w:rFonts w:ascii="宋体" w:hAnsi="宋体" w:hint="eastAsia"/>
          <w:b/>
          <w:lang w:val="en-US" w:eastAsia="zh-CN"/>
        </w:rPr>
        <w:t>或电子营业执照</w:t>
      </w:r>
      <w:r>
        <w:rPr>
          <w:rFonts w:ascii="宋体" w:hAnsi="宋体" w:hint="eastAsia"/>
          <w:b/>
        </w:rPr>
        <w:t>进行加密，否则视同未盖公章，将导致投标文件无效。</w:t>
      </w:r>
    </w:p>
    <w:p>
      <w:pPr>
        <w:spacing w:line="360" w:lineRule="auto"/>
        <w:ind w:firstLine="412" w:firstLineChars="196"/>
        <w:rPr>
          <w:rFonts w:ascii="宋体" w:hAnsi="宋体"/>
        </w:rPr>
      </w:pPr>
      <w:r>
        <w:rPr>
          <w:rFonts w:ascii="宋体" w:hAnsi="宋体" w:hint="eastAsia"/>
        </w:rPr>
        <w:t>23.2.8政府集中采购机构不接受投标截止时间后递交的纸质、电子、传真等所有形式的投标文件。由于对网上政府采购系统操作不熟悉或自身电脑、网络等原因导致不能在投标截止时间之前上传投标文件，政府集中采购机构概不负责。建议于开标前一个工作日完成投标文件的制作与上传，如上传确有困难，请及时咨询。</w:t>
      </w:r>
    </w:p>
    <w:p>
      <w:pPr>
        <w:spacing w:line="360" w:lineRule="auto"/>
        <w:ind w:firstLine="412" w:firstLineChars="196"/>
        <w:rPr>
          <w:rFonts w:ascii="宋体" w:hAnsi="宋体"/>
        </w:rPr>
      </w:pPr>
      <w:r>
        <w:rPr>
          <w:rFonts w:ascii="宋体" w:hAnsi="宋体" w:hint="eastAsia"/>
        </w:rPr>
        <w:t>23.2.9如果开标时出现网络故障、技术故障，影响了政府采购活动，政府集中采购机构有权采取措施如延期、接受无法从网上上传的投标书等，以保障政府采购活动的公开、公平和公正。</w:t>
      </w:r>
    </w:p>
    <w:p>
      <w:pPr>
        <w:spacing w:line="360" w:lineRule="auto"/>
        <w:ind w:firstLine="412" w:firstLineChars="196"/>
        <w:rPr>
          <w:rFonts w:ascii="宋体" w:hAnsi="宋体"/>
        </w:rPr>
      </w:pPr>
      <w:r>
        <w:rPr>
          <w:rFonts w:ascii="宋体" w:hAnsi="宋体" w:hint="eastAsia"/>
        </w:rPr>
        <w:t>23.3电报、电话、传真形式的投标概不接受。</w:t>
      </w:r>
    </w:p>
    <w:p>
      <w:pPr>
        <w:spacing w:line="360" w:lineRule="auto"/>
        <w:ind w:firstLine="412" w:firstLineChars="196"/>
        <w:rPr>
          <w:rFonts w:ascii="宋体" w:hAnsi="宋体"/>
          <w:b/>
        </w:rPr>
      </w:pPr>
      <w:r>
        <w:rPr>
          <w:rFonts w:ascii="宋体" w:hAnsi="宋体" w:hint="eastAsia"/>
          <w:b/>
        </w:rPr>
        <w:t>23.4经投标人电子密钥</w:t>
      </w:r>
      <w:r>
        <w:rPr>
          <w:rFonts w:ascii="宋体" w:hAnsi="宋体" w:hint="eastAsia"/>
          <w:b/>
          <w:lang w:val="en-US" w:eastAsia="zh-CN"/>
        </w:rPr>
        <w:t>或电子营业执照</w:t>
      </w:r>
      <w:r>
        <w:rPr>
          <w:rFonts w:ascii="宋体" w:hAnsi="宋体" w:hint="eastAsia"/>
          <w:b/>
        </w:rPr>
        <w:t>加密的投标文件无须盖章或签字，</w:t>
      </w:r>
      <w:r>
        <w:rPr>
          <w:rFonts w:ascii="宋体" w:hAnsi="宋体" w:hint="eastAsia"/>
        </w:rPr>
        <w:t>专用条款另有要求的除外。</w:t>
      </w:r>
    </w:p>
    <w:p>
      <w:pPr>
        <w:spacing w:line="360" w:lineRule="auto"/>
        <w:ind w:firstLine="412" w:firstLineChars="196"/>
        <w:rPr>
          <w:rFonts w:ascii="宋体" w:hAnsi="宋体"/>
        </w:rPr>
      </w:pPr>
      <w:r>
        <w:rPr>
          <w:rFonts w:ascii="宋体" w:hAnsi="宋体" w:hint="eastAsia"/>
          <w:b/>
        </w:rPr>
        <w:t>23.5</w:t>
      </w:r>
      <w:r>
        <w:rPr>
          <w:rFonts w:ascii="宋体" w:hAnsi="宋体" w:hint="eastAsia"/>
        </w:rPr>
        <w:t xml:space="preserve"> 各类资格（资质）文件提供扫描件，专用条款另有要求的除外。</w:t>
      </w:r>
      <w:bookmarkEnd w:id="58"/>
    </w:p>
    <w:p>
      <w:pPr>
        <w:spacing w:line="360" w:lineRule="auto"/>
        <w:ind w:firstLine="412" w:firstLineChars="196"/>
        <w:rPr>
          <w:rFonts w:ascii="宋体" w:hAnsi="宋体"/>
          <w:szCs w:val="21"/>
        </w:rPr>
      </w:pPr>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投标文件的递交</w:t>
      </w:r>
    </w:p>
    <w:p>
      <w:pPr>
        <w:spacing w:line="360" w:lineRule="auto"/>
        <w:rPr>
          <w:rFonts w:ascii="黑体" w:eastAsia="黑体" w:hAnsi="宋体"/>
          <w:sz w:val="24"/>
        </w:rPr>
      </w:pPr>
      <w:bookmarkStart w:id="59" w:name="_Hlk72405459"/>
      <w:r>
        <w:rPr>
          <w:rFonts w:ascii="黑体" w:eastAsia="黑体" w:hAnsi="宋体" w:hint="eastAsia"/>
          <w:sz w:val="24"/>
        </w:rPr>
        <w:t>24．投标文件的保密</w:t>
      </w:r>
    </w:p>
    <w:p>
      <w:pPr>
        <w:spacing w:line="360" w:lineRule="auto"/>
        <w:ind w:firstLine="412" w:firstLineChars="196"/>
        <w:rPr>
          <w:rFonts w:ascii="宋体" w:hAnsi="宋体"/>
        </w:rPr>
      </w:pPr>
      <w:r>
        <w:rPr>
          <w:rFonts w:ascii="宋体" w:hAnsi="宋体" w:hint="eastAsia"/>
        </w:rPr>
        <w:t>24.1在投标文件制作完成后，在投标书编制软件点击【生成标书】按钮进入【填写开标一览表界面】界面，在该界面填写完开标一览表信息后点击【确定】，进入投标文件生成环节。投标文件制作软件会在投标文件生成过程中，提示用户输入密码，输入密码后对</w:t>
      </w:r>
      <w:r>
        <w:rPr>
          <w:rFonts w:ascii="宋体" w:hAnsi="宋体" w:hint="eastAsia"/>
          <w:lang w:val="en-US" w:eastAsia="zh-CN"/>
        </w:rPr>
        <w:t>投</w:t>
      </w:r>
      <w:r>
        <w:rPr>
          <w:rFonts w:ascii="宋体" w:hAnsi="宋体" w:hint="eastAsia"/>
        </w:rPr>
        <w:t>标文件自动进行加密，此加密程序确保投标文件在到达投标截止时间后才能解密查看。在加密过程中，请按照软件提示进行操作。加密界面如下图所示：</w:t>
      </w:r>
    </w:p>
    <w:p>
      <w:pPr>
        <w:spacing w:line="360" w:lineRule="auto"/>
        <w:ind w:firstLine="412" w:firstLineChars="196"/>
        <w:rPr>
          <w:rFonts w:ascii="宋体" w:hAnsi="宋体"/>
        </w:rPr>
      </w:pPr>
    </w:p>
    <w:p>
      <w:pPr>
        <w:spacing w:line="360" w:lineRule="auto"/>
        <w:ind w:firstLine="412" w:firstLineChars="196"/>
        <w:rPr>
          <w:rFonts w:ascii="宋体" w:hAnsi="宋体"/>
        </w:rPr>
      </w:pPr>
      <w:r>
        <w:rPr>
          <w:rFonts w:ascii="宋体" w:hAnsi="宋体"/>
        </w:rPr>
        <w:drawing>
          <wp:inline distT="0" distB="0" distL="0" distR="0">
            <wp:extent cx="5279390" cy="2719070"/>
            <wp:effectExtent l="0" t="0" r="3810" b="11430"/>
            <wp:docPr id="10" name="图片 7" descr="图形用户界面, 应用程序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图形用户界面, 应用程序  描述已自动生成"/>
                    <pic:cNvPicPr>
                      <a:picLocks noChangeAspect="1" noChangeArrowheads="1"/>
                    </pic:cNvPicPr>
                  </pic:nvPicPr>
                  <pic:blipFill>
                    <a:blip r:embed="rId7"/>
                    <a:stretch>
                      <a:fillRect/>
                    </a:stretch>
                  </pic:blipFill>
                  <pic:spPr>
                    <a:xfrm>
                      <a:off x="0" y="0"/>
                      <a:ext cx="5279390" cy="2719070"/>
                    </a:xfrm>
                    <a:prstGeom prst="rect">
                      <a:avLst/>
                    </a:prstGeom>
                    <a:noFill/>
                    <a:ln w="9525">
                      <a:noFill/>
                      <a:miter lim="800000"/>
                      <a:headEnd/>
                      <a:tailEnd/>
                    </a:ln>
                  </pic:spPr>
                </pic:pic>
              </a:graphicData>
            </a:graphic>
          </wp:inline>
        </w:drawing>
      </w:r>
    </w:p>
    <w:p>
      <w:pPr>
        <w:spacing w:line="360" w:lineRule="auto"/>
        <w:ind w:firstLine="412" w:firstLineChars="196"/>
        <w:rPr>
          <w:rFonts w:ascii="宋体" w:hAnsi="宋体"/>
        </w:rPr>
      </w:pPr>
    </w:p>
    <w:p>
      <w:pPr>
        <w:spacing w:line="360" w:lineRule="auto"/>
        <w:ind w:firstLine="412" w:firstLineChars="196"/>
        <w:rPr>
          <w:rFonts w:ascii="宋体" w:hAnsi="宋体"/>
        </w:rPr>
      </w:pPr>
      <w:r>
        <w:rPr>
          <w:rFonts w:ascii="宋体" w:hAnsi="宋体"/>
        </w:rPr>
        <w:drawing>
          <wp:inline distT="0" distB="0" distL="0" distR="0">
            <wp:extent cx="5279390" cy="2727325"/>
            <wp:effectExtent l="0" t="0" r="3810" b="3175"/>
            <wp:docPr id="13" name="图片 8" descr="图形用户界面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图形用户界面  描述已自动生成"/>
                    <pic:cNvPicPr>
                      <a:picLocks noChangeAspect="1" noChangeArrowheads="1"/>
                    </pic:cNvPicPr>
                  </pic:nvPicPr>
                  <pic:blipFill>
                    <a:blip r:embed="rId8"/>
                    <a:stretch>
                      <a:fillRect/>
                    </a:stretch>
                  </pic:blipFill>
                  <pic:spPr>
                    <a:xfrm>
                      <a:off x="0" y="0"/>
                      <a:ext cx="5279390" cy="2727325"/>
                    </a:xfrm>
                    <a:prstGeom prst="rect">
                      <a:avLst/>
                    </a:prstGeom>
                    <a:noFill/>
                    <a:ln w="9525">
                      <a:noFill/>
                      <a:miter lim="800000"/>
                      <a:headEnd/>
                      <a:tailEnd/>
                    </a:ln>
                  </pic:spPr>
                </pic:pic>
              </a:graphicData>
            </a:graphic>
          </wp:inline>
        </w:drawing>
      </w:r>
    </w:p>
    <w:p>
      <w:pPr>
        <w:spacing w:line="360" w:lineRule="auto"/>
        <w:ind w:firstLine="412" w:firstLineChars="196"/>
        <w:rPr>
          <w:rFonts w:ascii="宋体" w:hAnsi="宋体"/>
        </w:rPr>
      </w:pPr>
    </w:p>
    <w:p>
      <w:pPr>
        <w:widowControl/>
        <w:spacing w:line="360" w:lineRule="auto"/>
        <w:jc w:val="left"/>
        <w:rPr>
          <w:sz w:val="24"/>
        </w:rPr>
      </w:pPr>
    </w:p>
    <w:p>
      <w:pPr>
        <w:spacing w:line="360" w:lineRule="auto"/>
        <w:rPr>
          <w:rFonts w:ascii="宋体" w:hAnsi="宋体"/>
          <w:b/>
        </w:rPr>
      </w:pPr>
      <w:r>
        <w:rPr>
          <w:rFonts w:ascii="宋体" w:hAnsi="宋体" w:hint="eastAsia"/>
        </w:rPr>
        <w:t xml:space="preserve">   </w:t>
      </w:r>
      <w:r>
        <w:rPr>
          <w:rFonts w:ascii="宋体" w:hAnsi="宋体" w:hint="eastAsia"/>
          <w:b/>
        </w:rPr>
        <w:t xml:space="preserve"> 24.2若采购项目出现延期情况：</w:t>
      </w:r>
    </w:p>
    <w:p>
      <w:pPr>
        <w:spacing w:line="360" w:lineRule="auto"/>
        <w:ind w:firstLine="420" w:firstLineChars="200"/>
        <w:rPr>
          <w:rFonts w:ascii="黑体" w:eastAsia="黑体" w:hAnsi="宋体"/>
          <w:b/>
          <w:sz w:val="24"/>
        </w:rPr>
      </w:pPr>
      <w:r>
        <w:rPr>
          <w:rFonts w:ascii="宋体" w:hAnsi="宋体" w:hint="eastAsia"/>
          <w:b/>
        </w:rPr>
        <w:t>如果供下载的招标文件（后缀名为.szczf）有更新，投标人必须重新下载招标文件、重新制作投标文件、重新加密投标文件、重新上传投标文件；如果供下载的招标文件（后缀名为.szczf）没有更新，投标人必须重新加密投标文件、重新上传投标文件（是否重新制作投标文件根据项目实际情况定）。否则，投标人自行承担投标文件无法解密导致投标无效的后果。</w:t>
      </w:r>
    </w:p>
    <w:p>
      <w:pPr>
        <w:spacing w:line="360" w:lineRule="auto"/>
        <w:rPr>
          <w:rFonts w:ascii="黑体" w:eastAsia="黑体" w:hAnsi="宋体"/>
          <w:sz w:val="24"/>
        </w:rPr>
      </w:pPr>
      <w:r>
        <w:rPr>
          <w:rFonts w:ascii="黑体" w:eastAsia="黑体" w:hAnsi="宋体" w:hint="eastAsia"/>
          <w:sz w:val="24"/>
        </w:rPr>
        <w:t>25．上传投标文件及投标截止日期</w:t>
      </w:r>
    </w:p>
    <w:p>
      <w:pPr>
        <w:spacing w:line="360" w:lineRule="auto"/>
        <w:ind w:firstLine="412" w:firstLineChars="196"/>
        <w:rPr>
          <w:rFonts w:ascii="宋体" w:hAnsi="宋体"/>
        </w:rPr>
      </w:pPr>
      <w:r>
        <w:rPr>
          <w:rFonts w:ascii="宋体" w:hAnsi="宋体" w:hint="eastAsia"/>
        </w:rPr>
        <w:t>25</w:t>
      </w:r>
      <w:r>
        <w:rPr>
          <w:rFonts w:ascii="宋体" w:hAnsi="宋体"/>
        </w:rPr>
        <w:t>.</w:t>
      </w:r>
      <w:r>
        <w:rPr>
          <w:rFonts w:ascii="宋体" w:hAnsi="宋体" w:hint="eastAsia"/>
        </w:rPr>
        <w:t>1实行网上投标，</w:t>
      </w:r>
      <w:r>
        <w:rPr>
          <w:rFonts w:ascii="宋体" w:hAnsi="宋体"/>
        </w:rPr>
        <w:t>投标人必须</w:t>
      </w:r>
      <w:r>
        <w:rPr>
          <w:rFonts w:ascii="宋体" w:hAnsi="宋体" w:hint="eastAsia"/>
        </w:rPr>
        <w:t>在招标</w:t>
      </w:r>
      <w:r>
        <w:rPr>
          <w:rFonts w:ascii="宋体" w:hAnsi="宋体"/>
        </w:rPr>
        <w:t>文件规定的投标截止时间前</w:t>
      </w:r>
      <w:r>
        <w:rPr>
          <w:rFonts w:ascii="宋体" w:hAnsi="宋体" w:hint="eastAsia"/>
        </w:rPr>
        <w:t>用电子密钥登录“深圳政府采购智慧平台用户网上办事子系统（http://zfcg.szggzy.com/TPBidder/memberLogin）”，用“【我的项目】→【项目流程】→【递交投标(应答)文件】”功能点上传投标文件。如上传过程中遇到问题，可拨打</w:t>
      </w:r>
      <w:r>
        <w:rPr>
          <w:rFonts w:ascii="宋体" w:hAnsi="宋体" w:hint="eastAsia"/>
          <w:lang w:val="en-US" w:eastAsia="zh-CN"/>
        </w:rPr>
        <w:t>采购公告中的技术支持电话</w:t>
      </w:r>
      <w:r>
        <w:rPr>
          <w:rFonts w:ascii="宋体" w:hAnsi="宋体" w:hint="eastAsia"/>
        </w:rPr>
        <w:t>。如多次上传均告失败，请在投标截止时间之前携带加密后的电子投标文件送达至</w:t>
      </w:r>
      <w:r>
        <w:rPr>
          <w:rFonts w:ascii="宋体" w:hAnsi="宋体" w:hint="eastAsia"/>
          <w:b/>
          <w:bCs/>
          <w:szCs w:val="21"/>
        </w:rPr>
        <w:t>深圳公共资源交易中心（深圳交易集团有限公司</w:t>
      </w:r>
      <w:r>
        <w:rPr>
          <w:rFonts w:ascii="宋体" w:hAnsi="宋体" w:hint="eastAsia"/>
          <w:b/>
          <w:bCs/>
          <w:szCs w:val="21"/>
          <w:lang w:val="en-US" w:eastAsia="zh-CN"/>
        </w:rPr>
        <w:t>龙岗</w:t>
      </w:r>
      <w:r>
        <w:rPr>
          <w:rFonts w:ascii="宋体" w:hAnsi="宋体" w:hint="eastAsia"/>
          <w:b/>
          <w:bCs/>
          <w:szCs w:val="21"/>
        </w:rPr>
        <w:t>分公司）</w:t>
      </w:r>
      <w:r>
        <w:rPr>
          <w:rFonts w:ascii="宋体" w:hAnsi="宋体" w:hint="eastAsia"/>
          <w:b/>
          <w:bCs/>
          <w:lang w:val="en-US" w:eastAsia="zh-CN"/>
        </w:rPr>
        <w:t>1</w:t>
      </w:r>
      <w:r>
        <w:rPr>
          <w:rFonts w:ascii="宋体" w:hAnsi="宋体" w:hint="eastAsia"/>
          <w:b/>
          <w:bCs/>
        </w:rPr>
        <w:t>楼（地址：</w:t>
      </w:r>
      <w:r>
        <w:rPr>
          <w:rFonts w:ascii="宋体" w:hAnsi="宋体" w:hint="eastAsia"/>
          <w:b/>
          <w:bCs/>
          <w:lang w:val="en-US" w:eastAsia="zh-CN"/>
        </w:rPr>
        <w:t>深圳市龙岗区黄阁路383号</w:t>
      </w:r>
      <w:r>
        <w:rPr>
          <w:rFonts w:ascii="宋体" w:hAnsi="宋体" w:hint="eastAsia"/>
          <w:b/>
          <w:bCs/>
        </w:rPr>
        <w:t>）</w:t>
      </w:r>
      <w:r>
        <w:rPr>
          <w:rFonts w:ascii="宋体" w:hAnsi="宋体"/>
          <w:b/>
          <w:bCs/>
        </w:rPr>
        <w:t>协助上传</w:t>
      </w:r>
      <w:r>
        <w:rPr>
          <w:rFonts w:ascii="宋体" w:hAnsi="宋体" w:hint="eastAsia"/>
          <w:b/>
          <w:bCs/>
        </w:rPr>
        <w:t>，</w:t>
      </w:r>
      <w:r>
        <w:rPr>
          <w:rFonts w:ascii="宋体" w:hAnsi="宋体"/>
          <w:b/>
          <w:bCs/>
        </w:rPr>
        <w:t>但上传过程</w:t>
      </w:r>
      <w:r>
        <w:rPr>
          <w:rFonts w:ascii="宋体" w:hAnsi="宋体" w:hint="eastAsia"/>
          <w:b/>
          <w:bCs/>
        </w:rPr>
        <w:t>中</w:t>
      </w:r>
      <w:r>
        <w:rPr>
          <w:rFonts w:ascii="宋体" w:hAnsi="宋体"/>
          <w:b/>
          <w:bCs/>
        </w:rPr>
        <w:t>投标截止时间到达仍无法上传成功的，由投标人自行负责</w:t>
      </w:r>
      <w:r>
        <w:rPr>
          <w:rFonts w:ascii="宋体" w:hAnsi="宋体" w:hint="eastAsia"/>
        </w:rPr>
        <w:t>。</w:t>
      </w:r>
    </w:p>
    <w:p>
      <w:pPr>
        <w:spacing w:line="360" w:lineRule="auto"/>
        <w:ind w:firstLine="412" w:firstLineChars="196"/>
        <w:rPr>
          <w:rFonts w:ascii="宋体" w:hAnsi="宋体"/>
        </w:rPr>
      </w:pPr>
      <w:r>
        <w:rPr>
          <w:rFonts w:ascii="宋体" w:hAnsi="宋体" w:hint="eastAsia"/>
        </w:rPr>
        <w:t>25.2政府集中采购机构可以按本通用条款第13条规定，通过修改招标文件自行决定酌情延长投标截止期。在此情况下，政府集中采购机构、采购人和投标人受投标截止期制约的所有权利和义务均应延长至新的截止期。</w:t>
      </w:r>
    </w:p>
    <w:p>
      <w:pPr>
        <w:spacing w:line="360" w:lineRule="auto"/>
        <w:ind w:firstLine="412" w:firstLineChars="196"/>
        <w:rPr>
          <w:rFonts w:ascii="宋体" w:hAnsi="宋体"/>
        </w:rPr>
      </w:pPr>
      <w:r>
        <w:rPr>
          <w:rFonts w:ascii="宋体" w:hAnsi="宋体" w:hint="eastAsia"/>
        </w:rPr>
        <w:t>25</w:t>
      </w:r>
      <w:r>
        <w:rPr>
          <w:rFonts w:ascii="宋体" w:hAnsi="宋体"/>
        </w:rPr>
        <w:t>.</w:t>
      </w:r>
      <w:r>
        <w:rPr>
          <w:rFonts w:ascii="宋体" w:hAnsi="宋体" w:hint="eastAsia"/>
        </w:rPr>
        <w:t>3投标截止时间以后不得上传投标文件。</w:t>
      </w:r>
    </w:p>
    <w:p>
      <w:pPr>
        <w:spacing w:line="360" w:lineRule="auto"/>
        <w:ind w:firstLine="412" w:firstLineChars="196"/>
        <w:rPr>
          <w:rFonts w:ascii="宋体" w:hAnsi="宋体"/>
        </w:rPr>
      </w:pPr>
    </w:p>
    <w:p>
      <w:pPr>
        <w:spacing w:line="360" w:lineRule="auto"/>
        <w:rPr>
          <w:rFonts w:ascii="黑体" w:eastAsia="黑体" w:hAnsi="宋体"/>
          <w:sz w:val="24"/>
        </w:rPr>
      </w:pPr>
      <w:bookmarkEnd w:id="59"/>
      <w:r>
        <w:rPr>
          <w:rFonts w:ascii="黑体" w:eastAsia="黑体" w:hAnsi="宋体" w:hint="eastAsia"/>
          <w:sz w:val="24"/>
        </w:rPr>
        <w:t>26. 样品、现场演示、方案讲解</w:t>
      </w:r>
    </w:p>
    <w:p>
      <w:pPr>
        <w:spacing w:line="360" w:lineRule="auto"/>
        <w:ind w:firstLine="412" w:firstLineChars="196"/>
        <w:rPr>
          <w:rFonts w:ascii="宋体" w:hAnsi="宋体"/>
          <w:szCs w:val="21"/>
        </w:rPr>
      </w:pPr>
      <w:r>
        <w:rPr>
          <w:rFonts w:ascii="宋体" w:hAnsi="宋体" w:hint="eastAsia"/>
          <w:szCs w:val="21"/>
        </w:rPr>
        <w:t>26.1 样品、现场演示、方案讲解等事项在招标文件专用条款中进行规定。</w:t>
      </w:r>
    </w:p>
    <w:p>
      <w:pPr>
        <w:spacing w:line="360" w:lineRule="auto"/>
        <w:rPr>
          <w:rFonts w:ascii="黑体" w:eastAsia="黑体" w:hAnsi="宋体"/>
          <w:sz w:val="24"/>
        </w:rPr>
      </w:pPr>
      <w:bookmarkStart w:id="60" w:name="_Hlk72428346"/>
      <w:r>
        <w:rPr>
          <w:rFonts w:ascii="黑体" w:eastAsia="黑体" w:hAnsi="宋体"/>
          <w:sz w:val="24"/>
        </w:rPr>
        <w:t>2</w:t>
      </w:r>
      <w:r>
        <w:rPr>
          <w:rFonts w:ascii="黑体" w:eastAsia="黑体" w:hAnsi="宋体" w:hint="eastAsia"/>
          <w:sz w:val="24"/>
        </w:rPr>
        <w:t>7．</w:t>
      </w:r>
      <w:r>
        <w:rPr>
          <w:rFonts w:ascii="黑体" w:eastAsia="黑体" w:hAnsi="宋体"/>
          <w:sz w:val="24"/>
        </w:rPr>
        <w:t>投标文件的修改和撤销</w:t>
      </w:r>
    </w:p>
    <w:p>
      <w:pPr>
        <w:spacing w:line="360" w:lineRule="auto"/>
        <w:ind w:firstLine="412" w:firstLineChars="196"/>
        <w:rPr>
          <w:rFonts w:ascii="宋体" w:hAnsi="宋体"/>
        </w:rPr>
      </w:pPr>
      <w:r>
        <w:rPr>
          <w:rFonts w:ascii="宋体" w:hAnsi="宋体"/>
        </w:rPr>
        <w:t>2</w:t>
      </w:r>
      <w:r>
        <w:rPr>
          <w:rFonts w:ascii="宋体" w:hAnsi="宋体" w:hint="eastAsia"/>
        </w:rPr>
        <w:t>7</w:t>
      </w:r>
      <w:r>
        <w:rPr>
          <w:rFonts w:ascii="宋体" w:hAnsi="宋体"/>
        </w:rPr>
        <w:t>.</w:t>
      </w:r>
      <w:r>
        <w:rPr>
          <w:rFonts w:ascii="宋体" w:hAnsi="宋体" w:hint="eastAsia"/>
        </w:rPr>
        <w:t>1</w:t>
      </w:r>
      <w:r>
        <w:rPr>
          <w:rFonts w:ascii="宋体" w:hAnsi="宋体"/>
        </w:rPr>
        <w:t>投标方在提交投标文件后可对其投标文件进行修改</w:t>
      </w:r>
      <w:r>
        <w:rPr>
          <w:rFonts w:ascii="宋体" w:hAnsi="宋体" w:hint="eastAsia"/>
        </w:rPr>
        <w:t>并重新上传投标文件</w:t>
      </w:r>
      <w:r>
        <w:rPr>
          <w:rFonts w:ascii="宋体" w:hAnsi="宋体"/>
        </w:rPr>
        <w:t>或</w:t>
      </w:r>
      <w:r>
        <w:rPr>
          <w:rFonts w:ascii="宋体" w:hAnsi="宋体" w:hint="eastAsia"/>
        </w:rPr>
        <w:t>在网上进行</w:t>
      </w:r>
      <w:r>
        <w:rPr>
          <w:rFonts w:ascii="宋体" w:hAnsi="宋体"/>
        </w:rPr>
        <w:t>撤销</w:t>
      </w:r>
      <w:r>
        <w:rPr>
          <w:rFonts w:ascii="宋体" w:hAnsi="宋体" w:hint="eastAsia"/>
        </w:rPr>
        <w:t>投标的操作</w:t>
      </w:r>
      <w:r>
        <w:rPr>
          <w:rFonts w:ascii="宋体" w:hAnsi="宋体"/>
        </w:rPr>
        <w:t>。</w:t>
      </w:r>
    </w:p>
    <w:p>
      <w:pPr>
        <w:spacing w:line="360" w:lineRule="auto"/>
        <w:ind w:firstLine="412" w:firstLineChars="196"/>
        <w:rPr>
          <w:rFonts w:ascii="宋体" w:hAnsi="宋体"/>
        </w:rPr>
      </w:pPr>
      <w:r>
        <w:rPr>
          <w:rFonts w:ascii="宋体" w:hAnsi="宋体"/>
        </w:rPr>
        <w:t>2</w:t>
      </w:r>
      <w:r>
        <w:rPr>
          <w:rFonts w:ascii="宋体" w:hAnsi="宋体" w:hint="eastAsia"/>
        </w:rPr>
        <w:t>7</w:t>
      </w:r>
      <w:r>
        <w:rPr>
          <w:rFonts w:ascii="宋体" w:hAnsi="宋体"/>
        </w:rPr>
        <w:t>.</w:t>
      </w:r>
      <w:r>
        <w:rPr>
          <w:rFonts w:ascii="宋体" w:hAnsi="宋体" w:hint="eastAsia"/>
        </w:rPr>
        <w:t>2</w:t>
      </w:r>
      <w:r>
        <w:rPr>
          <w:rFonts w:ascii="宋体" w:hAnsi="宋体"/>
        </w:rPr>
        <w:t>投标截止时间以后不得修改投标文件。</w:t>
      </w:r>
    </w:p>
    <w:p>
      <w:pPr>
        <w:spacing w:line="360" w:lineRule="auto"/>
        <w:ind w:firstLine="412" w:firstLineChars="196"/>
        <w:rPr>
          <w:rFonts w:ascii="宋体" w:hAnsi="宋体"/>
        </w:rPr>
      </w:pPr>
      <w:r>
        <w:rPr>
          <w:rFonts w:ascii="宋体" w:hAnsi="宋体"/>
        </w:rPr>
        <w:t>2</w:t>
      </w:r>
      <w:r>
        <w:rPr>
          <w:rFonts w:ascii="宋体" w:hAnsi="宋体" w:hint="eastAsia"/>
        </w:rPr>
        <w:t>7</w:t>
      </w:r>
      <w:r>
        <w:rPr>
          <w:rFonts w:ascii="宋体" w:hAnsi="宋体"/>
        </w:rPr>
        <w:t>.</w:t>
      </w:r>
      <w:r>
        <w:rPr>
          <w:rFonts w:ascii="宋体" w:hAnsi="宋体" w:hint="eastAsia"/>
        </w:rPr>
        <w:t>3从投标截止期至投标人在投标文件中确定的投标有效期之间的这段时间内，投标人不得撤回其投标。</w:t>
      </w:r>
    </w:p>
    <w:p>
      <w:pPr>
        <w:spacing w:line="360" w:lineRule="auto"/>
        <w:ind w:firstLine="412" w:firstLineChars="196"/>
        <w:rPr>
          <w:rFonts w:ascii="宋体" w:hAnsi="宋体"/>
          <w:szCs w:val="21"/>
        </w:rPr>
      </w:pPr>
      <w:r>
        <w:rPr>
          <w:rFonts w:ascii="宋体" w:hAnsi="宋体" w:hint="eastAsia"/>
          <w:szCs w:val="21"/>
        </w:rPr>
        <w:t>27.4政府集中采购机构不退还投标文件，专用条款另有规定的除外。</w:t>
      </w:r>
    </w:p>
    <w:p>
      <w:pPr>
        <w:pStyle w:val="Heading2"/>
        <w:numPr>
          <w:ilvl w:val="0"/>
          <w:numId w:val="42"/>
        </w:numPr>
        <w:spacing w:before="120" w:beforeLines="50" w:after="120" w:afterLines="50" w:line="360" w:lineRule="auto"/>
        <w:ind w:left="562" w:hanging="562"/>
        <w:rPr>
          <w:sz w:val="28"/>
          <w:szCs w:val="28"/>
        </w:rPr>
      </w:pPr>
      <w:bookmarkEnd w:id="60"/>
      <w:r>
        <w:rPr>
          <w:rFonts w:hint="eastAsia"/>
          <w:sz w:val="28"/>
          <w:szCs w:val="28"/>
        </w:rPr>
        <w:t>开标</w:t>
      </w:r>
    </w:p>
    <w:p>
      <w:pPr>
        <w:spacing w:line="360" w:lineRule="auto"/>
        <w:rPr>
          <w:rFonts w:ascii="黑体" w:eastAsia="黑体" w:hAnsi="宋体"/>
          <w:sz w:val="24"/>
        </w:rPr>
      </w:pPr>
      <w:r>
        <w:rPr>
          <w:rFonts w:ascii="黑体" w:eastAsia="黑体" w:hAnsi="宋体" w:hint="eastAsia"/>
          <w:sz w:val="24"/>
        </w:rPr>
        <w:t>28．开标</w:t>
      </w:r>
    </w:p>
    <w:p>
      <w:pPr>
        <w:spacing w:line="360" w:lineRule="auto"/>
        <w:ind w:firstLine="315" w:firstLineChars="150"/>
        <w:rPr>
          <w:rFonts w:ascii="宋体" w:hAnsi="宋体"/>
          <w:szCs w:val="21"/>
        </w:rPr>
      </w:pPr>
      <w:r>
        <w:rPr>
          <w:rFonts w:ascii="宋体" w:hAnsi="宋体" w:hint="eastAsia"/>
          <w:szCs w:val="21"/>
        </w:rPr>
        <w:t>28.1投标人须在开标当日的开标时间至解密截止时间内进行解密，逾期未解密的作无效处理。解密方法：登录“深圳政府采购智慧平台用户网上办事子系统（http://zfcg.szggzy.com/TPBidder/memberLogin）”，使用本单位制作电子投标文件同一个电子密钥，在“【我的项目】→【项目流程】→【开标及解密】”进行在线解密、查询开标情况。</w:t>
      </w:r>
    </w:p>
    <w:p>
      <w:pPr>
        <w:spacing w:line="360" w:lineRule="auto"/>
        <w:ind w:firstLine="315" w:firstLineChars="150"/>
        <w:rPr>
          <w:rFonts w:ascii="宋体" w:hAnsi="宋体"/>
          <w:szCs w:val="21"/>
        </w:rPr>
      </w:pPr>
      <w:r>
        <w:rPr>
          <w:rFonts w:ascii="宋体" w:hAnsi="宋体" w:hint="eastAsia"/>
          <w:szCs w:val="21"/>
        </w:rPr>
        <w:t>28.2 政府集中采购机构将在满足开标条件（①解密时间结束，解密后的投标供应商数量满足开标要求或②解密时间结束前所有投标供应商均完成投标文件解密）后，对投标文件进行开标，并在网上公布开标结果。</w:t>
      </w:r>
    </w:p>
    <w:p>
      <w:pPr>
        <w:spacing w:line="360" w:lineRule="auto"/>
        <w:ind w:firstLine="315" w:firstLineChars="150"/>
        <w:rPr>
          <w:rFonts w:ascii="宋体" w:hAnsi="宋体"/>
          <w:szCs w:val="21"/>
        </w:rPr>
      </w:pPr>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评审要求</w:t>
      </w:r>
    </w:p>
    <w:p>
      <w:pPr>
        <w:spacing w:line="360" w:lineRule="auto"/>
        <w:rPr>
          <w:rFonts w:ascii="黑体" w:eastAsia="黑体" w:hAnsi="宋体"/>
          <w:sz w:val="24"/>
        </w:rPr>
      </w:pPr>
      <w:r>
        <w:rPr>
          <w:rFonts w:ascii="黑体" w:eastAsia="黑体" w:hAnsi="宋体" w:hint="eastAsia"/>
          <w:sz w:val="24"/>
        </w:rPr>
        <w:t>29．评审委员会组成</w:t>
      </w:r>
    </w:p>
    <w:p>
      <w:pPr>
        <w:spacing w:line="360" w:lineRule="auto"/>
        <w:ind w:firstLine="412" w:firstLineChars="196"/>
        <w:rPr>
          <w:rFonts w:ascii="宋体" w:hAnsi="宋体"/>
        </w:rPr>
      </w:pPr>
      <w:r>
        <w:rPr>
          <w:rFonts w:ascii="宋体" w:hAnsi="宋体" w:hint="eastAsia"/>
        </w:rPr>
        <w:t>29.1网上开标结束后召开评审会议，</w:t>
      </w:r>
      <w:r>
        <w:rPr>
          <w:rFonts w:ascii="宋体" w:hAnsi="宋体" w:hint="eastAsia"/>
          <w:szCs w:val="21"/>
        </w:rPr>
        <w:t>评审委员会</w:t>
      </w:r>
      <w:r>
        <w:rPr>
          <w:rFonts w:ascii="宋体" w:hAnsi="宋体" w:hint="eastAsia"/>
        </w:rPr>
        <w:t>由政府集中采购机构依法组建，负责评审活动。</w:t>
      </w:r>
    </w:p>
    <w:p>
      <w:pPr>
        <w:spacing w:line="360" w:lineRule="auto"/>
        <w:ind w:firstLine="412" w:firstLineChars="196"/>
        <w:rPr>
          <w:rFonts w:ascii="宋体" w:hAnsi="宋体" w:hint="eastAsia"/>
        </w:rPr>
      </w:pPr>
      <w:bookmarkStart w:id="61" w:name="_Hlk72436580"/>
      <w:r>
        <w:rPr>
          <w:rFonts w:ascii="宋体" w:hAnsi="宋体" w:hint="eastAsia"/>
        </w:rPr>
        <w:t>评审委员会由采购人代表和评审专家组成，成员人数应当为5人以上单数（部分条件下为7人以上单数），其中评审专家不得少于成员总数的三分之二。</w:t>
      </w:r>
      <w:bookmarkEnd w:id="61"/>
      <w:r>
        <w:rPr>
          <w:rFonts w:ascii="宋体" w:hAnsi="宋体" w:hint="eastAsia"/>
        </w:rPr>
        <w:t>评定</w:t>
      </w:r>
      <w:r>
        <w:rPr>
          <w:rFonts w:hint="eastAsia"/>
        </w:rPr>
        <w:t>分离项目</w:t>
      </w:r>
      <w:r>
        <w:t>评审专家</w:t>
      </w:r>
      <w:r>
        <w:rPr>
          <w:rFonts w:hint="eastAsia"/>
        </w:rPr>
        <w:t>均</w:t>
      </w:r>
      <w:r>
        <w:t>由</w:t>
      </w:r>
      <w:r>
        <w:rPr>
          <w:rFonts w:hint="eastAsia"/>
        </w:rPr>
        <w:t>评审专家组成。</w:t>
      </w:r>
      <w:r>
        <w:rPr>
          <w:rFonts w:ascii="宋体" w:hAnsi="宋体" w:hint="eastAsia"/>
          <w:szCs w:val="21"/>
        </w:rPr>
        <w:t>评审专家一般是</w:t>
      </w:r>
      <w:r>
        <w:rPr>
          <w:rFonts w:ascii="宋体" w:hAnsi="宋体" w:hint="eastAsia"/>
        </w:rPr>
        <w:t>从深圳市政府采购评审专家库中随机抽取。采购人代表须持本单位签发的《评审授权书》参加评审。</w:t>
      </w:r>
    </w:p>
    <w:p>
      <w:pPr>
        <w:pStyle w:val="BodyText"/>
        <w:ind w:firstLine="420" w:firstLineChars="200"/>
      </w:pPr>
      <w:r>
        <w:rPr>
          <w:rFonts w:ascii="宋体" w:eastAsia="宋体" w:hAnsi="宋体" w:cs="Times New Roman" w:hint="eastAsia"/>
          <w:b/>
          <w:bCs/>
          <w:color w:val="FF0000"/>
          <w:kern w:val="2"/>
          <w:sz w:val="21"/>
          <w:szCs w:val="24"/>
          <w:lang w:val="en-US" w:eastAsia="zh-CN" w:bidi="ar-SA"/>
        </w:rPr>
        <w:t>根据财政部门要求，将食材、物业管理、清扫保洁、保安服务、家具、窗帘、园林绿化、社工服务、“城市管家”九类采购项目作为严管项目，实行“通用品目+专业品目”组合抽取制。严管项目的范围由市财政部门根据监管需要适时调整。上述所称专业品目是指，与项目采购标的相对应的品目，具体由采购人商采购代理机构根据项目需求自主确定。通用品目具体由会计、审计、法律、人力资源管理、资产评估、金融服务品目下的所有专家合并组成。专业品目下产生的专家人数占抽取总人数的比例不得超过50%（含本数），除此之外的专家均从通用品目库中随机抽取。注：论证专家抽取规则无需按此要求执行，具体严管项目的范围由市财政部门根据监管需要适时调整。</w:t>
      </w:r>
    </w:p>
    <w:p>
      <w:pPr>
        <w:spacing w:line="360" w:lineRule="auto"/>
        <w:ind w:firstLine="412" w:firstLineChars="196"/>
        <w:rPr>
          <w:rFonts w:ascii="宋体" w:hAnsi="宋体"/>
        </w:rPr>
      </w:pPr>
      <w:r>
        <w:rPr>
          <w:rFonts w:ascii="宋体" w:hAnsi="宋体" w:hint="eastAsia"/>
        </w:rPr>
        <w:t>29.2评审定标应当遵循公平、公正、科学、择优的原则。</w:t>
      </w:r>
    </w:p>
    <w:p>
      <w:pPr>
        <w:spacing w:line="360" w:lineRule="auto"/>
        <w:ind w:firstLine="412" w:firstLineChars="196"/>
        <w:rPr>
          <w:rFonts w:ascii="宋体" w:hAnsi="宋体"/>
        </w:rPr>
      </w:pPr>
      <w:r>
        <w:rPr>
          <w:rFonts w:ascii="宋体" w:hAnsi="宋体" w:hint="eastAsia"/>
        </w:rPr>
        <w:t>29.3评审活动依法进行，任何单位和个人不得非法干预评标过程和结果。</w:t>
      </w:r>
    </w:p>
    <w:p>
      <w:pPr>
        <w:spacing w:line="360" w:lineRule="auto"/>
        <w:ind w:firstLine="412" w:firstLineChars="196"/>
        <w:rPr>
          <w:rFonts w:ascii="宋体" w:hAnsi="宋体"/>
        </w:rPr>
      </w:pPr>
      <w:r>
        <w:rPr>
          <w:rFonts w:ascii="宋体" w:hAnsi="宋体" w:hint="eastAsia"/>
        </w:rPr>
        <w:t>29.4评审过程中不允许违背评标程序或采用招标文件未载明的评标方法或评标因素进行评标。</w:t>
      </w:r>
    </w:p>
    <w:p>
      <w:pPr>
        <w:spacing w:line="360" w:lineRule="auto"/>
        <w:ind w:firstLine="412" w:firstLineChars="196"/>
        <w:rPr>
          <w:rFonts w:ascii="宋体" w:hAnsi="宋体"/>
          <w:bCs/>
        </w:rPr>
      </w:pPr>
      <w:r>
        <w:rPr>
          <w:rFonts w:ascii="宋体" w:hAnsi="宋体" w:hint="eastAsia"/>
          <w:bCs/>
        </w:rPr>
        <w:t>29.5 开标后，直到签订合同为止，凡属于对投标文件的审查、澄清、评价和比较的有关资料以及中标候选人的推荐情况、与评审有关的其他任何情况均严格保密（</w:t>
      </w:r>
      <w:r>
        <w:rPr>
          <w:rFonts w:hint="eastAsia"/>
        </w:rPr>
        <w:t>信息公开的内容除外</w:t>
      </w:r>
      <w:r>
        <w:rPr>
          <w:rFonts w:ascii="宋体" w:hAnsi="宋体" w:hint="eastAsia"/>
          <w:bCs/>
        </w:rPr>
        <w:t>）。</w:t>
      </w:r>
    </w:p>
    <w:p>
      <w:pPr>
        <w:spacing w:line="360" w:lineRule="auto"/>
        <w:rPr>
          <w:rFonts w:ascii="黑体" w:eastAsia="黑体" w:hAnsi="宋体"/>
          <w:sz w:val="24"/>
        </w:rPr>
      </w:pPr>
      <w:r>
        <w:rPr>
          <w:rFonts w:ascii="黑体" w:eastAsia="黑体" w:hAnsi="宋体" w:hint="eastAsia"/>
          <w:sz w:val="24"/>
        </w:rPr>
        <w:t>30．向评审委员会提供的资料</w:t>
      </w:r>
    </w:p>
    <w:p>
      <w:pPr>
        <w:spacing w:line="360" w:lineRule="auto"/>
        <w:ind w:firstLine="412" w:firstLineChars="196"/>
        <w:rPr>
          <w:rFonts w:ascii="宋体" w:hAnsi="宋体"/>
        </w:rPr>
      </w:pPr>
      <w:r>
        <w:rPr>
          <w:rFonts w:ascii="宋体" w:hAnsi="宋体" w:hint="eastAsia"/>
        </w:rPr>
        <w:t>30.1公开发布的招标文件，包括图纸、服务清单、答疑文件等；</w:t>
      </w:r>
    </w:p>
    <w:p>
      <w:pPr>
        <w:spacing w:line="360" w:lineRule="auto"/>
        <w:ind w:firstLine="412" w:firstLineChars="196"/>
        <w:rPr>
          <w:rFonts w:ascii="宋体" w:hAnsi="宋体"/>
        </w:rPr>
      </w:pPr>
      <w:r>
        <w:rPr>
          <w:rFonts w:ascii="宋体" w:hAnsi="宋体" w:hint="eastAsia"/>
        </w:rPr>
        <w:t>30.2其他评标必须的资料。</w:t>
      </w:r>
    </w:p>
    <w:p>
      <w:pPr>
        <w:spacing w:line="360" w:lineRule="auto"/>
        <w:ind w:firstLine="412" w:firstLineChars="196"/>
        <w:rPr>
          <w:rFonts w:ascii="宋体" w:hAnsi="宋体"/>
        </w:rPr>
      </w:pPr>
      <w:r>
        <w:rPr>
          <w:rFonts w:ascii="宋体" w:hAnsi="宋体" w:hint="eastAsia"/>
        </w:rPr>
        <w:t>30.3</w:t>
      </w:r>
      <w:r>
        <w:rPr>
          <w:rFonts w:ascii="宋体" w:hAnsi="宋体" w:hint="eastAsia"/>
          <w:szCs w:val="21"/>
        </w:rPr>
        <w:t>评审委员会</w:t>
      </w:r>
      <w:r>
        <w:rPr>
          <w:rFonts w:ascii="宋体" w:hAnsi="宋体" w:hint="eastAsia"/>
        </w:rPr>
        <w:t>应当认真研究招标文件，至少应了解熟悉以下内容：</w:t>
      </w:r>
    </w:p>
    <w:p>
      <w:pPr>
        <w:spacing w:line="360" w:lineRule="auto"/>
        <w:ind w:firstLine="412" w:firstLineChars="196"/>
        <w:rPr>
          <w:rFonts w:ascii="宋体" w:hAnsi="宋体"/>
        </w:rPr>
      </w:pPr>
      <w:r>
        <w:rPr>
          <w:rFonts w:ascii="宋体" w:hAnsi="宋体" w:hint="eastAsia"/>
        </w:rPr>
        <w:t>（1）招标的目的；</w:t>
      </w:r>
    </w:p>
    <w:p>
      <w:pPr>
        <w:spacing w:line="360" w:lineRule="auto"/>
        <w:ind w:firstLine="412" w:firstLineChars="196"/>
        <w:rPr>
          <w:rFonts w:ascii="宋体" w:hAnsi="宋体"/>
        </w:rPr>
      </w:pPr>
      <w:r>
        <w:rPr>
          <w:rFonts w:ascii="宋体" w:hAnsi="宋体" w:hint="eastAsia"/>
        </w:rPr>
        <w:t>（2）招标项目需求的范围和性质；</w:t>
      </w:r>
    </w:p>
    <w:p>
      <w:pPr>
        <w:spacing w:line="360" w:lineRule="auto"/>
        <w:ind w:firstLine="412" w:firstLineChars="196"/>
        <w:rPr>
          <w:rFonts w:ascii="宋体" w:hAnsi="宋体"/>
        </w:rPr>
      </w:pPr>
      <w:r>
        <w:rPr>
          <w:rFonts w:ascii="宋体" w:hAnsi="宋体" w:hint="eastAsia"/>
        </w:rPr>
        <w:t>（3）招标文件规定的投标人的资格、财政预算限额、商务条款；</w:t>
      </w:r>
    </w:p>
    <w:p>
      <w:pPr>
        <w:spacing w:line="360" w:lineRule="auto"/>
        <w:ind w:firstLine="412" w:firstLineChars="196"/>
        <w:rPr>
          <w:rFonts w:ascii="宋体" w:hAnsi="宋体"/>
        </w:rPr>
      </w:pPr>
      <w:r>
        <w:rPr>
          <w:rFonts w:ascii="宋体" w:hAnsi="宋体" w:hint="eastAsia"/>
        </w:rPr>
        <w:t>（4）招标文件规定的评标程序、评标方法和评标因素；</w:t>
      </w:r>
    </w:p>
    <w:p>
      <w:pPr>
        <w:spacing w:line="360" w:lineRule="auto"/>
        <w:ind w:firstLine="412" w:firstLineChars="196"/>
        <w:rPr>
          <w:rFonts w:ascii="宋体" w:hAnsi="宋体"/>
        </w:rPr>
      </w:pPr>
      <w:r>
        <w:rPr>
          <w:rFonts w:ascii="宋体" w:hAnsi="宋体" w:hint="eastAsia"/>
        </w:rPr>
        <w:t>（5）招标文件所列示的资格性审查表及符合性审查表。</w:t>
      </w:r>
    </w:p>
    <w:p>
      <w:pPr>
        <w:spacing w:line="360" w:lineRule="auto"/>
        <w:rPr>
          <w:rFonts w:ascii="黑体" w:eastAsia="黑体" w:hAnsi="宋体"/>
          <w:sz w:val="24"/>
        </w:rPr>
      </w:pPr>
      <w:r>
        <w:rPr>
          <w:rFonts w:ascii="黑体" w:eastAsia="黑体" w:hAnsi="宋体" w:hint="eastAsia"/>
          <w:sz w:val="24"/>
        </w:rPr>
        <w:t>31．独立评审</w:t>
      </w:r>
    </w:p>
    <w:p>
      <w:pPr>
        <w:spacing w:line="360" w:lineRule="auto"/>
        <w:ind w:firstLine="412" w:firstLineChars="196"/>
        <w:rPr>
          <w:rFonts w:ascii="宋体" w:hAnsi="宋体"/>
          <w:bCs/>
        </w:rPr>
      </w:pPr>
      <w:r>
        <w:rPr>
          <w:rFonts w:ascii="宋体" w:hAnsi="宋体" w:hint="eastAsia"/>
          <w:bCs/>
        </w:rPr>
        <w:t>3</w:t>
      </w:r>
      <w:r>
        <w:rPr>
          <w:rFonts w:ascii="宋体" w:hAnsi="宋体"/>
          <w:bCs/>
        </w:rPr>
        <w:t>1</w:t>
      </w:r>
      <w:r>
        <w:rPr>
          <w:rFonts w:ascii="宋体" w:hAnsi="宋体" w:hint="eastAsia"/>
          <w:bCs/>
        </w:rPr>
        <w:t>.1</w:t>
      </w:r>
      <w:r>
        <w:rPr>
          <w:rFonts w:ascii="宋体" w:hAnsi="宋体" w:hint="eastAsia"/>
          <w:szCs w:val="21"/>
        </w:rPr>
        <w:t>评审委员会</w:t>
      </w:r>
      <w:r>
        <w:rPr>
          <w:rFonts w:ascii="宋体" w:hAnsi="宋体" w:hint="eastAsia"/>
          <w:bCs/>
        </w:rPr>
        <w:t>成员的评标活动应当独立进行，并应遵循投标文件初审、澄清有关问题、比较与评价、确定中标供应商、编写评审报告的工作程序。</w:t>
      </w:r>
    </w:p>
    <w:p>
      <w:pPr>
        <w:spacing w:line="360" w:lineRule="auto"/>
        <w:ind w:firstLine="412" w:firstLineChars="196"/>
        <w:rPr>
          <w:rFonts w:ascii="宋体" w:hAnsi="宋体"/>
          <w:bCs/>
          <w:szCs w:val="21"/>
        </w:rPr>
      </w:pPr>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评审程序及评审方法</w:t>
      </w:r>
    </w:p>
    <w:p>
      <w:pPr>
        <w:spacing w:line="360" w:lineRule="auto"/>
        <w:rPr>
          <w:rFonts w:ascii="黑体" w:eastAsia="黑体" w:hAnsi="宋体"/>
          <w:sz w:val="24"/>
        </w:rPr>
      </w:pPr>
      <w:r>
        <w:rPr>
          <w:rFonts w:ascii="黑体" w:eastAsia="黑体" w:hAnsi="宋体" w:hint="eastAsia"/>
          <w:sz w:val="24"/>
        </w:rPr>
        <w:t>32．投标文件初审</w:t>
      </w:r>
    </w:p>
    <w:p>
      <w:pPr>
        <w:spacing w:line="360" w:lineRule="auto"/>
        <w:ind w:firstLine="412" w:firstLineChars="196"/>
        <w:rPr>
          <w:rFonts w:ascii="宋体" w:hAnsi="宋体"/>
        </w:rPr>
      </w:pPr>
      <w:r>
        <w:rPr>
          <w:rFonts w:ascii="宋体" w:hAnsi="宋体" w:hint="eastAsia"/>
        </w:rPr>
        <w:t>32.1投标文件初审包括资格性审查和符合性审查。</w:t>
      </w:r>
    </w:p>
    <w:p>
      <w:pPr>
        <w:spacing w:line="360" w:lineRule="auto"/>
        <w:ind w:firstLine="412" w:firstLineChars="196"/>
        <w:rPr>
          <w:rFonts w:ascii="宋体" w:hAnsi="宋体"/>
        </w:rPr>
      </w:pPr>
      <w:r>
        <w:rPr>
          <w:rFonts w:ascii="宋体" w:hAnsi="宋体" w:hint="eastAsia"/>
        </w:rPr>
        <w:t>资格性审查：依据法律法规和招标文件的规定，对投标文件中的资格证明等进行审查，以确定投标供应商是否具备投标资格。</w:t>
      </w:r>
    </w:p>
    <w:p>
      <w:pPr>
        <w:spacing w:line="360" w:lineRule="auto"/>
        <w:ind w:firstLine="412" w:firstLineChars="196"/>
        <w:rPr>
          <w:rFonts w:ascii="宋体" w:hAnsi="宋体"/>
        </w:rPr>
      </w:pPr>
      <w:r>
        <w:rPr>
          <w:rFonts w:ascii="宋体" w:hAnsi="宋体" w:hint="eastAsia"/>
        </w:rPr>
        <w:t>符合性审查：依据招标文件的规定，对投标文件的有效性、完整性和对招标文件的响应程度进行审查，以确定是否满足符合性审查的要求。</w:t>
      </w:r>
    </w:p>
    <w:p>
      <w:pPr>
        <w:spacing w:line="360" w:lineRule="auto"/>
        <w:ind w:firstLine="412" w:firstLineChars="196"/>
        <w:rPr>
          <w:rFonts w:ascii="宋体" w:hAnsi="宋体"/>
        </w:rPr>
      </w:pPr>
      <w:r>
        <w:rPr>
          <w:rFonts w:ascii="宋体" w:hAnsi="宋体" w:hint="eastAsia"/>
        </w:rPr>
        <w:t>32.2 投标文件初审内容请详见《资格性审查表》和《符合性审查表》部分。投标人若有一条审查不通过则按投标无效处理。</w:t>
      </w:r>
    </w:p>
    <w:p>
      <w:pPr>
        <w:spacing w:line="360" w:lineRule="auto"/>
        <w:ind w:firstLine="412" w:firstLineChars="196"/>
        <w:rPr>
          <w:rFonts w:ascii="宋体" w:hAnsi="宋体"/>
          <w:bCs/>
        </w:rPr>
      </w:pPr>
      <w:r>
        <w:rPr>
          <w:rFonts w:ascii="宋体" w:hAnsi="宋体" w:hint="eastAsia"/>
          <w:bCs/>
        </w:rPr>
        <w:t>32.3 投标文件初审中关于供应商家数的计算:</w:t>
      </w:r>
    </w:p>
    <w:p>
      <w:pPr>
        <w:spacing w:line="360" w:lineRule="auto"/>
        <w:ind w:firstLine="412" w:firstLineChars="196"/>
        <w:rPr>
          <w:rFonts w:ascii="宋体" w:hAnsi="宋体"/>
          <w:bCs/>
        </w:rPr>
      </w:pPr>
      <w:r>
        <w:rPr>
          <w:rFonts w:ascii="宋体" w:hAnsi="宋体" w:hint="eastAsia"/>
          <w:bCs/>
        </w:rPr>
        <w:t>32.3.1采用最低价法的采购项目，提供相同品牌产品的不同投标人参加同一合同项下投标的，以其中通过资格审查、符合性审查且报价最低的参加评标；报价相同的，由采购人或者采购人委托评审委员会按照招标文件规定的方式确定一个参加评审的投标人，招标文件未规定的采取随机抽取方式确定，其他投标无效。</w:t>
      </w:r>
    </w:p>
    <w:p>
      <w:pPr>
        <w:spacing w:line="360" w:lineRule="auto"/>
        <w:ind w:firstLine="412" w:firstLineChars="196"/>
        <w:rPr>
          <w:rFonts w:ascii="宋体" w:hAnsi="宋体"/>
          <w:bCs/>
        </w:rPr>
      </w:pPr>
      <w:r>
        <w:rPr>
          <w:rFonts w:ascii="宋体" w:hAnsi="宋体" w:hint="eastAsia"/>
          <w:bCs/>
        </w:rPr>
        <w:t>32.3.2采用综合评分法的采购项目，提供相同品牌产品且通过资格审查、符合性审查的不同投标人参加同一合同项下投标的，按一家投标人计算，评审后得分最高的同品牌投标人获得中标人推荐资格；评审得分相同的，由采购人或者采购人委托</w:t>
      </w:r>
      <w:r>
        <w:rPr>
          <w:rFonts w:ascii="宋体" w:hAnsi="宋体" w:hint="eastAsia"/>
          <w:bCs/>
          <w:szCs w:val="21"/>
        </w:rPr>
        <w:t>评审委员会</w:t>
      </w:r>
      <w:r>
        <w:rPr>
          <w:rFonts w:ascii="宋体" w:hAnsi="宋体" w:hint="eastAsia"/>
          <w:bCs/>
        </w:rPr>
        <w:t>按照招标文件规定的方式确定一个投标人获得中标人推荐资格，招标文件未规定的采取随机抽取方式确定，其他同品牌投标人不作为中标候选人。</w:t>
      </w:r>
    </w:p>
    <w:p>
      <w:pPr>
        <w:spacing w:line="360" w:lineRule="auto"/>
        <w:ind w:firstLine="412" w:firstLineChars="196"/>
        <w:rPr>
          <w:rFonts w:ascii="宋体" w:hAnsi="宋体"/>
          <w:bCs/>
        </w:rPr>
      </w:pPr>
      <w:r>
        <w:rPr>
          <w:rFonts w:ascii="宋体" w:hAnsi="宋体" w:hint="eastAsia"/>
          <w:bCs/>
        </w:rPr>
        <w:t>32.3.3非单一产品采购项目，采购人应当根据采购项目技术构成、产品价格比重等合理确定核心产品，并在招标文件中载明。多家投标人提供的核心产品品牌相同的，按前两款规定处理。</w:t>
      </w:r>
    </w:p>
    <w:p>
      <w:pPr>
        <w:spacing w:line="360" w:lineRule="auto"/>
        <w:ind w:firstLine="412" w:firstLineChars="196"/>
        <w:rPr>
          <w:rFonts w:ascii="宋体" w:hAnsi="宋体"/>
        </w:rPr>
      </w:pPr>
      <w:r>
        <w:rPr>
          <w:rFonts w:ascii="宋体" w:hAnsi="宋体" w:hint="eastAsia"/>
        </w:rPr>
        <w:t>32.4投标人投标文件作无效处理的情形，具体包括但不限于以下：</w:t>
      </w:r>
    </w:p>
    <w:p>
      <w:pPr>
        <w:spacing w:line="360" w:lineRule="auto"/>
        <w:ind w:firstLine="412" w:firstLineChars="196"/>
      </w:pPr>
      <w:r>
        <w:rPr>
          <w:rFonts w:ascii="宋体" w:hAnsi="宋体" w:hint="eastAsia"/>
        </w:rPr>
        <w:t>32.4.1</w:t>
      </w:r>
      <w:r>
        <w:rPr>
          <w:rFonts w:hint="eastAsia"/>
        </w:rPr>
        <w:t>不同投标人的投标文件由同一单位或者同一个人编制，或者由同一个人分阶段参与编制；</w:t>
      </w:r>
    </w:p>
    <w:p>
      <w:pPr>
        <w:spacing w:line="360" w:lineRule="auto"/>
        <w:ind w:firstLine="412" w:firstLineChars="196"/>
      </w:pPr>
      <w:r>
        <w:rPr>
          <w:rFonts w:ascii="宋体" w:hAnsi="宋体"/>
        </w:rPr>
        <w:t>32.4.</w:t>
      </w:r>
      <w:r>
        <w:rPr>
          <w:rFonts w:ascii="宋体" w:hAnsi="宋体" w:hint="eastAsia"/>
        </w:rPr>
        <w:t>2</w:t>
      </w:r>
      <w:r>
        <w:rPr>
          <w:rFonts w:hint="eastAsia"/>
        </w:rPr>
        <w:t>不同投标人委托同一单位或者个人办理投标事宜；</w:t>
      </w:r>
    </w:p>
    <w:p>
      <w:pPr>
        <w:spacing w:line="360" w:lineRule="auto"/>
        <w:ind w:firstLine="412" w:firstLineChars="196"/>
        <w:rPr>
          <w:rFonts w:ascii="宋体" w:hAnsi="宋体"/>
        </w:rPr>
      </w:pPr>
      <w:r>
        <w:rPr>
          <w:rFonts w:ascii="宋体" w:hAnsi="宋体" w:hint="eastAsia"/>
        </w:rPr>
        <w:t>32.4.3不同投标人的投标文件载明的项目管理成员或者联系人员为同一人；</w:t>
      </w:r>
    </w:p>
    <w:p>
      <w:pPr>
        <w:spacing w:line="360" w:lineRule="auto"/>
        <w:ind w:firstLine="412" w:firstLineChars="196"/>
        <w:rPr>
          <w:rFonts w:ascii="宋体" w:hAnsi="宋体"/>
        </w:rPr>
      </w:pPr>
      <w:r>
        <w:rPr>
          <w:rFonts w:ascii="宋体" w:hAnsi="宋体" w:hint="eastAsia"/>
        </w:rPr>
        <w:t>32.4.4不同投标人的投标文件异常一致或者投标报价呈规律性差异；</w:t>
      </w:r>
    </w:p>
    <w:p>
      <w:pPr>
        <w:spacing w:line="360" w:lineRule="auto"/>
        <w:ind w:firstLine="412" w:firstLineChars="196"/>
        <w:rPr>
          <w:rFonts w:ascii="宋体" w:hAnsi="宋体"/>
        </w:rPr>
      </w:pPr>
      <w:r>
        <w:rPr>
          <w:rFonts w:ascii="宋体" w:hAnsi="宋体" w:hint="eastAsia"/>
        </w:rPr>
        <w:t>32.4.5</w:t>
      </w:r>
      <w:r>
        <w:rPr>
          <w:rFonts w:ascii="宋体" w:hAnsi="宋体"/>
        </w:rPr>
        <w:t>不同投标供应商的投标文件或部分投标文件相互混装</w:t>
      </w:r>
      <w:r>
        <w:rPr>
          <w:rFonts w:ascii="宋体" w:hAnsi="宋体" w:hint="eastAsia"/>
        </w:rPr>
        <w:t>；</w:t>
      </w:r>
    </w:p>
    <w:p>
      <w:pPr>
        <w:spacing w:line="360" w:lineRule="auto"/>
        <w:ind w:firstLine="412" w:firstLineChars="196"/>
        <w:rPr>
          <w:rFonts w:ascii="宋体" w:hAnsi="宋体"/>
        </w:rPr>
      </w:pPr>
      <w:r>
        <w:rPr>
          <w:rFonts w:ascii="宋体" w:hAnsi="宋体" w:hint="eastAsia"/>
        </w:rPr>
        <w:t>32.4.6投标供应商之间相互约定给予未中标的供应商利益补偿；</w:t>
      </w:r>
    </w:p>
    <w:p>
      <w:pPr>
        <w:spacing w:line="360" w:lineRule="auto"/>
        <w:ind w:firstLine="412" w:firstLineChars="196"/>
        <w:rPr>
          <w:rFonts w:ascii="宋体" w:hAnsi="宋体"/>
        </w:rPr>
      </w:pPr>
      <w:r>
        <w:rPr>
          <w:rFonts w:ascii="宋体" w:hAnsi="宋体" w:hint="eastAsia"/>
        </w:rPr>
        <w:t>32.4.7不同投标供应商的法定代表人、主要经营负责人、项目投标授权代表人、项目负责人、主要技术人员为同一人、属同一单位或者同一单位缴纳社会保险；</w:t>
      </w:r>
    </w:p>
    <w:p>
      <w:pPr>
        <w:spacing w:line="360" w:lineRule="auto"/>
        <w:ind w:firstLine="412" w:firstLineChars="196"/>
        <w:rPr>
          <w:rFonts w:ascii="宋体" w:hAnsi="宋体"/>
        </w:rPr>
      </w:pPr>
      <w:r>
        <w:rPr>
          <w:rFonts w:ascii="宋体" w:hAnsi="宋体" w:hint="eastAsia"/>
        </w:rPr>
        <w:t>32.4.8不同投标供应商的投标文件内容存在非正常一致；</w:t>
      </w:r>
    </w:p>
    <w:p>
      <w:pPr>
        <w:spacing w:line="360" w:lineRule="auto"/>
        <w:ind w:firstLine="412" w:firstLineChars="196"/>
        <w:rPr>
          <w:rFonts w:ascii="宋体" w:hAnsi="宋体"/>
        </w:rPr>
      </w:pPr>
      <w:r>
        <w:rPr>
          <w:rFonts w:ascii="宋体" w:hAnsi="宋体" w:hint="eastAsia"/>
        </w:rPr>
        <w:t>32.4.9在同一单位工作人员为两家以上（含两家）供应商进行同一项投标活动；</w:t>
      </w:r>
    </w:p>
    <w:p>
      <w:pPr>
        <w:spacing w:line="360" w:lineRule="auto"/>
        <w:ind w:firstLine="412" w:firstLineChars="196"/>
        <w:rPr>
          <w:rFonts w:ascii="宋体" w:hAnsi="宋体"/>
        </w:rPr>
      </w:pPr>
      <w:r>
        <w:rPr>
          <w:rFonts w:ascii="宋体" w:hAnsi="宋体" w:hint="eastAsia"/>
        </w:rPr>
        <w:t>32.4.10主管部门依照法律、法规认定的其他情形。</w:t>
      </w:r>
    </w:p>
    <w:p>
      <w:pPr>
        <w:spacing w:line="360" w:lineRule="auto"/>
        <w:ind w:firstLine="412" w:firstLineChars="196"/>
        <w:rPr>
          <w:rFonts w:ascii="宋体" w:hAnsi="宋体"/>
        </w:rPr>
      </w:pPr>
      <w:r>
        <w:rPr>
          <w:rFonts w:ascii="宋体" w:hAnsi="宋体" w:hint="eastAsia"/>
        </w:rPr>
        <w:t>32.5对不属于《资格性审查表》和《符合性审查表》所列的其他情形，除专用条款另有规定和32.4条款所列情形外，不得作为投标无效的理由。</w:t>
      </w:r>
    </w:p>
    <w:p>
      <w:pPr>
        <w:spacing w:line="360" w:lineRule="auto"/>
        <w:rPr>
          <w:rFonts w:ascii="黑体" w:eastAsia="黑体" w:hAnsi="宋体"/>
          <w:sz w:val="24"/>
        </w:rPr>
      </w:pPr>
      <w:r>
        <w:rPr>
          <w:rFonts w:ascii="黑体" w:eastAsia="黑体" w:hAnsi="宋体" w:hint="eastAsia"/>
          <w:sz w:val="24"/>
        </w:rPr>
        <w:t>33．澄清有关问题</w:t>
      </w:r>
    </w:p>
    <w:p>
      <w:pPr>
        <w:spacing w:line="360" w:lineRule="auto"/>
        <w:ind w:firstLine="412" w:firstLineChars="196"/>
        <w:rPr>
          <w:rFonts w:ascii="宋体" w:hAnsi="宋体"/>
        </w:rPr>
      </w:pPr>
      <w:bookmarkStart w:id="62" w:name="_Hlk71407321"/>
      <w:r>
        <w:rPr>
          <w:rFonts w:ascii="宋体" w:hAnsi="宋体" w:hint="eastAsia"/>
        </w:rPr>
        <w:t>3</w:t>
      </w:r>
      <w:r>
        <w:rPr>
          <w:rFonts w:ascii="宋体" w:hAnsi="宋体"/>
        </w:rPr>
        <w:t>3.1</w:t>
      </w:r>
      <w:r>
        <w:rPr>
          <w:rFonts w:ascii="宋体" w:hAnsi="宋体" w:hint="eastAsia"/>
        </w:rPr>
        <w:t>对招标文件中描述有歧义或前后不一致的地方（不含</w:t>
      </w:r>
      <w:r>
        <w:rPr>
          <w:szCs w:val="21"/>
        </w:rPr>
        <w:t>招标文件存在歧义、重大缺陷导致评</w:t>
      </w:r>
      <w:r>
        <w:rPr>
          <w:rFonts w:hint="eastAsia"/>
          <w:szCs w:val="21"/>
        </w:rPr>
        <w:t>审</w:t>
      </w:r>
      <w:r>
        <w:rPr>
          <w:szCs w:val="21"/>
        </w:rPr>
        <w:t>工作无法进行</w:t>
      </w:r>
      <w:r>
        <w:rPr>
          <w:rFonts w:hint="eastAsia"/>
          <w:szCs w:val="21"/>
        </w:rPr>
        <w:t>的情况）</w:t>
      </w:r>
      <w:r>
        <w:rPr>
          <w:rFonts w:ascii="宋体" w:hAnsi="宋体" w:hint="eastAsia"/>
        </w:rPr>
        <w:t>，评审委员会有权进行评判，但对同一条款的评判应适用于每个投标人。</w:t>
      </w:r>
      <w:bookmarkEnd w:id="62"/>
    </w:p>
    <w:p>
      <w:pPr>
        <w:spacing w:line="360" w:lineRule="auto"/>
        <w:ind w:firstLine="412" w:firstLineChars="196"/>
        <w:rPr>
          <w:rFonts w:ascii="宋体" w:hAnsi="宋体"/>
        </w:rPr>
      </w:pPr>
      <w:r>
        <w:rPr>
          <w:rFonts w:ascii="宋体" w:hAnsi="宋体" w:hint="eastAsia"/>
        </w:rPr>
        <w:t>3</w:t>
      </w:r>
      <w:r>
        <w:rPr>
          <w:rFonts w:ascii="宋体" w:hAnsi="宋体"/>
        </w:rPr>
        <w:t>3.2</w:t>
      </w:r>
      <w:r>
        <w:rPr>
          <w:szCs w:val="21"/>
        </w:rPr>
        <w:t>评</w:t>
      </w:r>
      <w:r>
        <w:rPr>
          <w:rFonts w:hint="eastAsia"/>
          <w:szCs w:val="21"/>
        </w:rPr>
        <w:t>审</w:t>
      </w:r>
      <w:r>
        <w:rPr>
          <w:szCs w:val="21"/>
        </w:rPr>
        <w:t>委员会发现招标文件存在歧义、重大缺陷导致评</w:t>
      </w:r>
      <w:r>
        <w:rPr>
          <w:rFonts w:hint="eastAsia"/>
          <w:szCs w:val="21"/>
        </w:rPr>
        <w:t>审</w:t>
      </w:r>
      <w:r>
        <w:rPr>
          <w:szCs w:val="21"/>
        </w:rPr>
        <w:t>工作无法进行，或者招标文件内容违反国家有关强制性规定的，应当停止评</w:t>
      </w:r>
      <w:r>
        <w:rPr>
          <w:rFonts w:hint="eastAsia"/>
          <w:szCs w:val="21"/>
        </w:rPr>
        <w:t>审</w:t>
      </w:r>
      <w:r>
        <w:rPr>
          <w:szCs w:val="21"/>
        </w:rPr>
        <w:t>工作，与</w:t>
      </w:r>
      <w:r>
        <w:rPr>
          <w:rFonts w:hint="eastAsia"/>
          <w:szCs w:val="21"/>
        </w:rPr>
        <w:t>政府集中采购机构</w:t>
      </w:r>
      <w:r>
        <w:rPr>
          <w:szCs w:val="21"/>
        </w:rPr>
        <w:t>沟通并作书面记录。</w:t>
      </w:r>
      <w:r>
        <w:rPr>
          <w:rFonts w:hint="eastAsia"/>
          <w:szCs w:val="21"/>
        </w:rPr>
        <w:t>经</w:t>
      </w:r>
      <w:r>
        <w:rPr>
          <w:szCs w:val="21"/>
        </w:rPr>
        <w:t>确认后，</w:t>
      </w:r>
      <w:r>
        <w:rPr>
          <w:rFonts w:hint="eastAsia"/>
          <w:szCs w:val="21"/>
        </w:rPr>
        <w:t>项目</w:t>
      </w:r>
      <w:r>
        <w:rPr>
          <w:szCs w:val="21"/>
        </w:rPr>
        <w:t>应当修改招标文件，重新组织采购活动。</w:t>
      </w:r>
    </w:p>
    <w:p>
      <w:pPr>
        <w:spacing w:line="360" w:lineRule="auto"/>
        <w:ind w:firstLine="412" w:firstLineChars="196"/>
        <w:rPr>
          <w:rFonts w:ascii="宋体" w:hAnsi="宋体"/>
        </w:rPr>
      </w:pPr>
      <w:r>
        <w:rPr>
          <w:rFonts w:ascii="宋体" w:hAnsi="宋体"/>
        </w:rPr>
        <w:t>33.3</w:t>
      </w:r>
      <w:r>
        <w:rPr>
          <w:rFonts w:ascii="宋体" w:hAnsi="宋体" w:hint="eastAsia"/>
        </w:rPr>
        <w:t>对于投标文件中含义不明确、同类问题表述不一致或者有明显文字和计算错误的内容，评审委员会应当以书面形式要求投标人作出必要的澄清、说明或者补正。</w:t>
      </w:r>
    </w:p>
    <w:p>
      <w:pPr>
        <w:spacing w:line="360" w:lineRule="auto"/>
        <w:ind w:firstLine="412" w:firstLineChars="196"/>
        <w:rPr>
          <w:rFonts w:ascii="宋体" w:hAnsi="宋体"/>
        </w:rPr>
      </w:pPr>
      <w:r>
        <w:rPr>
          <w:rFonts w:ascii="宋体" w:hAnsi="宋体" w:hint="eastAsia"/>
        </w:rPr>
        <w:t>投标人的澄清、说明或者补正应当采用书面形式【书面形式是指文书、信件（含电子邮件）、电报、电传、传真等形式】，并加盖公章（或者由法定代表人或其授权的代表签字）。投标人的澄清、说明或者补正不得超出投标文件的范围或者改变投标文件的实质性内容。</w:t>
      </w:r>
    </w:p>
    <w:p>
      <w:pPr>
        <w:spacing w:line="360" w:lineRule="auto"/>
        <w:ind w:firstLine="412" w:firstLineChars="196"/>
        <w:rPr>
          <w:rFonts w:ascii="宋体" w:hAnsi="宋体"/>
          <w:szCs w:val="21"/>
        </w:rPr>
      </w:pPr>
      <w:r>
        <w:rPr>
          <w:rFonts w:ascii="宋体" w:hAnsi="宋体" w:hint="eastAsia"/>
          <w:szCs w:val="21"/>
        </w:rPr>
        <w:t>根据本通用条款第34条，凡属于评审委员会在评审中发现的算术错误进行核实的修改不在此列。</w:t>
      </w:r>
    </w:p>
    <w:p>
      <w:pPr>
        <w:spacing w:line="360" w:lineRule="auto"/>
        <w:rPr>
          <w:rFonts w:ascii="黑体" w:eastAsia="黑体" w:hAnsi="宋体"/>
          <w:sz w:val="24"/>
        </w:rPr>
      </w:pPr>
      <w:bookmarkStart w:id="63" w:name="_Toc73521581"/>
      <w:bookmarkStart w:id="64" w:name="_Toc73518151"/>
      <w:bookmarkStart w:id="65" w:name="_Toc73521669"/>
      <w:bookmarkStart w:id="66" w:name="_Toc100052400"/>
      <w:bookmarkStart w:id="67" w:name="_Toc73517673"/>
      <w:r>
        <w:rPr>
          <w:rFonts w:ascii="黑体" w:eastAsia="黑体" w:hAnsi="宋体" w:hint="eastAsia"/>
          <w:sz w:val="24"/>
        </w:rPr>
        <w:t>34．错误的修正</w:t>
      </w:r>
      <w:bookmarkEnd w:id="63"/>
      <w:bookmarkEnd w:id="64"/>
      <w:bookmarkEnd w:id="65"/>
      <w:bookmarkEnd w:id="66"/>
      <w:bookmarkEnd w:id="67"/>
    </w:p>
    <w:p>
      <w:pPr>
        <w:spacing w:line="360" w:lineRule="auto"/>
        <w:ind w:firstLine="412" w:firstLineChars="196"/>
        <w:rPr>
          <w:rFonts w:ascii="宋体" w:hAnsi="宋体"/>
          <w:szCs w:val="21"/>
        </w:rPr>
      </w:pPr>
      <w:r>
        <w:rPr>
          <w:rFonts w:ascii="宋体" w:hAnsi="宋体" w:hint="eastAsia"/>
          <w:szCs w:val="21"/>
        </w:rPr>
        <w:t>投标文件报价出现前后不一致的，除专用条款另有规定外，按照下列规定修正：</w:t>
      </w:r>
    </w:p>
    <w:p>
      <w:pPr>
        <w:spacing w:line="360" w:lineRule="auto"/>
        <w:ind w:firstLine="412" w:firstLineChars="196"/>
        <w:rPr>
          <w:rFonts w:ascii="宋体" w:hAnsi="宋体"/>
          <w:szCs w:val="21"/>
        </w:rPr>
      </w:pPr>
      <w:r>
        <w:rPr>
          <w:rFonts w:ascii="宋体" w:hAnsi="宋体" w:hint="eastAsia"/>
          <w:szCs w:val="21"/>
        </w:rPr>
        <w:t>34.1投标文件中开标一览表投标报价内容与投标文件中投标报价相应内容不一致的，以开标一览表为准；</w:t>
      </w:r>
    </w:p>
    <w:p>
      <w:pPr>
        <w:spacing w:line="360" w:lineRule="auto"/>
        <w:ind w:firstLine="412" w:firstLineChars="196"/>
        <w:rPr>
          <w:rFonts w:ascii="宋体" w:hAnsi="宋体"/>
          <w:szCs w:val="21"/>
        </w:rPr>
      </w:pPr>
      <w:r>
        <w:rPr>
          <w:rFonts w:ascii="宋体" w:hAnsi="宋体" w:hint="eastAsia"/>
          <w:szCs w:val="21"/>
        </w:rPr>
        <w:t>34.2大写金额和小写金额不一致的，以大写金额为准；</w:t>
      </w:r>
    </w:p>
    <w:p>
      <w:pPr>
        <w:spacing w:line="360" w:lineRule="auto"/>
        <w:ind w:firstLine="412" w:firstLineChars="196"/>
        <w:rPr>
          <w:rFonts w:ascii="宋体" w:hAnsi="宋体"/>
          <w:szCs w:val="21"/>
        </w:rPr>
      </w:pPr>
      <w:r>
        <w:rPr>
          <w:rFonts w:ascii="宋体" w:hAnsi="宋体" w:hint="eastAsia"/>
          <w:szCs w:val="21"/>
        </w:rPr>
        <w:t>34.3单价金额小数点或者百分比有明显错位，以开标一览表的总价为准，并修改单价；</w:t>
      </w:r>
    </w:p>
    <w:p>
      <w:pPr>
        <w:spacing w:line="360" w:lineRule="auto"/>
        <w:ind w:firstLine="412" w:firstLineChars="196"/>
        <w:rPr>
          <w:rFonts w:ascii="宋体" w:hAnsi="宋体"/>
          <w:szCs w:val="21"/>
        </w:rPr>
      </w:pPr>
      <w:r>
        <w:rPr>
          <w:rFonts w:ascii="宋体" w:hAnsi="宋体" w:hint="eastAsia"/>
          <w:szCs w:val="21"/>
        </w:rPr>
        <w:t>34.4总价金额与按单价汇总金额不一致的，以单价金额计算结果为准。</w:t>
      </w:r>
    </w:p>
    <w:p>
      <w:pPr>
        <w:spacing w:line="360" w:lineRule="auto"/>
        <w:ind w:firstLine="412" w:firstLineChars="196"/>
        <w:rPr>
          <w:rFonts w:ascii="宋体" w:hAnsi="宋体"/>
          <w:szCs w:val="21"/>
        </w:rPr>
      </w:pPr>
      <w:r>
        <w:rPr>
          <w:rFonts w:ascii="宋体" w:hAnsi="宋体" w:hint="eastAsia"/>
          <w:szCs w:val="21"/>
        </w:rPr>
        <w:t>34.5同时出现两种以上不一致的，按照前款规定的顺序修正。修正后的报价按照本通用条款33条的规定，经投标人确认后产生约束力，投标人不确认的，其投标无效。</w:t>
      </w:r>
    </w:p>
    <w:p>
      <w:pPr>
        <w:spacing w:line="360" w:lineRule="auto"/>
        <w:rPr>
          <w:rFonts w:ascii="黑体" w:eastAsia="黑体" w:hAnsi="宋体"/>
          <w:sz w:val="24"/>
        </w:rPr>
      </w:pPr>
      <w:r>
        <w:rPr>
          <w:rFonts w:ascii="黑体" w:eastAsia="黑体" w:hAnsi="宋体" w:hint="eastAsia"/>
          <w:sz w:val="24"/>
        </w:rPr>
        <w:t>35．投标文件的比较与评价</w:t>
      </w:r>
    </w:p>
    <w:p>
      <w:pPr>
        <w:spacing w:line="360" w:lineRule="auto"/>
        <w:ind w:firstLine="412" w:firstLineChars="196"/>
        <w:rPr>
          <w:rFonts w:ascii="宋体" w:hAnsi="宋体"/>
          <w:szCs w:val="21"/>
        </w:rPr>
      </w:pPr>
      <w:r>
        <w:rPr>
          <w:rFonts w:ascii="宋体" w:hAnsi="宋体" w:hint="eastAsia"/>
          <w:szCs w:val="21"/>
        </w:rPr>
        <w:t>评审委员会将按照《深圳经济特区政府采购条例》、《深圳经济特区政府采购条例实施细则》、《深圳市政府采购评标定标分离管理办法》及政府采购其他法律法规，仅对通过资格性审查和符合性审查的投标文件进行综合比较与评价。</w:t>
      </w:r>
    </w:p>
    <w:p>
      <w:pPr>
        <w:spacing w:line="360" w:lineRule="auto"/>
        <w:ind w:firstLine="412" w:firstLineChars="196"/>
        <w:rPr>
          <w:rFonts w:ascii="宋体" w:hAnsi="宋体"/>
          <w:szCs w:val="21"/>
        </w:rPr>
      </w:pPr>
      <w:r>
        <w:rPr>
          <w:rFonts w:ascii="宋体" w:hAnsi="宋体" w:hint="eastAsia"/>
          <w:szCs w:val="21"/>
        </w:rPr>
        <w:t>评审委员会成员对需要共同认定的事项存在争议的，应当按照少数服从多数的原则作出结论。持不同意见的评审委员会成员应当书面作出说明，否则视为无异议。</w:t>
      </w:r>
    </w:p>
    <w:p>
      <w:pPr>
        <w:spacing w:line="360" w:lineRule="auto"/>
        <w:rPr>
          <w:rFonts w:ascii="黑体" w:eastAsia="黑体" w:hAnsi="宋体"/>
          <w:sz w:val="24"/>
        </w:rPr>
      </w:pPr>
      <w:r>
        <w:rPr>
          <w:rFonts w:ascii="黑体" w:eastAsia="黑体" w:hAnsi="宋体" w:hint="eastAsia"/>
          <w:sz w:val="24"/>
        </w:rPr>
        <w:t>36. 实地考察</w:t>
      </w:r>
    </w:p>
    <w:p>
      <w:pPr>
        <w:spacing w:line="360" w:lineRule="auto"/>
        <w:ind w:firstLine="412" w:firstLineChars="196"/>
        <w:rPr>
          <w:rFonts w:ascii="宋体" w:hAnsi="宋体"/>
          <w:szCs w:val="21"/>
        </w:rPr>
      </w:pPr>
      <w:r>
        <w:rPr>
          <w:rFonts w:ascii="宋体" w:hAnsi="宋体" w:hint="eastAsia"/>
          <w:szCs w:val="21"/>
        </w:rPr>
        <w:t>36.1</w:t>
      </w:r>
      <w:r>
        <w:rPr>
          <w:rFonts w:ascii="宋体" w:hAnsi="宋体" w:hint="eastAsia"/>
          <w:szCs w:val="21"/>
          <w:lang w:val="en-US" w:eastAsia="zh-CN"/>
        </w:rPr>
        <w:t>在评审期间，评审委员会根据招标文件规定（详见“一、对通用条款的补充内容”），有权对本项目的投标人开展实地考察，投标人需时刻做好接收实地考察的准备。</w:t>
      </w:r>
    </w:p>
    <w:p>
      <w:pPr>
        <w:spacing w:line="360" w:lineRule="auto"/>
        <w:rPr>
          <w:rFonts w:ascii="黑体" w:eastAsia="黑体" w:hAnsi="宋体"/>
          <w:sz w:val="24"/>
        </w:rPr>
      </w:pPr>
      <w:r>
        <w:rPr>
          <w:rFonts w:ascii="黑体" w:eastAsia="黑体" w:hAnsi="宋体" w:hint="eastAsia"/>
          <w:sz w:val="24"/>
        </w:rPr>
        <w:t>37．评审方法</w:t>
      </w:r>
    </w:p>
    <w:p>
      <w:pPr>
        <w:spacing w:line="360" w:lineRule="auto"/>
        <w:ind w:firstLine="412" w:firstLineChars="196"/>
        <w:rPr>
          <w:rFonts w:ascii="宋体" w:hAnsi="宋体"/>
          <w:b/>
          <w:bCs/>
          <w:szCs w:val="21"/>
        </w:rPr>
      </w:pPr>
      <w:r>
        <w:rPr>
          <w:rFonts w:ascii="宋体" w:hAnsi="宋体" w:hint="eastAsia"/>
          <w:b/>
          <w:bCs/>
          <w:szCs w:val="21"/>
        </w:rPr>
        <w:t>37.1.1最低价法</w:t>
      </w:r>
    </w:p>
    <w:p>
      <w:pPr>
        <w:spacing w:line="360" w:lineRule="auto"/>
        <w:ind w:firstLine="412" w:firstLineChars="196"/>
        <w:rPr>
          <w:rFonts w:ascii="ˎ̥" w:hAnsi="ˎ̥"/>
        </w:rPr>
      </w:pPr>
      <w:bookmarkStart w:id="68" w:name="_Hlk72438142"/>
      <w:r>
        <w:rPr>
          <w:rFonts w:ascii="ˎ̥" w:hAnsi="ˎ̥"/>
        </w:rPr>
        <w:t>最低价法，是指</w:t>
      </w:r>
      <w:r>
        <w:rPr>
          <w:rFonts w:ascii="ˎ̥" w:hAnsi="ˎ̥" w:hint="eastAsia"/>
        </w:rPr>
        <w:t>完全</w:t>
      </w:r>
      <w:r>
        <w:rPr>
          <w:rFonts w:ascii="ˎ̥" w:hAnsi="ˎ̥"/>
        </w:rPr>
        <w:t>满足招标文件实质性要求，</w:t>
      </w:r>
      <w:r>
        <w:rPr>
          <w:rFonts w:ascii="ˎ̥" w:hAnsi="ˎ̥" w:hint="eastAsia"/>
        </w:rPr>
        <w:t>按照报价由低到高的顺序，依据招标文件中规定的数量或者比例推荐候选中标供应商。</w:t>
      </w:r>
    </w:p>
    <w:p>
      <w:pPr>
        <w:spacing w:line="360" w:lineRule="auto"/>
        <w:ind w:firstLine="412" w:firstLineChars="196"/>
        <w:rPr>
          <w:rFonts w:ascii="宋体" w:hAnsi="宋体"/>
          <w:b/>
          <w:bCs/>
          <w:szCs w:val="21"/>
        </w:rPr>
      </w:pPr>
      <w:r>
        <w:rPr>
          <w:rFonts w:ascii="宋体" w:hAnsi="宋体" w:hint="eastAsia"/>
          <w:b/>
          <w:bCs/>
          <w:szCs w:val="21"/>
        </w:rPr>
        <w:t>37.1.2综合评分法</w:t>
      </w:r>
    </w:p>
    <w:p>
      <w:pPr>
        <w:spacing w:line="360" w:lineRule="auto"/>
        <w:ind w:firstLine="412" w:firstLineChars="196"/>
        <w:rPr>
          <w:rFonts w:ascii="ˎ̥" w:hAnsi="ˎ̥" w:hint="eastAsia"/>
        </w:rPr>
      </w:pPr>
      <w:r>
        <w:rPr>
          <w:rFonts w:ascii="ˎ̥" w:hAnsi="ˎ̥"/>
        </w:rPr>
        <w:t>综合评分法，是指</w:t>
      </w:r>
      <w:r>
        <w:rPr>
          <w:rFonts w:ascii="ˎ̥" w:hAnsi="ˎ̥" w:hint="eastAsia"/>
        </w:rPr>
        <w:t>在</w:t>
      </w:r>
      <w:r>
        <w:rPr>
          <w:rFonts w:ascii="ˎ̥" w:hAnsi="ˎ̥"/>
        </w:rPr>
        <w:t>满足招标文件全部实质性要求</w:t>
      </w:r>
      <w:r>
        <w:rPr>
          <w:rFonts w:ascii="ˎ̥" w:hAnsi="ˎ̥" w:hint="eastAsia"/>
        </w:rPr>
        <w:t>的前提下</w:t>
      </w:r>
      <w:r>
        <w:rPr>
          <w:rFonts w:ascii="ˎ̥" w:hAnsi="ˎ̥"/>
        </w:rPr>
        <w:t>，</w:t>
      </w:r>
      <w:r>
        <w:rPr>
          <w:rFonts w:ascii="ˎ̥" w:hAnsi="ˎ̥" w:hint="eastAsia"/>
        </w:rPr>
        <w:t>按照招标文件中规定的各项因素进行综合评审，评审总得分排名前列的投标人，作为推荐的候选中标供应商。</w:t>
      </w:r>
      <w:bookmarkEnd w:id="68"/>
    </w:p>
    <w:p>
      <w:pPr>
        <w:spacing w:line="360" w:lineRule="auto"/>
        <w:ind w:firstLine="412" w:firstLineChars="196"/>
        <w:rPr>
          <w:rFonts w:ascii="宋体" w:hAnsi="宋体"/>
          <w:b/>
          <w:bCs/>
          <w:szCs w:val="21"/>
        </w:rPr>
      </w:pPr>
      <w:r>
        <w:rPr>
          <w:rFonts w:ascii="ˎ̥" w:hAnsi="ˎ̥" w:hint="eastAsia"/>
          <w:lang w:val="en-US" w:eastAsia="zh-CN"/>
        </w:rPr>
        <w:t>3</w:t>
      </w:r>
      <w:r>
        <w:rPr>
          <w:rFonts w:ascii="宋体" w:hAnsi="宋体" w:hint="eastAsia"/>
          <w:b/>
          <w:bCs/>
          <w:szCs w:val="21"/>
        </w:rPr>
        <w:t>7.2 本项目采用的评审方法见本项目招标文件第一册“专用条款”的相关内容。</w:t>
      </w:r>
    </w:p>
    <w:p>
      <w:pPr>
        <w:spacing w:line="360" w:lineRule="auto"/>
        <w:ind w:firstLine="412" w:firstLineChars="196"/>
        <w:rPr>
          <w:rFonts w:ascii="宋体" w:hAnsi="宋体"/>
          <w:b/>
          <w:bCs/>
          <w:szCs w:val="21"/>
        </w:rPr>
      </w:pPr>
      <w:r>
        <w:rPr>
          <w:rFonts w:ascii="宋体" w:hAnsi="宋体" w:hint="eastAsia"/>
          <w:b/>
          <w:bCs/>
          <w:szCs w:val="21"/>
        </w:rPr>
        <w:t>37.3重新评审的情形</w:t>
      </w:r>
    </w:p>
    <w:p>
      <w:pPr>
        <w:spacing w:line="360" w:lineRule="auto"/>
        <w:ind w:firstLine="412" w:firstLineChars="196"/>
        <w:rPr>
          <w:rFonts w:ascii="宋体" w:hAnsi="宋体"/>
          <w:b/>
          <w:bCs/>
          <w:szCs w:val="21"/>
        </w:rPr>
      </w:pPr>
      <w:r>
        <w:rPr>
          <w:rFonts w:ascii="宋体" w:hAnsi="宋体" w:cs="宋体" w:hint="eastAsia"/>
          <w:kern w:val="0"/>
          <w:szCs w:val="21"/>
        </w:rPr>
        <w:t>评审结果汇总完成后，除下列情形外，任何人不得修改评审结果：</w:t>
      </w:r>
    </w:p>
    <w:p>
      <w:pPr>
        <w:spacing w:line="360" w:lineRule="auto"/>
        <w:ind w:firstLine="412" w:firstLineChars="196"/>
        <w:rPr>
          <w:rFonts w:ascii="宋体" w:hAnsi="宋体" w:cs="宋体"/>
          <w:kern w:val="0"/>
          <w:szCs w:val="21"/>
        </w:rPr>
      </w:pPr>
      <w:r>
        <w:rPr>
          <w:rFonts w:ascii="宋体" w:hAnsi="宋体" w:cs="宋体" w:hint="eastAsia"/>
          <w:kern w:val="0"/>
          <w:szCs w:val="21"/>
        </w:rPr>
        <w:t>37.3.1分值汇总计算错误的；</w:t>
      </w:r>
    </w:p>
    <w:p>
      <w:pPr>
        <w:spacing w:line="360" w:lineRule="auto"/>
        <w:ind w:firstLine="412" w:firstLineChars="196"/>
        <w:rPr>
          <w:rFonts w:ascii="宋体" w:hAnsi="宋体" w:cs="宋体"/>
          <w:kern w:val="0"/>
          <w:szCs w:val="21"/>
        </w:rPr>
      </w:pPr>
      <w:r>
        <w:rPr>
          <w:rFonts w:ascii="宋体" w:hAnsi="宋体" w:cs="宋体" w:hint="eastAsia"/>
          <w:kern w:val="0"/>
          <w:szCs w:val="21"/>
        </w:rPr>
        <w:t>37.3.2分项评分超出评分标准范围的；</w:t>
      </w:r>
    </w:p>
    <w:p>
      <w:pPr>
        <w:spacing w:line="360" w:lineRule="auto"/>
        <w:ind w:firstLine="412" w:firstLineChars="196"/>
        <w:rPr>
          <w:rFonts w:ascii="宋体" w:hAnsi="宋体" w:cs="宋体"/>
          <w:kern w:val="0"/>
          <w:szCs w:val="21"/>
        </w:rPr>
      </w:pPr>
      <w:r>
        <w:rPr>
          <w:rFonts w:ascii="宋体" w:hAnsi="宋体" w:cs="宋体" w:hint="eastAsia"/>
          <w:kern w:val="0"/>
          <w:szCs w:val="21"/>
        </w:rPr>
        <w:t>37.3.3评审委员会成员对客观评审因素评分不一致的；</w:t>
      </w:r>
    </w:p>
    <w:p>
      <w:pPr>
        <w:spacing w:line="360" w:lineRule="auto"/>
        <w:ind w:firstLine="412" w:firstLineChars="196"/>
        <w:rPr>
          <w:rFonts w:ascii="宋体" w:hAnsi="宋体" w:cs="宋体"/>
          <w:kern w:val="0"/>
          <w:szCs w:val="21"/>
        </w:rPr>
      </w:pPr>
      <w:r>
        <w:rPr>
          <w:rFonts w:ascii="宋体" w:hAnsi="宋体" w:cs="宋体" w:hint="eastAsia"/>
          <w:kern w:val="0"/>
          <w:szCs w:val="21"/>
        </w:rPr>
        <w:t>37.3.4经评审委员会认定评分畸高、畸低的。</w:t>
      </w:r>
    </w:p>
    <w:p>
      <w:pPr>
        <w:spacing w:line="360" w:lineRule="auto"/>
        <w:ind w:firstLine="412" w:firstLineChars="196"/>
        <w:rPr>
          <w:rFonts w:ascii="宋体" w:hAnsi="宋体" w:cs="宋体"/>
          <w:kern w:val="0"/>
          <w:szCs w:val="21"/>
        </w:rPr>
      </w:pPr>
      <w:r>
        <w:rPr>
          <w:rFonts w:ascii="宋体" w:hAnsi="宋体" w:cs="宋体" w:hint="eastAsia"/>
          <w:kern w:val="0"/>
          <w:szCs w:val="21"/>
        </w:rPr>
        <w:t>评审报告签署前，经复核发现存在以上情形之一的，评审委员会应当当场修改评审结果，并进行书面记载；评审报告签署后，采购人或者采购代理机构发现存在以上情形之一的，应当组织原评审委员会进行重新评审，重新评审改变评审结果的，书面报告本级财政部门。</w:t>
      </w:r>
    </w:p>
    <w:p>
      <w:pPr>
        <w:spacing w:line="360" w:lineRule="auto"/>
        <w:ind w:firstLine="412" w:firstLineChars="196"/>
        <w:rPr>
          <w:rFonts w:ascii="宋体" w:hAnsi="宋体" w:cs="宋体"/>
          <w:kern w:val="0"/>
          <w:szCs w:val="21"/>
        </w:rPr>
      </w:pPr>
      <w:r>
        <w:rPr>
          <w:rFonts w:ascii="宋体" w:hAnsi="宋体" w:cs="宋体" w:hint="eastAsia"/>
          <w:kern w:val="0"/>
          <w:szCs w:val="21"/>
        </w:rPr>
        <w:t>投标人对本条第一款情形提出质疑的，采购人或者采购代理机构可以组织原评审委员会进行重新评审，重新评审改变评审结果的，应当书面报告本级财政部门。</w:t>
      </w:r>
    </w:p>
    <w:p>
      <w:pPr>
        <w:spacing w:line="360" w:lineRule="auto"/>
        <w:ind w:firstLine="412" w:firstLineChars="196"/>
        <w:rPr>
          <w:rFonts w:ascii="宋体" w:hAnsi="宋体"/>
          <w:b/>
          <w:bCs/>
          <w:szCs w:val="21"/>
        </w:rPr>
      </w:pPr>
      <w:r>
        <w:rPr>
          <w:rFonts w:ascii="宋体" w:hAnsi="宋体" w:hint="eastAsia"/>
          <w:b/>
          <w:bCs/>
          <w:szCs w:val="21"/>
        </w:rPr>
        <w:t>37.4重新组建评审委员会的情形</w:t>
      </w:r>
    </w:p>
    <w:p>
      <w:pPr>
        <w:spacing w:line="360" w:lineRule="auto"/>
        <w:ind w:firstLine="412" w:firstLineChars="196"/>
        <w:rPr>
          <w:rFonts w:ascii="宋体" w:hAnsi="宋体" w:cs="宋体"/>
          <w:kern w:val="0"/>
          <w:szCs w:val="21"/>
        </w:rPr>
      </w:pPr>
      <w:r>
        <w:rPr>
          <w:rFonts w:ascii="宋体" w:hAnsi="宋体" w:cs="宋体" w:hint="eastAsia"/>
          <w:kern w:val="0"/>
          <w:szCs w:val="21"/>
        </w:rPr>
        <w:t>评审委员会或者其成员存在下列情形导致评审结果无效的，重新组建评审委员会进行评标，并书面报告本级财政部门：</w:t>
      </w:r>
    </w:p>
    <w:p>
      <w:pPr>
        <w:spacing w:line="360" w:lineRule="auto"/>
        <w:ind w:firstLine="412" w:firstLineChars="196"/>
        <w:rPr>
          <w:rFonts w:ascii="宋体" w:hAnsi="宋体" w:cs="宋体"/>
          <w:kern w:val="0"/>
          <w:szCs w:val="21"/>
        </w:rPr>
      </w:pPr>
      <w:r>
        <w:rPr>
          <w:rFonts w:ascii="宋体" w:hAnsi="宋体" w:cs="宋体" w:hint="eastAsia"/>
          <w:kern w:val="0"/>
          <w:szCs w:val="21"/>
        </w:rPr>
        <w:t>37.4.1评审委员会组成不符合《政府采购货物和服务招标投标管理办法》规定的；</w:t>
      </w:r>
    </w:p>
    <w:p>
      <w:pPr>
        <w:spacing w:line="360" w:lineRule="auto"/>
        <w:ind w:firstLine="412" w:firstLineChars="196"/>
        <w:rPr>
          <w:rFonts w:ascii="宋体" w:hAnsi="宋体" w:cs="宋体"/>
          <w:kern w:val="0"/>
          <w:szCs w:val="21"/>
        </w:rPr>
      </w:pPr>
      <w:r>
        <w:rPr>
          <w:rFonts w:ascii="宋体" w:hAnsi="宋体" w:cs="宋体" w:hint="eastAsia"/>
          <w:kern w:val="0"/>
          <w:szCs w:val="21"/>
        </w:rPr>
        <w:t>37.4.2有《政府采购货物和服务招标投标管理办法》第六十二条第一至五项情形的；</w:t>
      </w:r>
    </w:p>
    <w:p>
      <w:pPr>
        <w:spacing w:line="360" w:lineRule="auto"/>
        <w:ind w:firstLine="412" w:firstLineChars="196"/>
        <w:rPr>
          <w:rFonts w:ascii="宋体" w:hAnsi="宋体" w:cs="宋体"/>
          <w:kern w:val="0"/>
          <w:szCs w:val="21"/>
        </w:rPr>
      </w:pPr>
      <w:r>
        <w:rPr>
          <w:rFonts w:ascii="宋体" w:hAnsi="宋体" w:cs="宋体" w:hint="eastAsia"/>
          <w:kern w:val="0"/>
          <w:szCs w:val="21"/>
        </w:rPr>
        <w:t>37.4.3评审委员会及其成员独立评标受到非法干预的；</w:t>
      </w:r>
    </w:p>
    <w:p>
      <w:pPr>
        <w:spacing w:line="360" w:lineRule="auto"/>
        <w:ind w:firstLine="412" w:firstLineChars="196"/>
        <w:rPr>
          <w:rFonts w:ascii="宋体" w:hAnsi="宋体" w:cs="宋体"/>
          <w:kern w:val="0"/>
          <w:szCs w:val="21"/>
        </w:rPr>
      </w:pPr>
      <w:r>
        <w:rPr>
          <w:rFonts w:ascii="宋体" w:hAnsi="宋体" w:cs="宋体" w:hint="eastAsia"/>
          <w:kern w:val="0"/>
          <w:szCs w:val="21"/>
        </w:rPr>
        <w:t>37.4.4有政府采购法实施条例第七十五条规定的违法行为的。</w:t>
      </w:r>
    </w:p>
    <w:p>
      <w:pPr>
        <w:spacing w:line="360" w:lineRule="auto"/>
        <w:ind w:firstLine="412" w:firstLineChars="196"/>
        <w:rPr>
          <w:rFonts w:ascii="宋体" w:hAnsi="宋体"/>
          <w:szCs w:val="21"/>
        </w:rPr>
      </w:pPr>
      <w:r>
        <w:rPr>
          <w:rFonts w:ascii="宋体" w:hAnsi="宋体" w:cs="宋体" w:hint="eastAsia"/>
          <w:kern w:val="0"/>
          <w:szCs w:val="21"/>
        </w:rPr>
        <w:t>有违法违规行为的原评审委员会成员不得参加重新组建的评审委员会。</w:t>
      </w:r>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定标及公示</w:t>
      </w:r>
    </w:p>
    <w:p>
      <w:pPr>
        <w:spacing w:line="360" w:lineRule="auto"/>
        <w:rPr>
          <w:rFonts w:ascii="黑体" w:eastAsia="黑体" w:hAnsi="宋体"/>
          <w:sz w:val="24"/>
        </w:rPr>
      </w:pPr>
      <w:r>
        <w:rPr>
          <w:rFonts w:ascii="黑体" w:eastAsia="黑体" w:hAnsi="宋体" w:hint="eastAsia"/>
          <w:sz w:val="24"/>
        </w:rPr>
        <w:t>38．定标方法</w:t>
      </w:r>
    </w:p>
    <w:p>
      <w:pPr>
        <w:spacing w:line="360" w:lineRule="auto"/>
        <w:ind w:firstLine="412" w:firstLineChars="196"/>
        <w:rPr>
          <w:rFonts w:ascii="宋体" w:hAnsi="宋体"/>
          <w:szCs w:val="21"/>
        </w:rPr>
      </w:pPr>
      <w:r>
        <w:rPr>
          <w:rFonts w:ascii="宋体" w:hAnsi="宋体" w:hint="eastAsia"/>
          <w:szCs w:val="21"/>
        </w:rPr>
        <w:t>38.1非评定分离项目定标方法</w:t>
      </w:r>
    </w:p>
    <w:p>
      <w:pPr>
        <w:spacing w:line="360" w:lineRule="auto"/>
        <w:ind w:firstLine="412" w:firstLineChars="196"/>
        <w:rPr>
          <w:rFonts w:ascii="宋体" w:hAnsi="宋体"/>
          <w:szCs w:val="21"/>
        </w:rPr>
      </w:pPr>
      <w:r>
        <w:rPr>
          <w:rFonts w:ascii="宋体" w:hAnsi="宋体" w:hint="eastAsia"/>
          <w:szCs w:val="21"/>
        </w:rPr>
        <w:t>38</w:t>
      </w:r>
      <w:r>
        <w:rPr>
          <w:rFonts w:ascii="宋体" w:hAnsi="宋体"/>
          <w:szCs w:val="21"/>
        </w:rPr>
        <w:t>.</w:t>
      </w:r>
      <w:r>
        <w:rPr>
          <w:rFonts w:ascii="宋体" w:hAnsi="宋体" w:hint="eastAsia"/>
          <w:szCs w:val="21"/>
        </w:rPr>
        <w:t>1.1评审委员会依据本项目招标文件所约定的评审方法进行评审和比较，向政府集中采购机构提交书面评审报告，并根据评审方法比较评价结果从优到劣进行排序，确定候选中标供应商。</w:t>
      </w:r>
    </w:p>
    <w:p>
      <w:pPr>
        <w:spacing w:line="360" w:lineRule="auto"/>
        <w:ind w:firstLine="412" w:firstLineChars="196"/>
        <w:rPr>
          <w:rFonts w:ascii="ˎ̥" w:hAnsi="ˎ̥"/>
        </w:rPr>
      </w:pPr>
      <w:r>
        <w:rPr>
          <w:rFonts w:ascii="宋体" w:hAnsi="宋体" w:hint="eastAsia"/>
          <w:szCs w:val="21"/>
        </w:rPr>
        <w:t>38</w:t>
      </w:r>
      <w:r>
        <w:rPr>
          <w:rFonts w:ascii="宋体" w:hAnsi="宋体"/>
          <w:szCs w:val="21"/>
        </w:rPr>
        <w:t>.</w:t>
      </w:r>
      <w:r>
        <w:rPr>
          <w:rFonts w:ascii="宋体" w:hAnsi="宋体" w:hint="eastAsia"/>
          <w:szCs w:val="21"/>
        </w:rPr>
        <w:t>1.2</w:t>
      </w:r>
      <w:r>
        <w:rPr>
          <w:rFonts w:ascii="ˎ̥" w:hAnsi="ˎ̥"/>
        </w:rPr>
        <w:t>采用最低价法的，评</w:t>
      </w:r>
      <w:r>
        <w:rPr>
          <w:rFonts w:ascii="ˎ̥" w:hAnsi="ˎ̥" w:hint="eastAsia"/>
        </w:rPr>
        <w:t>审</w:t>
      </w:r>
      <w:r>
        <w:rPr>
          <w:rFonts w:ascii="ˎ̥" w:hAnsi="ˎ̥"/>
        </w:rPr>
        <w:t>结果按投标报价由低到高顺序排列。投标报价相同的并列。投标文件满足招标文件全部实质性要求且投标报价最低的</w:t>
      </w:r>
      <w:r>
        <w:rPr>
          <w:rFonts w:ascii="ˎ̥" w:hAnsi="ˎ̥" w:hint="eastAsia"/>
        </w:rPr>
        <w:t>投标人为中标供应商</w:t>
      </w:r>
      <w:r>
        <w:rPr>
          <w:rFonts w:ascii="ˎ̥" w:hAnsi="ˎ̥"/>
        </w:rPr>
        <w:t>（</w:t>
      </w:r>
      <w:r>
        <w:rPr>
          <w:rFonts w:ascii="ˎ̥" w:hAnsi="ˎ̥" w:hint="eastAsia"/>
        </w:rPr>
        <w:t>排名</w:t>
      </w:r>
      <w:r>
        <w:rPr>
          <w:rFonts w:ascii="ˎ̥" w:hAnsi="ˎ̥"/>
        </w:rPr>
        <w:t>第二</w:t>
      </w:r>
      <w:r>
        <w:rPr>
          <w:rFonts w:ascii="ˎ̥" w:hAnsi="ˎ̥" w:hint="eastAsia"/>
        </w:rPr>
        <w:t>的投标人为第一替补中标候选人、排名</w:t>
      </w:r>
      <w:r>
        <w:rPr>
          <w:rFonts w:ascii="ˎ̥" w:hAnsi="ˎ̥"/>
        </w:rPr>
        <w:t>第</w:t>
      </w:r>
      <w:r>
        <w:rPr>
          <w:rFonts w:ascii="ˎ̥" w:hAnsi="ˎ̥" w:hint="eastAsia"/>
        </w:rPr>
        <w:t>三的投标人为第二替补中标候选人</w:t>
      </w:r>
      <w:r>
        <w:rPr>
          <w:rFonts w:ascii="ˎ̥" w:hAnsi="ˎ̥"/>
        </w:rPr>
        <w:t>）。</w:t>
      </w:r>
    </w:p>
    <w:p>
      <w:pPr>
        <w:spacing w:line="360" w:lineRule="auto"/>
        <w:ind w:firstLine="412" w:firstLineChars="196"/>
        <w:rPr>
          <w:rFonts w:ascii="ˎ̥" w:hAnsi="ˎ̥"/>
        </w:rPr>
      </w:pPr>
      <w:r>
        <w:rPr>
          <w:rFonts w:ascii="宋体" w:hAnsi="宋体" w:hint="eastAsia"/>
          <w:szCs w:val="21"/>
        </w:rPr>
        <w:t>38</w:t>
      </w:r>
      <w:r>
        <w:rPr>
          <w:rFonts w:ascii="宋体" w:hAnsi="宋体"/>
          <w:szCs w:val="21"/>
        </w:rPr>
        <w:t>.</w:t>
      </w:r>
      <w:r>
        <w:rPr>
          <w:rFonts w:ascii="宋体" w:hAnsi="宋体" w:hint="eastAsia"/>
          <w:szCs w:val="21"/>
        </w:rPr>
        <w:t>1.3</w:t>
      </w:r>
      <w:r>
        <w:rPr>
          <w:rFonts w:ascii="宋体" w:hAnsi="宋体"/>
          <w:szCs w:val="21"/>
        </w:rPr>
        <w:t>采</w:t>
      </w:r>
      <w:r>
        <w:rPr>
          <w:rFonts w:ascii="ˎ̥" w:hAnsi="ˎ̥"/>
        </w:rPr>
        <w:t>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w:t>
      </w:r>
      <w:r>
        <w:rPr>
          <w:rFonts w:ascii="ˎ̥" w:hAnsi="ˎ̥" w:hint="eastAsia"/>
        </w:rPr>
        <w:t>为中标供应商</w:t>
      </w:r>
      <w:r>
        <w:rPr>
          <w:rFonts w:ascii="ˎ̥" w:hAnsi="ˎ̥"/>
        </w:rPr>
        <w:t>（</w:t>
      </w:r>
      <w:r>
        <w:rPr>
          <w:rFonts w:ascii="ˎ̥" w:hAnsi="ˎ̥" w:hint="eastAsia"/>
        </w:rPr>
        <w:t>排名</w:t>
      </w:r>
      <w:r>
        <w:rPr>
          <w:rFonts w:ascii="ˎ̥" w:hAnsi="ˎ̥"/>
        </w:rPr>
        <w:t>第二</w:t>
      </w:r>
      <w:r>
        <w:rPr>
          <w:rFonts w:ascii="ˎ̥" w:hAnsi="ˎ̥" w:hint="eastAsia"/>
        </w:rPr>
        <w:t>的投标人为第一替补中标候选人、排名</w:t>
      </w:r>
      <w:r>
        <w:rPr>
          <w:rFonts w:ascii="ˎ̥" w:hAnsi="ˎ̥"/>
        </w:rPr>
        <w:t>第</w:t>
      </w:r>
      <w:r>
        <w:rPr>
          <w:rFonts w:ascii="ˎ̥" w:hAnsi="ˎ̥" w:hint="eastAsia"/>
        </w:rPr>
        <w:t>三的投标人为第二替补中标候选人</w:t>
      </w:r>
      <w:r>
        <w:rPr>
          <w:rFonts w:ascii="ˎ̥" w:hAnsi="ˎ̥"/>
        </w:rPr>
        <w:t>）。</w:t>
      </w:r>
      <w:r>
        <w:rPr>
          <w:rFonts w:ascii="ˎ̥" w:hAnsi="ˎ̥" w:hint="eastAsia"/>
        </w:rPr>
        <w:t>出现</w:t>
      </w:r>
      <w:r>
        <w:rPr>
          <w:rFonts w:ascii="ˎ̥" w:hAnsi="ˎ̥"/>
        </w:rPr>
        <w:t>得分且投标报价相同的并列</w:t>
      </w:r>
      <w:r>
        <w:rPr>
          <w:rFonts w:ascii="ˎ̥" w:hAnsi="ˎ̥" w:hint="eastAsia"/>
        </w:rPr>
        <w:t>情况时，采取随机抽取的方式确定，具体操作办法及流程由评审委员会确定。</w:t>
      </w:r>
    </w:p>
    <w:p>
      <w:pPr>
        <w:spacing w:line="360" w:lineRule="auto"/>
        <w:ind w:firstLine="412" w:firstLineChars="196"/>
        <w:rPr>
          <w:rFonts w:ascii="宋体" w:hAnsi="宋体"/>
          <w:szCs w:val="21"/>
        </w:rPr>
      </w:pPr>
      <w:r>
        <w:rPr>
          <w:rFonts w:ascii="宋体" w:hAnsi="宋体" w:hint="eastAsia"/>
          <w:szCs w:val="21"/>
        </w:rPr>
        <w:t>38.2评定分离项目定标方法</w:t>
      </w:r>
    </w:p>
    <w:p>
      <w:pPr>
        <w:spacing w:line="360" w:lineRule="auto"/>
        <w:ind w:firstLine="412" w:firstLineChars="196"/>
        <w:rPr>
          <w:rFonts w:ascii="宋体" w:hAnsi="宋体"/>
          <w:szCs w:val="21"/>
        </w:rPr>
      </w:pPr>
      <w:r>
        <w:rPr>
          <w:rFonts w:ascii="宋体" w:hAnsi="宋体" w:hint="eastAsia"/>
          <w:szCs w:val="21"/>
        </w:rPr>
        <w:t>38.2.1评定分离是指在政府集中采购程序中，以公开招标方式执行采购，评审委员会负责对投标文件进行评审、推荐候选中标供应商并出具书面评审报告，由采购人根据评审委员会出具的评审报告从推荐的候选中标供应商中确定中标供应商。单个项目需要确定多家中标供应商的，不适用评定分离。</w:t>
      </w:r>
    </w:p>
    <w:p>
      <w:pPr>
        <w:spacing w:line="360" w:lineRule="auto"/>
        <w:ind w:firstLine="412" w:firstLineChars="196"/>
      </w:pPr>
      <w:r>
        <w:rPr>
          <w:rFonts w:ascii="宋体" w:hAnsi="宋体"/>
          <w:szCs w:val="21"/>
        </w:rPr>
        <w:t xml:space="preserve">38.2.2 </w:t>
      </w:r>
      <w:bookmarkStart w:id="69" w:name="_Hlk71469733"/>
      <w:r>
        <w:t>适用评定分离的政府采购项目，采用综合评分法评</w:t>
      </w:r>
      <w:r>
        <w:rPr>
          <w:rFonts w:hint="eastAsia"/>
        </w:rPr>
        <w:t>审。</w:t>
      </w:r>
      <w:r>
        <w:rPr>
          <w:rFonts w:ascii="宋体" w:hAnsi="宋体" w:hint="eastAsia"/>
          <w:szCs w:val="21"/>
        </w:rPr>
        <w:t>评审委员会按照评审结果，推荐</w:t>
      </w:r>
      <w:r>
        <w:t>三个合格的候选中标供应商。</w:t>
      </w:r>
    </w:p>
    <w:p>
      <w:pPr>
        <w:spacing w:line="360" w:lineRule="auto"/>
        <w:ind w:firstLine="412" w:firstLineChars="196"/>
        <w:rPr>
          <w:rFonts w:ascii="宋体" w:hAnsi="宋体"/>
          <w:szCs w:val="21"/>
        </w:rPr>
      </w:pPr>
      <w:r>
        <w:rPr>
          <w:rFonts w:ascii="宋体" w:hAnsi="宋体" w:hint="eastAsia"/>
          <w:szCs w:val="21"/>
        </w:rPr>
        <w:t>38.2.3</w:t>
      </w:r>
      <w:bookmarkStart w:id="70" w:name="_Hlk71469688"/>
      <w:r>
        <w:t>适用评定分离的政府采购项目，</w:t>
      </w:r>
      <w:r>
        <w:rPr>
          <w:rFonts w:ascii="宋体" w:hAnsi="宋体" w:hint="eastAsia"/>
          <w:szCs w:val="21"/>
        </w:rPr>
        <w:t>按照自定法确定中标供应商：自定法是指采购人组织定标委员会，由定标委员会在三家候选中标供应商中确定中标供应商。</w:t>
      </w:r>
      <w:bookmarkEnd w:id="69"/>
      <w:bookmarkEnd w:id="70"/>
    </w:p>
    <w:p>
      <w:pPr>
        <w:spacing w:line="360" w:lineRule="auto"/>
        <w:ind w:firstLine="412" w:firstLineChars="196"/>
        <w:rPr>
          <w:rFonts w:ascii="宋体" w:hAnsi="宋体"/>
          <w:szCs w:val="21"/>
        </w:rPr>
      </w:pPr>
      <w:r>
        <w:rPr>
          <w:rFonts w:ascii="宋体" w:hAnsi="宋体"/>
          <w:szCs w:val="21"/>
        </w:rPr>
        <w:t>38.2.4</w:t>
      </w:r>
      <w:r>
        <w:rPr>
          <w:rFonts w:ascii="宋体" w:hAnsi="宋体" w:hint="eastAsia"/>
          <w:szCs w:val="21"/>
        </w:rPr>
        <w:t>政府集中采购机构</w:t>
      </w:r>
      <w:r>
        <w:t>应当自评审结束之日起两个工作日内将候选中标供应商名单及其投标文件、评审报告送交采购人</w:t>
      </w:r>
      <w:r>
        <w:rPr>
          <w:rFonts w:ascii="宋体" w:hAnsi="宋体" w:hint="eastAsia"/>
          <w:szCs w:val="21"/>
        </w:rPr>
        <w:t>。</w:t>
      </w:r>
      <w:r>
        <w:t>采购人应当安排专人对定标过程进行书面记录，形成定标报告，作为采购文件的组成部分存档，并及时将定标结果反馈</w:t>
      </w:r>
      <w:r>
        <w:rPr>
          <w:rFonts w:hint="eastAsia"/>
        </w:rPr>
        <w:t>政府集中采购机构。具体定标程序及相关要求以按照《深圳市财政局关于</w:t>
      </w:r>
      <w:r>
        <w:rPr>
          <w:rFonts w:ascii="Times New Roman" w:eastAsia="宋体" w:hint="eastAsia"/>
          <w:lang w:val="en-US" w:eastAsia="zh-CN"/>
        </w:rPr>
        <w:t>&lt;</w:t>
      </w:r>
      <w:r>
        <w:rPr>
          <w:rFonts w:hint="eastAsia"/>
        </w:rPr>
        <w:t>深圳市政府采购评标定标分离管理办法</w:t>
      </w:r>
      <w:r>
        <w:rPr>
          <w:rFonts w:ascii="Times New Roman" w:eastAsia="宋体" w:hint="eastAsia"/>
          <w:lang w:val="en-US" w:eastAsia="zh-CN"/>
        </w:rPr>
        <w:t>&gt;</w:t>
      </w:r>
      <w:r>
        <w:rPr>
          <w:rFonts w:hint="eastAsia"/>
        </w:rPr>
        <w:t>续期的通知》（深财规〔2023〕1号）执行。</w:t>
      </w:r>
    </w:p>
    <w:p>
      <w:pPr>
        <w:spacing w:line="360" w:lineRule="auto"/>
        <w:ind w:firstLine="412" w:firstLineChars="196"/>
        <w:rPr>
          <w:rFonts w:ascii="宋体" w:hAnsi="宋体"/>
          <w:szCs w:val="21"/>
        </w:rPr>
      </w:pPr>
      <w:r>
        <w:rPr>
          <w:rFonts w:ascii="宋体" w:hAnsi="宋体" w:hint="eastAsia"/>
          <w:szCs w:val="21"/>
        </w:rPr>
        <w:t>说明：采购人及投标供应商应按照上述方法提前做好相关准备。</w:t>
      </w:r>
    </w:p>
    <w:p>
      <w:pPr>
        <w:spacing w:line="360" w:lineRule="auto"/>
        <w:ind w:firstLine="412" w:firstLineChars="196"/>
        <w:rPr>
          <w:rFonts w:ascii="宋体" w:hAnsi="宋体"/>
          <w:szCs w:val="21"/>
        </w:rPr>
      </w:pPr>
      <w:r>
        <w:rPr>
          <w:rFonts w:ascii="宋体" w:hAnsi="宋体" w:hint="eastAsia"/>
          <w:szCs w:val="21"/>
        </w:rPr>
        <w:t>38.3专用条款另有规定的，按专用条款相关要求定标。</w:t>
      </w:r>
    </w:p>
    <w:p>
      <w:pPr>
        <w:spacing w:line="360" w:lineRule="auto"/>
        <w:rPr>
          <w:rFonts w:ascii="黑体" w:eastAsia="黑体" w:hAnsi="宋体"/>
          <w:sz w:val="24"/>
        </w:rPr>
      </w:pPr>
      <w:r>
        <w:rPr>
          <w:rFonts w:ascii="黑体" w:eastAsia="黑体" w:hAnsi="宋体" w:hint="eastAsia"/>
          <w:sz w:val="24"/>
        </w:rPr>
        <w:t>39．编写评审报告</w:t>
      </w:r>
    </w:p>
    <w:p>
      <w:pPr>
        <w:spacing w:line="360" w:lineRule="auto"/>
        <w:ind w:firstLine="412" w:firstLineChars="196"/>
        <w:rPr>
          <w:rFonts w:ascii="宋体" w:hAnsi="宋体"/>
          <w:szCs w:val="21"/>
        </w:rPr>
      </w:pPr>
      <w:r>
        <w:rPr>
          <w:rFonts w:ascii="宋体" w:hAnsi="宋体" w:hint="eastAsia"/>
          <w:szCs w:val="21"/>
        </w:rPr>
        <w:t>评审报告是评审委员会根据全体评标成员签字的原始评审记录和评审结果编写的报告，评审报告由评审委员会全体成员签字。对评审结论持有异议的评审委员会成员可以书面方式阐述其不同意见和理由。评审委员会成员拒绝在评审报告上签字且不陈述其不同意见和理由的，视为同意评审结论。评审委员会应当对此作出书面说明并记录存档。</w:t>
      </w:r>
    </w:p>
    <w:p>
      <w:pPr>
        <w:spacing w:line="360" w:lineRule="auto"/>
        <w:rPr>
          <w:rFonts w:ascii="黑体" w:eastAsia="黑体" w:hAnsi="宋体"/>
          <w:sz w:val="24"/>
        </w:rPr>
      </w:pPr>
      <w:r>
        <w:rPr>
          <w:rFonts w:ascii="黑体" w:eastAsia="黑体" w:hAnsi="宋体" w:hint="eastAsia"/>
          <w:sz w:val="24"/>
        </w:rPr>
        <w:t>40．中标公告</w:t>
      </w:r>
    </w:p>
    <w:p>
      <w:pPr>
        <w:spacing w:line="360" w:lineRule="auto"/>
        <w:ind w:firstLine="412" w:firstLineChars="196"/>
        <w:rPr>
          <w:rFonts w:ascii="宋体" w:hAnsi="宋体"/>
          <w:szCs w:val="21"/>
        </w:rPr>
      </w:pPr>
      <w:r>
        <w:rPr>
          <w:rFonts w:ascii="宋体" w:hAnsi="宋体" w:hint="eastAsia"/>
          <w:szCs w:val="21"/>
        </w:rPr>
        <w:t>40.1</w:t>
      </w:r>
      <w:bookmarkStart w:id="71" w:name="_Hlk72438709"/>
      <w:r>
        <w:rPr>
          <w:rFonts w:ascii="宋体" w:hAnsi="宋体" w:hint="eastAsia"/>
          <w:szCs w:val="21"/>
        </w:rPr>
        <w:t>为体现“公开、公平、公正”的原则，评审结束后经采购人确认（确定）评审结果，政府集中采购机构将在</w:t>
      </w:r>
      <w:r>
        <w:rPr>
          <w:rFonts w:ascii="宋体" w:hAnsi="宋体" w:hint="eastAsia"/>
          <w:b/>
          <w:bCs/>
          <w:szCs w:val="21"/>
        </w:rPr>
        <w:t>“深圳公共资源交易网（https://szggzy.com/）”</w:t>
      </w:r>
      <w:r>
        <w:rPr>
          <w:rFonts w:ascii="宋体" w:hAnsi="宋体" w:hint="eastAsia"/>
          <w:szCs w:val="21"/>
        </w:rPr>
        <w:t>上发布中标结果公告。</w:t>
      </w:r>
      <w:bookmarkEnd w:id="71"/>
      <w:bookmarkStart w:id="72" w:name="_Hlk72438751"/>
      <w:r>
        <w:rPr>
          <w:rFonts w:ascii="宋体" w:hAnsi="宋体" w:hint="eastAsia"/>
          <w:szCs w:val="21"/>
        </w:rPr>
        <w:t>供应商如对评审结果有异议，</w:t>
      </w:r>
      <w:r>
        <w:rPr>
          <w:rFonts w:ascii="宋体" w:hAnsi="宋体"/>
          <w:szCs w:val="21"/>
        </w:rPr>
        <w:t>可在发布公示日期起</w:t>
      </w:r>
      <w:r>
        <w:rPr>
          <w:rFonts w:ascii="宋体" w:hAnsi="宋体" w:hint="eastAsia"/>
          <w:szCs w:val="21"/>
        </w:rPr>
        <w:t>七</w:t>
      </w:r>
      <w:r>
        <w:rPr>
          <w:rFonts w:ascii="宋体" w:hAnsi="宋体"/>
          <w:szCs w:val="21"/>
        </w:rPr>
        <w:t>个工作日内向</w:t>
      </w:r>
      <w:r>
        <w:rPr>
          <w:rFonts w:ascii="宋体" w:hAnsi="宋体" w:hint="eastAsia"/>
          <w:szCs w:val="21"/>
        </w:rPr>
        <w:t>政府集中采购机构</w:t>
      </w:r>
      <w:r>
        <w:rPr>
          <w:rFonts w:ascii="宋体" w:hAnsi="宋体"/>
          <w:szCs w:val="21"/>
        </w:rPr>
        <w:t>提出。 监督电话：0755-83948143。</w:t>
      </w:r>
      <w:r>
        <w:rPr>
          <w:rFonts w:ascii="宋体" w:hAnsi="宋体" w:hint="eastAsia"/>
          <w:szCs w:val="21"/>
        </w:rPr>
        <w:t>若在公示期内未提出质疑，则视为认同该评审结果。</w:t>
      </w:r>
    </w:p>
    <w:p>
      <w:pPr>
        <w:spacing w:line="360" w:lineRule="auto"/>
        <w:ind w:firstLine="412" w:firstLineChars="196"/>
        <w:rPr>
          <w:rFonts w:ascii="宋体" w:hAnsi="宋体"/>
          <w:szCs w:val="21"/>
        </w:rPr>
      </w:pPr>
      <w:bookmarkEnd w:id="72"/>
      <w:r>
        <w:rPr>
          <w:rFonts w:ascii="宋体" w:hAnsi="宋体" w:hint="eastAsia"/>
          <w:szCs w:val="21"/>
        </w:rPr>
        <w:t>40.2质疑、投诉供应商应保证质疑、投诉内容的真实性和可靠性，并承担相应的法律责任。</w:t>
      </w:r>
    </w:p>
    <w:p>
      <w:pPr>
        <w:spacing w:line="360" w:lineRule="auto"/>
        <w:rPr>
          <w:rFonts w:ascii="黑体" w:eastAsia="黑体" w:hAnsi="宋体"/>
          <w:sz w:val="24"/>
        </w:rPr>
      </w:pPr>
      <w:r>
        <w:rPr>
          <w:rFonts w:ascii="黑体" w:eastAsia="黑体" w:hAnsi="宋体" w:hint="eastAsia"/>
          <w:sz w:val="24"/>
        </w:rPr>
        <w:t>41．中标通知书</w:t>
      </w:r>
    </w:p>
    <w:p>
      <w:pPr>
        <w:spacing w:line="360" w:lineRule="auto"/>
        <w:ind w:firstLine="412" w:firstLineChars="196"/>
        <w:rPr>
          <w:rFonts w:ascii="宋体" w:hAnsi="宋体"/>
          <w:szCs w:val="21"/>
        </w:rPr>
      </w:pPr>
      <w:r>
        <w:rPr>
          <w:rFonts w:ascii="宋体" w:hAnsi="宋体" w:hint="eastAsia"/>
          <w:szCs w:val="21"/>
        </w:rPr>
        <w:t>41</w:t>
      </w:r>
      <w:r>
        <w:rPr>
          <w:rFonts w:ascii="宋体" w:hAnsi="宋体"/>
          <w:szCs w:val="21"/>
        </w:rPr>
        <w:t>.</w:t>
      </w:r>
      <w:r>
        <w:rPr>
          <w:rFonts w:ascii="宋体" w:hAnsi="宋体" w:hint="eastAsia"/>
          <w:szCs w:val="21"/>
        </w:rPr>
        <w:t>1</w:t>
      </w:r>
      <w:bookmarkStart w:id="73" w:name="_Hlk72438863"/>
      <w:r>
        <w:rPr>
          <w:rFonts w:ascii="宋体" w:hAnsi="宋体" w:hint="eastAsia"/>
          <w:szCs w:val="21"/>
        </w:rPr>
        <w:t>中标公告公布以后无异常的情况下,中标供应商和采购人可自行在</w:t>
      </w:r>
      <w:r>
        <w:rPr>
          <w:rFonts w:ascii="宋体" w:hAnsi="宋体" w:hint="eastAsia"/>
          <w:b/>
          <w:bCs/>
          <w:szCs w:val="21"/>
        </w:rPr>
        <w:t>“深圳政府采购智慧平台（http://zfcg.szggzy.com/）”</w:t>
      </w:r>
      <w:r>
        <w:rPr>
          <w:rFonts w:ascii="宋体" w:hAnsi="宋体" w:hint="eastAsia"/>
          <w:szCs w:val="21"/>
        </w:rPr>
        <w:t>上打印</w:t>
      </w:r>
      <w:r>
        <w:rPr>
          <w:rFonts w:ascii="宋体" w:hAnsi="宋体" w:hint="eastAsia"/>
          <w:b/>
          <w:szCs w:val="21"/>
        </w:rPr>
        <w:t>《数字中标通知书》</w:t>
      </w:r>
      <w:r>
        <w:rPr>
          <w:rFonts w:ascii="宋体" w:hAnsi="宋体" w:hint="eastAsia"/>
          <w:szCs w:val="21"/>
        </w:rPr>
        <w:t>。</w:t>
      </w:r>
      <w:bookmarkEnd w:id="73"/>
    </w:p>
    <w:p>
      <w:pPr>
        <w:spacing w:line="360" w:lineRule="auto"/>
        <w:ind w:firstLine="412" w:firstLineChars="196"/>
        <w:rPr>
          <w:rFonts w:ascii="宋体" w:hAnsi="宋体"/>
          <w:szCs w:val="21"/>
        </w:rPr>
      </w:pPr>
      <w:r>
        <w:rPr>
          <w:rFonts w:ascii="宋体" w:hAnsi="宋体" w:hint="eastAsia"/>
          <w:szCs w:val="21"/>
        </w:rPr>
        <w:t>41</w:t>
      </w:r>
      <w:r>
        <w:rPr>
          <w:rFonts w:ascii="宋体" w:hAnsi="宋体"/>
          <w:szCs w:val="21"/>
        </w:rPr>
        <w:t>.2</w:t>
      </w:r>
      <w:r>
        <w:rPr>
          <w:rFonts w:ascii="宋体" w:hAnsi="宋体" w:hint="eastAsia"/>
          <w:szCs w:val="21"/>
        </w:rPr>
        <w:t>中标通知书是合同的重要组成部分。</w:t>
      </w:r>
    </w:p>
    <w:p>
      <w:pPr>
        <w:spacing w:line="360" w:lineRule="auto"/>
        <w:ind w:firstLine="412" w:firstLineChars="196"/>
        <w:rPr>
          <w:rFonts w:ascii="宋体" w:hAnsi="宋体"/>
          <w:szCs w:val="21"/>
        </w:rPr>
      </w:pPr>
      <w:bookmarkStart w:id="74" w:name="_Hlk71407340"/>
      <w:r>
        <w:rPr>
          <w:rFonts w:ascii="宋体" w:hAnsi="宋体" w:hint="eastAsia"/>
          <w:szCs w:val="21"/>
        </w:rPr>
        <w:t>41.3因质疑投诉或其它原因导致项目结果变更或采购终止的，政府集中采购机构有权吊销中标通知书。</w:t>
      </w:r>
    </w:p>
    <w:p>
      <w:pPr>
        <w:spacing w:line="360" w:lineRule="auto"/>
        <w:ind w:firstLine="412" w:firstLineChars="196"/>
        <w:rPr>
          <w:rFonts w:ascii="宋体" w:hAnsi="宋体"/>
          <w:szCs w:val="21"/>
        </w:rPr>
      </w:pPr>
      <w:bookmarkEnd w:id="74"/>
    </w:p>
    <w:p>
      <w:pPr>
        <w:pStyle w:val="Heading2"/>
        <w:numPr>
          <w:ilvl w:val="0"/>
          <w:numId w:val="42"/>
        </w:numPr>
        <w:spacing w:before="120" w:beforeLines="50" w:after="120" w:afterLines="50" w:line="360" w:lineRule="auto"/>
        <w:ind w:left="562" w:hanging="562"/>
        <w:rPr>
          <w:sz w:val="28"/>
          <w:szCs w:val="28"/>
        </w:rPr>
      </w:pPr>
      <w:r>
        <w:rPr>
          <w:rFonts w:hint="eastAsia"/>
          <w:sz w:val="28"/>
          <w:szCs w:val="28"/>
        </w:rPr>
        <w:t>公开招标失败的后续处理</w:t>
      </w:r>
    </w:p>
    <w:p>
      <w:pPr>
        <w:spacing w:line="360" w:lineRule="auto"/>
        <w:rPr>
          <w:rFonts w:ascii="黑体" w:eastAsia="黑体" w:hAnsi="宋体"/>
          <w:sz w:val="24"/>
        </w:rPr>
      </w:pPr>
      <w:r>
        <w:rPr>
          <w:rFonts w:ascii="黑体" w:eastAsia="黑体" w:hAnsi="宋体" w:hint="eastAsia"/>
          <w:sz w:val="24"/>
        </w:rPr>
        <w:t>42．公开招标失败的处理</w:t>
      </w:r>
    </w:p>
    <w:p>
      <w:pPr>
        <w:spacing w:line="360" w:lineRule="auto"/>
        <w:ind w:firstLine="412" w:firstLineChars="196"/>
        <w:rPr>
          <w:rFonts w:ascii="宋体" w:hAnsi="宋体"/>
        </w:rPr>
      </w:pPr>
      <w:r>
        <w:rPr>
          <w:rFonts w:ascii="宋体" w:hAnsi="宋体" w:hint="eastAsia"/>
          <w:szCs w:val="21"/>
        </w:rPr>
        <w:t>42.1本项目公开招标过程中若由于投标截止后</w:t>
      </w:r>
      <w:r>
        <w:rPr>
          <w:rFonts w:ascii="宋体" w:hAnsi="宋体" w:hint="eastAsia"/>
        </w:rPr>
        <w:t>实际递交</w:t>
      </w:r>
      <w:r>
        <w:rPr>
          <w:rFonts w:ascii="宋体" w:hAnsi="宋体"/>
        </w:rPr>
        <w:t>投标</w:t>
      </w:r>
      <w:r>
        <w:rPr>
          <w:rFonts w:ascii="宋体" w:hAnsi="宋体" w:hint="eastAsia"/>
        </w:rPr>
        <w:t>文件的供应商数量不足、经</w:t>
      </w:r>
      <w:r>
        <w:rPr>
          <w:rFonts w:ascii="宋体" w:hAnsi="宋体" w:hint="eastAsia"/>
          <w:szCs w:val="21"/>
        </w:rPr>
        <w:t>评审委员会</w:t>
      </w:r>
      <w:r>
        <w:rPr>
          <w:rFonts w:ascii="宋体" w:hAnsi="宋体" w:hint="eastAsia"/>
        </w:rPr>
        <w:t>评审对招标文件作实质响应的供应商不足等原因造成公开招标失败，可由</w:t>
      </w:r>
      <w:r>
        <w:rPr>
          <w:rFonts w:ascii="宋体" w:hAnsi="宋体" w:cs="宋体" w:hint="eastAsia"/>
        </w:rPr>
        <w:t>政府集中采购机构</w:t>
      </w:r>
      <w:r>
        <w:rPr>
          <w:rFonts w:ascii="宋体" w:hAnsi="宋体" w:hint="eastAsia"/>
        </w:rPr>
        <w:t>重新组织采购。</w:t>
      </w:r>
    </w:p>
    <w:p>
      <w:pPr>
        <w:spacing w:line="360" w:lineRule="auto"/>
        <w:ind w:firstLine="412" w:firstLineChars="196"/>
        <w:rPr>
          <w:rFonts w:ascii="宋体" w:hAnsi="宋体"/>
          <w:szCs w:val="21"/>
        </w:rPr>
      </w:pPr>
      <w:r>
        <w:rPr>
          <w:rFonts w:ascii="宋体" w:hAnsi="宋体" w:hint="eastAsia"/>
          <w:szCs w:val="21"/>
        </w:rPr>
        <w:t>42.2对公开招标失败的项目，评审委员会在出具该项目招标失败结论的同时，可以提出重新采购组织形式的建议，以及进一步完善招标文件的资格、技术、商务要求的修改建议。</w:t>
      </w:r>
    </w:p>
    <w:p>
      <w:pPr>
        <w:spacing w:line="360" w:lineRule="auto"/>
        <w:ind w:firstLine="412" w:firstLineChars="196"/>
        <w:rPr>
          <w:rFonts w:ascii="宋体" w:hAnsi="宋体"/>
          <w:szCs w:val="21"/>
        </w:rPr>
      </w:pPr>
      <w:r>
        <w:rPr>
          <w:rFonts w:ascii="宋体" w:hAnsi="宋体" w:hint="eastAsia"/>
          <w:szCs w:val="21"/>
        </w:rPr>
        <w:t>42.3重新组织采购有以下两种组织形式：</w:t>
      </w:r>
    </w:p>
    <w:p>
      <w:pPr>
        <w:spacing w:line="360" w:lineRule="auto"/>
        <w:ind w:firstLine="412" w:firstLineChars="196"/>
        <w:rPr>
          <w:rFonts w:ascii="宋体" w:hAnsi="宋体"/>
        </w:rPr>
      </w:pPr>
      <w:r>
        <w:rPr>
          <w:rFonts w:ascii="宋体" w:hAnsi="宋体" w:hint="eastAsia"/>
        </w:rPr>
        <w:t>（1）由政府集中采购机构重新组织公开招标；</w:t>
      </w:r>
    </w:p>
    <w:p>
      <w:pPr>
        <w:spacing w:line="360" w:lineRule="auto"/>
        <w:ind w:firstLine="412" w:firstLineChars="196"/>
        <w:rPr>
          <w:rFonts w:ascii="宋体" w:hAnsi="宋体"/>
        </w:rPr>
      </w:pPr>
      <w:r>
        <w:rPr>
          <w:rFonts w:ascii="宋体" w:hAnsi="宋体" w:hint="eastAsia"/>
        </w:rPr>
        <w:t>（2）根据实际情况需要向同级财政部门提出非公开招标方式申请，经同级财政部门批准，公开招标失败采购项目可转为竞争性谈判或单一来源谈判方式采购。</w:t>
      </w:r>
    </w:p>
    <w:p>
      <w:pPr>
        <w:spacing w:line="360" w:lineRule="auto"/>
        <w:ind w:firstLine="412" w:firstLineChars="196"/>
        <w:rPr>
          <w:rFonts w:ascii="宋体" w:hAnsi="宋体"/>
        </w:rPr>
      </w:pPr>
      <w:r>
        <w:rPr>
          <w:rFonts w:ascii="宋体" w:hAnsi="宋体" w:hint="eastAsia"/>
        </w:rPr>
        <w:t>42.4公开招标失败的采购项目重新组织公开招标，由政府集中采购机构重新按公开招标流程组织采购活动。</w:t>
      </w:r>
    </w:p>
    <w:p>
      <w:pPr>
        <w:spacing w:line="360" w:lineRule="auto"/>
        <w:rPr>
          <w:rFonts w:ascii="宋体" w:hAnsi="宋体"/>
        </w:rPr>
      </w:pPr>
      <w:r>
        <w:rPr>
          <w:rFonts w:ascii="黑体" w:eastAsia="黑体" w:hAnsi="宋体" w:hint="eastAsia"/>
          <w:sz w:val="24"/>
        </w:rPr>
        <w:t xml:space="preserve">    </w:t>
      </w:r>
      <w:r>
        <w:rPr>
          <w:rFonts w:ascii="宋体" w:hAnsi="宋体" w:hint="eastAsia"/>
        </w:rPr>
        <w:t>42.5公开招标失败的采购项目经同级财政部门批准转为竞争性谈判或单一来源谈判方式采购的，按规定要求组织政府采购工作。</w:t>
      </w:r>
    </w:p>
    <w:p>
      <w:pPr>
        <w:spacing w:line="360" w:lineRule="auto"/>
        <w:rPr>
          <w:rFonts w:ascii="黑体" w:eastAsia="黑体" w:hAnsi="宋体"/>
          <w:sz w:val="24"/>
        </w:rPr>
      </w:pPr>
    </w:p>
    <w:p>
      <w:pPr>
        <w:pStyle w:val="Heading2"/>
        <w:numPr>
          <w:ilvl w:val="0"/>
          <w:numId w:val="42"/>
        </w:numPr>
        <w:spacing w:before="120" w:beforeLines="50" w:after="120" w:afterLines="50" w:line="360" w:lineRule="auto"/>
        <w:ind w:left="562" w:hanging="562"/>
        <w:rPr>
          <w:sz w:val="28"/>
          <w:szCs w:val="28"/>
        </w:rPr>
      </w:pPr>
      <w:bookmarkStart w:id="75" w:name="_Hlk72439043"/>
      <w:r>
        <w:rPr>
          <w:rFonts w:hint="eastAsia"/>
          <w:sz w:val="28"/>
          <w:szCs w:val="28"/>
        </w:rPr>
        <w:t>合同的授予与备案</w:t>
      </w:r>
      <w:bookmarkEnd w:id="75"/>
    </w:p>
    <w:p>
      <w:pPr>
        <w:spacing w:line="360" w:lineRule="auto"/>
        <w:rPr>
          <w:rFonts w:ascii="黑体" w:eastAsia="黑体" w:hAnsi="宋体"/>
          <w:sz w:val="24"/>
        </w:rPr>
      </w:pPr>
      <w:bookmarkStart w:id="76" w:name="_Toc73517679"/>
      <w:bookmarkStart w:id="77" w:name="_Toc100052408"/>
      <w:bookmarkStart w:id="78" w:name="_Toc73521586"/>
      <w:bookmarkStart w:id="79" w:name="_Toc73518157"/>
      <w:bookmarkStart w:id="80" w:name="_Toc73521674"/>
      <w:bookmarkStart w:id="81" w:name="_Hlk72439088"/>
      <w:r>
        <w:rPr>
          <w:rFonts w:ascii="黑体" w:eastAsia="黑体" w:hAnsi="宋体" w:hint="eastAsia"/>
          <w:sz w:val="24"/>
        </w:rPr>
        <w:t>43．合同授予标准</w:t>
      </w:r>
      <w:bookmarkEnd w:id="76"/>
      <w:bookmarkEnd w:id="77"/>
      <w:bookmarkEnd w:id="78"/>
      <w:bookmarkEnd w:id="79"/>
      <w:bookmarkEnd w:id="80"/>
    </w:p>
    <w:p>
      <w:pPr>
        <w:spacing w:line="360" w:lineRule="auto"/>
        <w:ind w:firstLine="412" w:firstLineChars="196"/>
        <w:rPr>
          <w:rFonts w:ascii="宋体" w:hAnsi="宋体"/>
          <w:szCs w:val="21"/>
        </w:rPr>
      </w:pPr>
      <w:r>
        <w:rPr>
          <w:rFonts w:ascii="宋体" w:hAnsi="宋体" w:hint="eastAsia"/>
          <w:szCs w:val="21"/>
        </w:rPr>
        <w:t>本项目的合同将授予经本招标文件规定评审确定的中标供应商。</w:t>
      </w:r>
    </w:p>
    <w:p>
      <w:pPr>
        <w:spacing w:line="360" w:lineRule="auto"/>
        <w:rPr>
          <w:rFonts w:ascii="黑体" w:eastAsia="黑体" w:hAnsi="宋体"/>
          <w:sz w:val="24"/>
        </w:rPr>
      </w:pPr>
      <w:bookmarkStart w:id="82" w:name="_Toc73518158"/>
      <w:bookmarkStart w:id="83" w:name="_Toc73517680"/>
      <w:bookmarkStart w:id="84" w:name="_Toc100052409"/>
      <w:bookmarkStart w:id="85" w:name="_Toc73521587"/>
      <w:bookmarkStart w:id="86" w:name="_Toc73521675"/>
      <w:r>
        <w:rPr>
          <w:rFonts w:ascii="黑体" w:eastAsia="黑体" w:hAnsi="宋体" w:hint="eastAsia"/>
          <w:sz w:val="24"/>
        </w:rPr>
        <w:t>44．</w:t>
      </w:r>
      <w:bookmarkEnd w:id="82"/>
      <w:bookmarkEnd w:id="83"/>
      <w:bookmarkEnd w:id="84"/>
      <w:bookmarkEnd w:id="85"/>
      <w:bookmarkEnd w:id="86"/>
      <w:r>
        <w:rPr>
          <w:rFonts w:ascii="黑体" w:eastAsia="黑体" w:hAnsi="宋体" w:hint="eastAsia"/>
          <w:sz w:val="24"/>
        </w:rPr>
        <w:t>接受和拒绝任何或所有投标的权力</w:t>
      </w:r>
    </w:p>
    <w:p>
      <w:pPr>
        <w:spacing w:line="360" w:lineRule="auto"/>
        <w:ind w:firstLine="412" w:firstLineChars="196"/>
        <w:rPr>
          <w:rFonts w:ascii="宋体" w:hAnsi="宋体"/>
          <w:szCs w:val="21"/>
        </w:rPr>
      </w:pPr>
      <w:r>
        <w:rPr>
          <w:rFonts w:ascii="宋体" w:hAnsi="宋体" w:hint="eastAsia"/>
          <w:szCs w:val="21"/>
        </w:rPr>
        <w:t>政府集中采购机构和采购人保留在投标之前任何时候接受或拒绝任何投标或所有投标，以及宣布招标无效的权力，对受影响的投标人不承担任何责任，也无义务向受影响的投标人解释采取这一行动的理由。</w:t>
      </w:r>
    </w:p>
    <w:p>
      <w:pPr>
        <w:spacing w:line="360" w:lineRule="auto"/>
        <w:rPr>
          <w:rFonts w:ascii="黑体" w:eastAsia="黑体" w:hAnsi="宋体"/>
          <w:sz w:val="24"/>
        </w:rPr>
      </w:pPr>
      <w:bookmarkStart w:id="87" w:name="_Toc73517682"/>
      <w:bookmarkStart w:id="88" w:name="_Toc73521677"/>
      <w:bookmarkStart w:id="89" w:name="_Toc73521589"/>
      <w:bookmarkStart w:id="90" w:name="_Toc100052410"/>
      <w:bookmarkStart w:id="91" w:name="_Toc73518160"/>
      <w:r>
        <w:rPr>
          <w:rFonts w:ascii="黑体" w:eastAsia="黑体" w:hAnsi="宋体" w:hint="eastAsia"/>
          <w:sz w:val="24"/>
        </w:rPr>
        <w:t>45．合同的签订</w:t>
      </w:r>
      <w:bookmarkEnd w:id="87"/>
      <w:bookmarkEnd w:id="88"/>
      <w:bookmarkEnd w:id="89"/>
      <w:bookmarkEnd w:id="90"/>
      <w:bookmarkEnd w:id="91"/>
    </w:p>
    <w:p>
      <w:pPr>
        <w:spacing w:line="360" w:lineRule="auto"/>
        <w:ind w:firstLine="412" w:firstLineChars="196"/>
        <w:rPr>
          <w:rFonts w:ascii="宋体" w:hAnsi="宋体"/>
          <w:szCs w:val="21"/>
        </w:rPr>
      </w:pPr>
      <w:r>
        <w:rPr>
          <w:rFonts w:ascii="宋体" w:hAnsi="宋体" w:hint="eastAsia"/>
          <w:szCs w:val="21"/>
        </w:rPr>
        <w:t>45.1中标人将于中标通知书发出之日起十个工作日内，按照采购文件（招标文件和投标文件等）内容与采购人签订政府采购合同；合同的实质性内容应当符合招标文件的规定；</w:t>
      </w:r>
    </w:p>
    <w:p>
      <w:pPr>
        <w:spacing w:line="360" w:lineRule="auto"/>
        <w:ind w:firstLine="412" w:firstLineChars="196"/>
        <w:rPr>
          <w:rFonts w:ascii="宋体" w:hAnsi="宋体"/>
          <w:szCs w:val="21"/>
        </w:rPr>
      </w:pPr>
      <w:r>
        <w:rPr>
          <w:rFonts w:ascii="宋体" w:hAnsi="宋体" w:hint="eastAsia"/>
          <w:szCs w:val="21"/>
        </w:rPr>
        <w:t>45.2中标人如不按本通用条款第45</w:t>
      </w:r>
      <w:r>
        <w:rPr>
          <w:rFonts w:ascii="宋体" w:hAnsi="宋体"/>
          <w:szCs w:val="21"/>
        </w:rPr>
        <w:t>.1</w:t>
      </w:r>
      <w:r>
        <w:rPr>
          <w:rFonts w:ascii="宋体" w:hAnsi="宋体" w:hint="eastAsia"/>
          <w:szCs w:val="21"/>
        </w:rPr>
        <w:t>款的规定与采购人签订合同，</w:t>
      </w:r>
      <w:r>
        <w:rPr>
          <w:rFonts w:ascii="宋体" w:hAnsi="宋体" w:cs="宋体"/>
          <w:kern w:val="0"/>
          <w:szCs w:val="21"/>
        </w:rPr>
        <w:t>情节严重的，由</w:t>
      </w:r>
      <w:r>
        <w:rPr>
          <w:rFonts w:ascii="宋体" w:hAnsi="宋体" w:cs="宋体" w:hint="eastAsia"/>
          <w:kern w:val="0"/>
          <w:szCs w:val="21"/>
        </w:rPr>
        <w:t>同级财政</w:t>
      </w:r>
      <w:r>
        <w:rPr>
          <w:rFonts w:ascii="宋体" w:hAnsi="宋体" w:cs="宋体"/>
          <w:kern w:val="0"/>
          <w:szCs w:val="21"/>
        </w:rPr>
        <w:t>部门记入供应商诚信档案，予以通报</w:t>
      </w:r>
      <w:r>
        <w:rPr>
          <w:rFonts w:ascii="宋体" w:hAnsi="宋体" w:hint="eastAsia"/>
          <w:szCs w:val="21"/>
        </w:rPr>
        <w:t>；</w:t>
      </w:r>
    </w:p>
    <w:p>
      <w:pPr>
        <w:spacing w:line="360" w:lineRule="auto"/>
        <w:ind w:firstLine="412" w:firstLineChars="196"/>
        <w:rPr>
          <w:rFonts w:ascii="宋体" w:hAnsi="宋体"/>
          <w:szCs w:val="21"/>
        </w:rPr>
      </w:pPr>
      <w:r>
        <w:rPr>
          <w:rFonts w:ascii="宋体" w:hAnsi="宋体" w:hint="eastAsia"/>
          <w:szCs w:val="21"/>
        </w:rPr>
        <w:t>45.3中标人应当按照合同约定履行义务，完成中标项目，不得将中标项目转让（转包）给他人。</w:t>
      </w:r>
    </w:p>
    <w:p>
      <w:pPr>
        <w:spacing w:line="360" w:lineRule="auto"/>
        <w:rPr>
          <w:rFonts w:ascii="黑体" w:eastAsia="黑体" w:hAnsi="宋体"/>
          <w:sz w:val="24"/>
        </w:rPr>
      </w:pPr>
      <w:bookmarkStart w:id="92" w:name="_Toc73517683"/>
      <w:bookmarkStart w:id="93" w:name="_Toc73521678"/>
      <w:bookmarkStart w:id="94" w:name="_Toc100052411"/>
      <w:bookmarkStart w:id="95" w:name="_Toc73521590"/>
      <w:bookmarkStart w:id="96" w:name="_Toc73518161"/>
      <w:r>
        <w:rPr>
          <w:rFonts w:ascii="黑体" w:eastAsia="黑体" w:hAnsi="宋体" w:hint="eastAsia"/>
          <w:sz w:val="24"/>
        </w:rPr>
        <w:t>46．履约担保</w:t>
      </w:r>
      <w:bookmarkEnd w:id="92"/>
      <w:bookmarkEnd w:id="93"/>
      <w:bookmarkEnd w:id="94"/>
      <w:bookmarkEnd w:id="95"/>
      <w:bookmarkEnd w:id="96"/>
    </w:p>
    <w:p>
      <w:pPr>
        <w:spacing w:line="360" w:lineRule="auto"/>
        <w:ind w:firstLine="412" w:firstLineChars="196"/>
        <w:rPr>
          <w:rFonts w:ascii="宋体" w:hAnsi="宋体"/>
          <w:szCs w:val="21"/>
        </w:rPr>
      </w:pPr>
      <w:r>
        <w:rPr>
          <w:rFonts w:ascii="宋体" w:hAnsi="宋体" w:hint="eastAsia"/>
          <w:szCs w:val="21"/>
        </w:rPr>
        <w:t>46.1在签订项目合同的同时，中标人应按“对通用条款的补充内容”中规定的金额向采购人提交履约担保；</w:t>
      </w:r>
    </w:p>
    <w:p>
      <w:pPr>
        <w:spacing w:line="360" w:lineRule="auto"/>
        <w:ind w:firstLine="412" w:firstLineChars="196"/>
        <w:rPr>
          <w:rFonts w:ascii="宋体" w:hAnsi="宋体"/>
          <w:szCs w:val="21"/>
        </w:rPr>
      </w:pPr>
      <w:r>
        <w:rPr>
          <w:rFonts w:ascii="宋体" w:hAnsi="宋体" w:hint="eastAsia"/>
          <w:szCs w:val="21"/>
        </w:rPr>
        <w:t>46.2，允许供应商自主选择以支票、汇票、本票、保函等非现金方式提交履约担保；</w:t>
      </w:r>
      <w:r>
        <w:t>中标</w:t>
      </w:r>
      <w:r>
        <w:rPr>
          <w:rFonts w:hint="eastAsia"/>
        </w:rPr>
        <w:t>人</w:t>
      </w:r>
      <w:r>
        <w:t>提交履约</w:t>
      </w:r>
      <w:r>
        <w:rPr>
          <w:rFonts w:hint="eastAsia"/>
        </w:rPr>
        <w:t>担保不是</w:t>
      </w:r>
      <w:r>
        <w:t>合同签订的</w:t>
      </w:r>
      <w:r>
        <w:rPr>
          <w:rFonts w:hint="eastAsia"/>
        </w:rPr>
        <w:t>前提</w:t>
      </w:r>
      <w:r>
        <w:t>条件，不要求中标</w:t>
      </w:r>
      <w:r>
        <w:rPr>
          <w:rFonts w:hint="eastAsia"/>
        </w:rPr>
        <w:t>人</w:t>
      </w:r>
      <w:r>
        <w:t>提供除法律、法规明确规定外的其他担保</w:t>
      </w:r>
      <w:r>
        <w:rPr>
          <w:rFonts w:hint="eastAsia"/>
        </w:rPr>
        <w:t>。</w:t>
      </w:r>
    </w:p>
    <w:p>
      <w:pPr>
        <w:spacing w:line="360" w:lineRule="auto"/>
        <w:rPr>
          <w:rFonts w:ascii="黑体" w:eastAsia="黑体" w:hAnsi="宋体"/>
          <w:sz w:val="24"/>
        </w:rPr>
      </w:pPr>
      <w:r>
        <w:rPr>
          <w:rFonts w:ascii="黑体" w:eastAsia="黑体" w:hAnsi="宋体" w:hint="eastAsia"/>
          <w:sz w:val="24"/>
        </w:rPr>
        <w:t>47. 合同备案</w:t>
      </w:r>
    </w:p>
    <w:p>
      <w:pPr>
        <w:spacing w:line="360" w:lineRule="auto"/>
        <w:ind w:firstLine="412" w:firstLineChars="196"/>
        <w:rPr>
          <w:rFonts w:ascii="宋体" w:hAnsi="宋体"/>
          <w:szCs w:val="21"/>
        </w:rPr>
      </w:pPr>
      <w:r>
        <w:rPr>
          <w:rFonts w:ascii="宋体" w:eastAsia="宋体" w:hAnsi="宋体" w:cs="Times New Roman" w:hint="eastAsia"/>
          <w:kern w:val="2"/>
          <w:sz w:val="21"/>
          <w:szCs w:val="21"/>
        </w:rPr>
        <w:t>采购人与中标供应商自中标通知书发出之日起10个工作日内签订政府采购合同，</w:t>
      </w:r>
      <w:r>
        <w:rPr>
          <w:rFonts w:ascii="宋体" w:eastAsia="宋体" w:hAnsi="宋体" w:cs="Times New Roman" w:hint="eastAsia"/>
          <w:kern w:val="2"/>
          <w:sz w:val="21"/>
          <w:szCs w:val="21"/>
          <w:lang w:val="en-US" w:eastAsia="zh-CN"/>
        </w:rPr>
        <w:t>并按财政部门规定提交备案。</w:t>
      </w:r>
    </w:p>
    <w:p>
      <w:pPr>
        <w:spacing w:line="360" w:lineRule="auto"/>
        <w:rPr>
          <w:rFonts w:ascii="黑体" w:eastAsia="黑体" w:hAnsi="宋体"/>
          <w:sz w:val="24"/>
        </w:rPr>
      </w:pPr>
      <w:r>
        <w:rPr>
          <w:rFonts w:ascii="黑体" w:eastAsia="黑体" w:hAnsi="宋体" w:hint="eastAsia"/>
          <w:sz w:val="24"/>
        </w:rPr>
        <w:t>48. 合同变更</w:t>
      </w:r>
    </w:p>
    <w:p>
      <w:pPr>
        <w:spacing w:line="360" w:lineRule="auto"/>
        <w:ind w:firstLine="412" w:firstLineChars="196"/>
        <w:rPr>
          <w:rFonts w:ascii="宋体" w:hAnsi="宋体"/>
          <w:szCs w:val="21"/>
        </w:rPr>
      </w:pPr>
      <w:r>
        <w:rPr>
          <w:rFonts w:ascii="宋体" w:hAnsi="宋体" w:hint="eastAsia"/>
          <w:szCs w:val="21"/>
        </w:rPr>
        <w:t>合同变更事宜按《深圳市财政局关于优化政府采购合同备案的通知》（深财发保〔2022〕2号）相关规定执行。</w:t>
      </w:r>
    </w:p>
    <w:p>
      <w:pPr>
        <w:spacing w:line="360" w:lineRule="auto"/>
        <w:rPr>
          <w:rFonts w:ascii="黑体" w:eastAsia="黑体" w:hAnsi="宋体"/>
          <w:sz w:val="24"/>
        </w:rPr>
      </w:pPr>
      <w:r>
        <w:rPr>
          <w:rFonts w:ascii="黑体" w:eastAsia="黑体" w:hAnsi="宋体" w:hint="eastAsia"/>
          <w:sz w:val="24"/>
        </w:rPr>
        <w:t>49. 项目验收</w:t>
      </w:r>
    </w:p>
    <w:p>
      <w:pPr>
        <w:widowControl/>
        <w:spacing w:line="360" w:lineRule="auto"/>
        <w:ind w:right="176" w:firstLine="420"/>
        <w:jc w:val="left"/>
        <w:rPr>
          <w:rFonts w:ascii="宋体" w:hAnsi="宋体"/>
        </w:rPr>
      </w:pPr>
      <w:r>
        <w:rPr>
          <w:rFonts w:ascii="宋体" w:hAnsi="宋体" w:hint="eastAsia"/>
        </w:rPr>
        <w:t>49.1采购人应当按照招标文件和合同规定的标准和方法，及时组织验收。</w:t>
      </w:r>
      <w:r>
        <w:rPr>
          <w:rFonts w:ascii="宋体" w:hAnsi="宋体"/>
        </w:rPr>
        <w:t xml:space="preserve"> </w:t>
      </w:r>
    </w:p>
    <w:p>
      <w:pPr>
        <w:spacing w:line="360" w:lineRule="auto"/>
        <w:rPr>
          <w:rFonts w:ascii="黑体" w:eastAsia="黑体" w:hAnsi="宋体"/>
          <w:sz w:val="24"/>
        </w:rPr>
      </w:pPr>
      <w:r>
        <w:rPr>
          <w:rFonts w:ascii="黑体" w:eastAsia="黑体" w:hAnsi="宋体" w:hint="eastAsia"/>
          <w:sz w:val="24"/>
        </w:rPr>
        <w:t>50. 宣传</w:t>
      </w:r>
    </w:p>
    <w:p>
      <w:pPr>
        <w:spacing w:line="360" w:lineRule="auto"/>
        <w:ind w:left="210" w:firstLine="412" w:leftChars="100" w:firstLineChars="196"/>
        <w:rPr>
          <w:rFonts w:ascii="宋体" w:hAnsi="宋体"/>
        </w:rPr>
      </w:pPr>
      <w:r>
        <w:rPr>
          <w:rFonts w:ascii="宋体" w:hAnsi="宋体" w:hint="eastAsia"/>
        </w:rPr>
        <w:t>凡与政府采购活动有关的宣传或广告，若当中提及政府采购，</w:t>
      </w:r>
      <w:r>
        <w:rPr>
          <w:rFonts w:ascii="宋体" w:hAnsi="宋体"/>
        </w:rPr>
        <w:t>必须事先将具体对外宣传方案报</w:t>
      </w:r>
      <w:r>
        <w:rPr>
          <w:rFonts w:ascii="宋体" w:hAnsi="宋体" w:hint="eastAsia"/>
        </w:rPr>
        <w:t>同级财政部门</w:t>
      </w:r>
      <w:r>
        <w:rPr>
          <w:rFonts w:ascii="宋体" w:hAnsi="宋体"/>
        </w:rPr>
        <w:t>和</w:t>
      </w:r>
      <w:r>
        <w:rPr>
          <w:rFonts w:ascii="宋体" w:hAnsi="宋体" w:hint="eastAsia"/>
        </w:rPr>
        <w:t>政府集中采购机构</w:t>
      </w:r>
      <w:r>
        <w:rPr>
          <w:rFonts w:ascii="宋体" w:hAnsi="宋体"/>
        </w:rPr>
        <w:t>，并征得其同意。对外市场宣传包括但不限于以下形式：</w:t>
      </w:r>
    </w:p>
    <w:p>
      <w:pPr>
        <w:spacing w:line="360" w:lineRule="auto"/>
        <w:ind w:left="210" w:firstLine="412" w:leftChars="100" w:firstLineChars="196"/>
        <w:rPr>
          <w:rFonts w:ascii="宋体" w:hAnsi="宋体"/>
        </w:rPr>
      </w:pPr>
      <w:r>
        <w:rPr>
          <w:rFonts w:ascii="宋体" w:hAnsi="宋体"/>
        </w:rPr>
        <w:t>a.名片、宣传册、广告标语等；</w:t>
      </w:r>
    </w:p>
    <w:p>
      <w:pPr>
        <w:spacing w:line="360" w:lineRule="auto"/>
        <w:ind w:left="210" w:firstLine="412" w:leftChars="100" w:firstLineChars="196"/>
        <w:rPr>
          <w:rFonts w:ascii="宋体" w:hAnsi="宋体"/>
        </w:rPr>
      </w:pPr>
      <w:r>
        <w:rPr>
          <w:rFonts w:ascii="宋体" w:hAnsi="宋体"/>
        </w:rPr>
        <w:t>b.案例介绍、推广等；</w:t>
      </w:r>
    </w:p>
    <w:p>
      <w:pPr>
        <w:spacing w:line="360" w:lineRule="auto"/>
        <w:ind w:left="210" w:firstLine="412" w:leftChars="100" w:firstLineChars="196"/>
        <w:rPr>
          <w:rFonts w:ascii="宋体" w:hAnsi="宋体"/>
        </w:rPr>
      </w:pPr>
      <w:r>
        <w:rPr>
          <w:rFonts w:ascii="宋体" w:hAnsi="宋体" w:hint="eastAsia"/>
        </w:rPr>
        <w:t>c.工作</w:t>
      </w:r>
      <w:r>
        <w:rPr>
          <w:rFonts w:ascii="宋体" w:hAnsi="宋体"/>
        </w:rPr>
        <w:t>人员向其他消费群体宣传。</w:t>
      </w:r>
    </w:p>
    <w:p>
      <w:pPr>
        <w:spacing w:line="360" w:lineRule="auto"/>
        <w:rPr>
          <w:rFonts w:ascii="黑体" w:eastAsia="黑体" w:hAnsi="宋体"/>
          <w:sz w:val="24"/>
        </w:rPr>
      </w:pPr>
      <w:r>
        <w:rPr>
          <w:rFonts w:ascii="黑体" w:eastAsia="黑体" w:hAnsi="宋体" w:hint="eastAsia"/>
          <w:sz w:val="24"/>
        </w:rPr>
        <w:t>51. 供应商违法责任</w:t>
      </w:r>
    </w:p>
    <w:p>
      <w:pPr>
        <w:spacing w:line="360" w:lineRule="auto"/>
        <w:ind w:firstLine="412" w:firstLineChars="196"/>
        <w:rPr>
          <w:rFonts w:ascii="宋体" w:hAnsi="宋体"/>
          <w:szCs w:val="21"/>
        </w:rPr>
      </w:pPr>
      <w:r>
        <w:rPr>
          <w:rFonts w:ascii="宋体" w:hAnsi="宋体" w:hint="eastAsia"/>
          <w:szCs w:val="21"/>
        </w:rPr>
        <w:t>5</w:t>
      </w:r>
      <w:r>
        <w:rPr>
          <w:rFonts w:ascii="宋体" w:hAnsi="宋体"/>
          <w:szCs w:val="21"/>
        </w:rPr>
        <w:t>1.1</w:t>
      </w:r>
      <w:r>
        <w:rPr>
          <w:rFonts w:ascii="宋体" w:hAnsi="宋体" w:hint="eastAsia"/>
          <w:szCs w:val="21"/>
        </w:rPr>
        <w:t>《深圳经济特区政府采购条例》第五十七条 供应商在政府采购中，有下列行为之一的，一至三年内禁止其参与本市政府采购，并由主管部门记入供应商诚信档案，处以采购金额千分之十以上千分之二十以下的罚款；情节严重的，取消其参与本市政府采购资格，处以采购金额千分之二十以上千分之三十以下的罚款，并由市场监管部门依法吊销其营业执照；给他人造成损失的，依法承担赔偿责任；构成犯罪的，依法追究刑事责任：</w:t>
      </w:r>
    </w:p>
    <w:p>
      <w:pPr>
        <w:spacing w:line="360" w:lineRule="auto"/>
        <w:ind w:firstLine="412" w:firstLineChars="196"/>
        <w:rPr>
          <w:rFonts w:ascii="宋体" w:hAnsi="宋体"/>
          <w:szCs w:val="21"/>
        </w:rPr>
      </w:pPr>
      <w:r>
        <w:rPr>
          <w:rFonts w:ascii="宋体" w:hAnsi="宋体" w:hint="eastAsia"/>
          <w:szCs w:val="21"/>
        </w:rPr>
        <w:t>（1）在采购活动中应当回避而未回避的；</w:t>
      </w:r>
    </w:p>
    <w:p>
      <w:pPr>
        <w:spacing w:line="360" w:lineRule="auto"/>
        <w:ind w:firstLine="412" w:firstLineChars="196"/>
        <w:rPr>
          <w:rFonts w:ascii="宋体" w:hAnsi="宋体"/>
          <w:szCs w:val="21"/>
        </w:rPr>
      </w:pPr>
      <w:r>
        <w:rPr>
          <w:rFonts w:ascii="宋体" w:hAnsi="宋体" w:hint="eastAsia"/>
          <w:szCs w:val="21"/>
        </w:rPr>
        <w:t>（2）未按本条例规定签订、履行采购合同，造成严重后果的；</w:t>
      </w:r>
    </w:p>
    <w:p>
      <w:pPr>
        <w:spacing w:line="360" w:lineRule="auto"/>
        <w:ind w:firstLine="412" w:firstLineChars="196"/>
        <w:rPr>
          <w:rFonts w:ascii="宋体" w:hAnsi="宋体"/>
          <w:szCs w:val="21"/>
        </w:rPr>
      </w:pPr>
      <w:r>
        <w:rPr>
          <w:rFonts w:ascii="宋体" w:hAnsi="宋体" w:hint="eastAsia"/>
          <w:szCs w:val="21"/>
        </w:rPr>
        <w:t>（3）隐瞒真实情况，提供虚假资料的；</w:t>
      </w:r>
    </w:p>
    <w:p>
      <w:pPr>
        <w:spacing w:line="360" w:lineRule="auto"/>
        <w:ind w:firstLine="412" w:firstLineChars="196"/>
        <w:rPr>
          <w:rFonts w:ascii="宋体" w:hAnsi="宋体"/>
          <w:szCs w:val="21"/>
        </w:rPr>
      </w:pPr>
      <w:r>
        <w:rPr>
          <w:rFonts w:ascii="宋体" w:hAnsi="宋体" w:hint="eastAsia"/>
          <w:szCs w:val="21"/>
        </w:rPr>
        <w:t>（4）以非法手段排斥其他供应商参与竞争的；</w:t>
      </w:r>
    </w:p>
    <w:p>
      <w:pPr>
        <w:spacing w:line="360" w:lineRule="auto"/>
        <w:ind w:firstLine="412" w:firstLineChars="196"/>
        <w:rPr>
          <w:rFonts w:ascii="宋体" w:hAnsi="宋体"/>
          <w:szCs w:val="21"/>
        </w:rPr>
      </w:pPr>
      <w:r>
        <w:rPr>
          <w:rFonts w:ascii="宋体" w:hAnsi="宋体" w:hint="eastAsia"/>
          <w:szCs w:val="21"/>
        </w:rPr>
        <w:t>（5）与其他采购参加人串通投标的；</w:t>
      </w:r>
    </w:p>
    <w:p>
      <w:pPr>
        <w:spacing w:line="360" w:lineRule="auto"/>
        <w:ind w:firstLine="412" w:firstLineChars="196"/>
        <w:rPr>
          <w:rFonts w:ascii="宋体" w:hAnsi="宋体"/>
          <w:szCs w:val="21"/>
        </w:rPr>
      </w:pPr>
      <w:r>
        <w:rPr>
          <w:rFonts w:ascii="宋体" w:hAnsi="宋体" w:hint="eastAsia"/>
          <w:szCs w:val="21"/>
        </w:rPr>
        <w:t>（6）恶意投诉的；</w:t>
      </w:r>
    </w:p>
    <w:p>
      <w:pPr>
        <w:spacing w:line="360" w:lineRule="auto"/>
        <w:ind w:firstLine="412" w:firstLineChars="196"/>
        <w:rPr>
          <w:rFonts w:ascii="宋体" w:hAnsi="宋体"/>
          <w:szCs w:val="21"/>
        </w:rPr>
      </w:pPr>
      <w:r>
        <w:rPr>
          <w:rFonts w:ascii="宋体" w:hAnsi="宋体" w:hint="eastAsia"/>
          <w:szCs w:val="21"/>
        </w:rPr>
        <w:t>（7）向采购项目相关人行贿或者提供其他不当利益的；</w:t>
      </w:r>
    </w:p>
    <w:p>
      <w:pPr>
        <w:spacing w:line="360" w:lineRule="auto"/>
        <w:ind w:firstLine="412" w:firstLineChars="196"/>
        <w:rPr>
          <w:rFonts w:ascii="宋体" w:hAnsi="宋体"/>
          <w:szCs w:val="21"/>
        </w:rPr>
      </w:pPr>
      <w:r>
        <w:rPr>
          <w:rFonts w:ascii="宋体" w:hAnsi="宋体" w:hint="eastAsia"/>
          <w:szCs w:val="21"/>
        </w:rPr>
        <w:t>（8）阻碍、抗拒主管部门监督检查的；</w:t>
      </w:r>
    </w:p>
    <w:p>
      <w:pPr>
        <w:spacing w:line="360" w:lineRule="auto"/>
        <w:ind w:firstLine="412" w:firstLineChars="196"/>
        <w:rPr>
          <w:rFonts w:ascii="宋体" w:hAnsi="宋体"/>
          <w:szCs w:val="21"/>
        </w:rPr>
      </w:pPr>
      <w:r>
        <w:rPr>
          <w:rFonts w:ascii="宋体" w:hAnsi="宋体" w:hint="eastAsia"/>
          <w:szCs w:val="21"/>
        </w:rPr>
        <w:t>（9）其他违反本条例规定的行为。</w:t>
      </w:r>
    </w:p>
    <w:p>
      <w:pPr>
        <w:spacing w:line="360" w:lineRule="auto"/>
        <w:ind w:firstLine="412" w:firstLineChars="196"/>
        <w:rPr>
          <w:rFonts w:ascii="宋体" w:hAnsi="宋体"/>
          <w:szCs w:val="21"/>
        </w:rPr>
      </w:pPr>
      <w:r>
        <w:rPr>
          <w:rFonts w:ascii="宋体" w:hAnsi="宋体" w:hint="eastAsia"/>
          <w:szCs w:val="21"/>
        </w:rPr>
        <w:t>5</w:t>
      </w:r>
      <w:r>
        <w:rPr>
          <w:rFonts w:ascii="宋体" w:hAnsi="宋体"/>
          <w:szCs w:val="21"/>
        </w:rPr>
        <w:t xml:space="preserve">1.2 </w:t>
      </w:r>
      <w:r>
        <w:rPr>
          <w:rFonts w:ascii="宋体" w:hAnsi="宋体" w:hint="eastAsia"/>
          <w:szCs w:val="21"/>
        </w:rPr>
        <w:t>根据《深圳市财政局关于调整政府采购投标（响应）保证金管理政策的通知 》（深财购〔2021〕51号）的要求，供应商在政府采购活动中出现《深圳经济特区政府采购条例实施细则》第八十条所列情形的，</w:t>
      </w:r>
      <w:bookmarkStart w:id="97" w:name="_Hlk72440769"/>
      <w:r>
        <w:rPr>
          <w:rFonts w:ascii="宋体" w:hAnsi="宋体" w:hint="eastAsia"/>
          <w:szCs w:val="21"/>
        </w:rPr>
        <w:t>政府集中采购机构或采购人不予退还其交纳的谈判保证金，情节严重的，并由主管部门</w:t>
      </w:r>
      <w:bookmarkEnd w:id="97"/>
      <w:r>
        <w:rPr>
          <w:rFonts w:ascii="宋体" w:hAnsi="宋体" w:hint="eastAsia"/>
          <w:szCs w:val="21"/>
        </w:rPr>
        <w:t>记入供应商诚信档案，予以通报：</w:t>
      </w:r>
    </w:p>
    <w:p>
      <w:pPr>
        <w:spacing w:line="360" w:lineRule="auto"/>
        <w:ind w:firstLine="412" w:firstLineChars="196"/>
        <w:rPr>
          <w:rFonts w:ascii="宋体" w:hAnsi="宋体"/>
          <w:szCs w:val="21"/>
        </w:rPr>
      </w:pPr>
      <w:r>
        <w:rPr>
          <w:rFonts w:ascii="宋体" w:hAnsi="宋体" w:hint="eastAsia"/>
          <w:szCs w:val="21"/>
        </w:rPr>
        <w:t>（1</w:t>
      </w:r>
      <w:r>
        <w:rPr>
          <w:rFonts w:ascii="宋体" w:hAnsi="宋体"/>
          <w:szCs w:val="21"/>
        </w:rPr>
        <w:t>）投标截止后，撤销投标的；</w:t>
      </w:r>
    </w:p>
    <w:p>
      <w:pPr>
        <w:spacing w:line="360" w:lineRule="auto"/>
        <w:ind w:firstLine="412" w:firstLineChars="196"/>
        <w:rPr>
          <w:rFonts w:ascii="宋体" w:hAnsi="宋体"/>
          <w:szCs w:val="21"/>
        </w:rPr>
      </w:pPr>
      <w:r>
        <w:rPr>
          <w:rFonts w:ascii="宋体" w:hAnsi="宋体"/>
          <w:szCs w:val="21"/>
        </w:rPr>
        <w:t>（</w:t>
      </w:r>
      <w:r>
        <w:rPr>
          <w:rFonts w:ascii="宋体" w:hAnsi="宋体" w:hint="eastAsia"/>
          <w:szCs w:val="21"/>
        </w:rPr>
        <w:t>2</w:t>
      </w:r>
      <w:r>
        <w:rPr>
          <w:rFonts w:ascii="宋体" w:hAnsi="宋体"/>
          <w:szCs w:val="21"/>
        </w:rPr>
        <w:t>）中标后无正当理由未在规定期限内签订合同的；</w:t>
      </w:r>
    </w:p>
    <w:p>
      <w:pPr>
        <w:spacing w:line="360" w:lineRule="auto"/>
        <w:ind w:firstLine="412" w:firstLineChars="196"/>
        <w:rPr>
          <w:rFonts w:ascii="宋体" w:hAnsi="宋体"/>
          <w:szCs w:val="21"/>
        </w:rPr>
      </w:pPr>
      <w:r>
        <w:rPr>
          <w:rFonts w:ascii="宋体" w:hAnsi="宋体"/>
          <w:szCs w:val="21"/>
        </w:rPr>
        <w:t>（</w:t>
      </w:r>
      <w:r>
        <w:rPr>
          <w:rFonts w:ascii="宋体" w:hAnsi="宋体" w:hint="eastAsia"/>
          <w:szCs w:val="21"/>
        </w:rPr>
        <w:t>3</w:t>
      </w:r>
      <w:r>
        <w:rPr>
          <w:rFonts w:ascii="宋体" w:hAnsi="宋体"/>
          <w:szCs w:val="21"/>
        </w:rPr>
        <w:t>）将中标项目转让给他人或者在投标文件中未说明且未经采购人、采购招标机构同意，将中标项目分包给他人的；</w:t>
      </w:r>
    </w:p>
    <w:p>
      <w:pPr>
        <w:spacing w:line="360" w:lineRule="auto"/>
        <w:ind w:firstLine="412" w:firstLineChars="196"/>
        <w:rPr>
          <w:rFonts w:ascii="宋体" w:hAnsi="宋体"/>
          <w:szCs w:val="21"/>
        </w:rPr>
      </w:pPr>
      <w:r>
        <w:rPr>
          <w:rFonts w:ascii="宋体" w:hAnsi="宋体"/>
          <w:szCs w:val="21"/>
        </w:rPr>
        <w:t>（</w:t>
      </w:r>
      <w:r>
        <w:rPr>
          <w:rFonts w:ascii="宋体" w:hAnsi="宋体" w:hint="eastAsia"/>
          <w:szCs w:val="21"/>
        </w:rPr>
        <w:t>4</w:t>
      </w:r>
      <w:r>
        <w:rPr>
          <w:rFonts w:ascii="宋体" w:hAnsi="宋体"/>
          <w:szCs w:val="21"/>
        </w:rPr>
        <w:t>）拒绝履行合同义务的</w:t>
      </w:r>
      <w:r>
        <w:rPr>
          <w:rFonts w:ascii="宋体" w:hAnsi="宋体" w:hint="eastAsia"/>
          <w:szCs w:val="21"/>
        </w:rPr>
        <w:t>。</w:t>
      </w:r>
    </w:p>
    <w:p>
      <w:pPr>
        <w:pStyle w:val="Heading2"/>
        <w:numPr>
          <w:ilvl w:val="0"/>
          <w:numId w:val="42"/>
        </w:numPr>
        <w:spacing w:before="120" w:beforeLines="50" w:after="120" w:afterLines="50" w:line="360" w:lineRule="auto"/>
        <w:ind w:left="562" w:hanging="562"/>
        <w:rPr>
          <w:sz w:val="28"/>
          <w:szCs w:val="28"/>
        </w:rPr>
      </w:pPr>
      <w:bookmarkEnd w:id="81"/>
      <w:r>
        <w:rPr>
          <w:rFonts w:hint="eastAsia"/>
          <w:sz w:val="28"/>
          <w:szCs w:val="28"/>
        </w:rPr>
        <w:t>质疑处理</w:t>
      </w:r>
    </w:p>
    <w:p>
      <w:pPr>
        <w:spacing w:line="360" w:lineRule="auto"/>
        <w:rPr>
          <w:rFonts w:ascii="黑体" w:eastAsia="黑体" w:hAnsi="宋体"/>
          <w:sz w:val="24"/>
        </w:rPr>
      </w:pPr>
      <w:bookmarkStart w:id="98" w:name="_Hlk72439706"/>
      <w:r>
        <w:rPr>
          <w:rFonts w:ascii="黑体" w:eastAsia="黑体" w:hAnsi="宋体" w:hint="eastAsia"/>
          <w:sz w:val="24"/>
        </w:rPr>
        <w:t>52.质疑提出与答复</w:t>
      </w:r>
    </w:p>
    <w:p>
      <w:pPr>
        <w:spacing w:line="360" w:lineRule="auto"/>
        <w:rPr>
          <w:rFonts w:ascii="宋体" w:hAnsi="宋体"/>
          <w:szCs w:val="21"/>
        </w:rPr>
      </w:pPr>
      <w:r>
        <w:rPr>
          <w:rFonts w:ascii="宋体" w:hAnsi="宋体" w:hint="eastAsia"/>
          <w:szCs w:val="21"/>
        </w:rPr>
        <w:t xml:space="preserve">    52.1提出质疑</w:t>
      </w:r>
    </w:p>
    <w:p>
      <w:pPr>
        <w:spacing w:line="360" w:lineRule="auto"/>
        <w:rPr>
          <w:rFonts w:ascii="宋体" w:hAnsi="宋体"/>
          <w:szCs w:val="21"/>
        </w:rPr>
      </w:pPr>
      <w:r>
        <w:rPr>
          <w:rFonts w:ascii="宋体" w:hAnsi="宋体" w:hint="eastAsia"/>
          <w:szCs w:val="21"/>
        </w:rPr>
        <w:t xml:space="preserve">    参与政府采购活动的供应商认为自己的权益在采购活动中受到损害的，应当自知道或者应当知道其权益受到损害之日起七个工作日内向采购人、政府集中采购机构以书面形式提出质疑。</w:t>
      </w:r>
    </w:p>
    <w:p>
      <w:pPr>
        <w:spacing w:line="360" w:lineRule="auto"/>
        <w:rPr>
          <w:rFonts w:ascii="宋体" w:hAnsi="宋体"/>
          <w:szCs w:val="21"/>
        </w:rPr>
      </w:pPr>
      <w:r>
        <w:rPr>
          <w:rFonts w:ascii="宋体" w:hAnsi="宋体" w:hint="eastAsia"/>
          <w:szCs w:val="21"/>
        </w:rPr>
        <w:t xml:space="preserve">    52.2</w:t>
      </w:r>
      <w:r>
        <w:rPr>
          <w:rFonts w:ascii="宋体" w:hAnsi="宋体"/>
          <w:szCs w:val="21"/>
        </w:rPr>
        <w:t>法律依据</w:t>
      </w:r>
    </w:p>
    <w:p>
      <w:pPr>
        <w:spacing w:line="360" w:lineRule="auto"/>
        <w:rPr>
          <w:rFonts w:ascii="宋体" w:hAnsi="宋体"/>
          <w:szCs w:val="21"/>
        </w:rPr>
      </w:pPr>
      <w:r>
        <w:rPr>
          <w:rFonts w:ascii="宋体" w:hAnsi="宋体" w:hint="eastAsia"/>
          <w:szCs w:val="21"/>
        </w:rPr>
        <w:t xml:space="preserve">    《中华人民共和国政府采购法》《中华人民共和国政府采购法实施条例》</w:t>
      </w:r>
      <w:r>
        <w:rPr>
          <w:rFonts w:ascii="宋体" w:hAnsi="宋体"/>
          <w:szCs w:val="21"/>
        </w:rPr>
        <w:t>《</w:t>
      </w:r>
      <w:r>
        <w:rPr>
          <w:rFonts w:ascii="宋体" w:hAnsi="宋体" w:hint="eastAsia"/>
          <w:szCs w:val="21"/>
        </w:rPr>
        <w:t>深圳经济特区政府采购</w:t>
      </w:r>
      <w:r>
        <w:rPr>
          <w:rFonts w:ascii="宋体" w:hAnsi="宋体"/>
          <w:szCs w:val="21"/>
        </w:rPr>
        <w:t>条例</w:t>
      </w:r>
      <w:r>
        <w:rPr>
          <w:rFonts w:ascii="宋体" w:hAnsi="宋体" w:hint="eastAsia"/>
          <w:szCs w:val="21"/>
        </w:rPr>
        <w:t>》《深圳经济特区政府采购条例实施细则》《政府采购质疑和投诉办法》（财政部令第94号）和其他有关法律法规规定。</w:t>
      </w:r>
    </w:p>
    <w:p>
      <w:pPr>
        <w:spacing w:line="360" w:lineRule="auto"/>
        <w:rPr>
          <w:rFonts w:ascii="宋体" w:hAnsi="宋体"/>
          <w:szCs w:val="21"/>
        </w:rPr>
      </w:pPr>
      <w:r>
        <w:rPr>
          <w:rFonts w:ascii="宋体" w:hAnsi="宋体" w:hint="eastAsia"/>
          <w:szCs w:val="21"/>
        </w:rPr>
        <w:t xml:space="preserve">  </w:t>
      </w:r>
      <w:r>
        <w:rPr>
          <w:rFonts w:ascii="宋体" w:hAnsi="宋体" w:hint="eastAsia"/>
          <w:color w:val="FF0000"/>
          <w:szCs w:val="21"/>
        </w:rPr>
        <w:t xml:space="preserve">  </w:t>
      </w:r>
      <w:r>
        <w:rPr>
          <w:rFonts w:ascii="宋体" w:hAnsi="宋体" w:hint="eastAsia"/>
          <w:szCs w:val="21"/>
        </w:rPr>
        <w:t>52.3质疑条件</w:t>
      </w:r>
    </w:p>
    <w:p>
      <w:pPr>
        <w:spacing w:line="360" w:lineRule="auto"/>
        <w:rPr>
          <w:rFonts w:ascii="宋体" w:hAnsi="宋体"/>
          <w:szCs w:val="21"/>
        </w:rPr>
      </w:pPr>
      <w:r>
        <w:rPr>
          <w:rFonts w:ascii="宋体" w:hAnsi="宋体" w:hint="eastAsia"/>
          <w:szCs w:val="21"/>
        </w:rPr>
        <w:t xml:space="preserve">    52.3.1提出质疑的供应商应当是参与所质疑项目采购活动的供应商；以联合体形式参与的，质疑应当由组成联合体的所有成员共同提出；</w:t>
      </w:r>
    </w:p>
    <w:p>
      <w:pPr>
        <w:spacing w:line="360" w:lineRule="auto"/>
        <w:rPr>
          <w:rFonts w:ascii="宋体" w:hAnsi="宋体"/>
          <w:szCs w:val="21"/>
        </w:rPr>
      </w:pPr>
      <w:r>
        <w:rPr>
          <w:rFonts w:ascii="宋体" w:hAnsi="宋体" w:hint="eastAsia"/>
          <w:szCs w:val="21"/>
        </w:rPr>
        <w:t xml:space="preserve">    52.3.2应当在法定质疑期内一次性提出针对同一采购程序环节的质疑，法定质疑期为自知道或应当知道权益受到损害之日起7个工作日内。应当知道其权益受到损害之日是指：对</w:t>
      </w:r>
      <w:r>
        <w:rPr>
          <w:rFonts w:ascii="宋体" w:hAnsi="宋体" w:hint="eastAsia"/>
          <w:szCs w:val="21"/>
          <w:lang w:val="en-US" w:eastAsia="zh-CN"/>
        </w:rPr>
        <w:t>采购</w:t>
      </w:r>
      <w:r>
        <w:rPr>
          <w:rFonts w:ascii="宋体" w:hAnsi="宋体" w:hint="eastAsia"/>
          <w:szCs w:val="21"/>
        </w:rPr>
        <w:t>文件的质疑，为</w:t>
      </w:r>
      <w:r>
        <w:rPr>
          <w:rFonts w:ascii="宋体" w:hAnsi="宋体" w:hint="eastAsia"/>
          <w:szCs w:val="21"/>
          <w:lang w:val="en-US" w:eastAsia="zh-CN"/>
        </w:rPr>
        <w:t>采购</w:t>
      </w:r>
      <w:r>
        <w:rPr>
          <w:rFonts w:ascii="宋体" w:hAnsi="宋体" w:hint="eastAsia"/>
          <w:szCs w:val="21"/>
        </w:rPr>
        <w:t>文件公布之日；对采购过程的质疑，为各采购程序环节结束之日；对中标</w:t>
      </w:r>
      <w:r>
        <w:rPr>
          <w:rFonts w:ascii="宋体" w:hAnsi="宋体" w:hint="eastAsia"/>
          <w:szCs w:val="21"/>
          <w:lang w:eastAsia="zh-CN"/>
        </w:rPr>
        <w:t>（</w:t>
      </w:r>
      <w:r>
        <w:rPr>
          <w:rFonts w:ascii="宋体" w:hAnsi="宋体" w:hint="eastAsia"/>
          <w:szCs w:val="21"/>
          <w:lang w:val="en-US" w:eastAsia="zh-CN"/>
        </w:rPr>
        <w:t>成交</w:t>
      </w:r>
      <w:r>
        <w:rPr>
          <w:rFonts w:ascii="宋体" w:hAnsi="宋体" w:hint="eastAsia"/>
          <w:szCs w:val="21"/>
          <w:lang w:eastAsia="zh-CN"/>
        </w:rPr>
        <w:t>）</w:t>
      </w:r>
      <w:r>
        <w:rPr>
          <w:rFonts w:ascii="宋体" w:hAnsi="宋体" w:hint="eastAsia"/>
          <w:szCs w:val="21"/>
        </w:rPr>
        <w:t>结果以及评审委员会组成人员的质疑，为中标</w:t>
      </w:r>
      <w:r>
        <w:rPr>
          <w:rFonts w:ascii="宋体" w:hAnsi="宋体" w:hint="eastAsia"/>
          <w:szCs w:val="21"/>
          <w:lang w:eastAsia="zh-CN"/>
        </w:rPr>
        <w:t>（</w:t>
      </w:r>
      <w:r>
        <w:rPr>
          <w:rFonts w:ascii="宋体" w:hAnsi="宋体" w:hint="eastAsia"/>
          <w:szCs w:val="21"/>
          <w:lang w:val="en-US" w:eastAsia="zh-CN"/>
        </w:rPr>
        <w:t>成交</w:t>
      </w:r>
      <w:r>
        <w:rPr>
          <w:rFonts w:ascii="宋体" w:hAnsi="宋体" w:hint="eastAsia"/>
          <w:szCs w:val="21"/>
          <w:lang w:eastAsia="zh-CN"/>
        </w:rPr>
        <w:t>）</w:t>
      </w:r>
      <w:r>
        <w:rPr>
          <w:rFonts w:ascii="宋体" w:hAnsi="宋体" w:hint="eastAsia"/>
          <w:szCs w:val="21"/>
        </w:rPr>
        <w:t>结果公示之日；</w:t>
      </w:r>
    </w:p>
    <w:p>
      <w:pPr>
        <w:spacing w:line="360" w:lineRule="auto"/>
        <w:ind w:firstLine="420"/>
        <w:rPr>
          <w:rFonts w:ascii="宋体" w:hAnsi="宋体"/>
          <w:szCs w:val="21"/>
        </w:rPr>
      </w:pPr>
      <w:r>
        <w:rPr>
          <w:rFonts w:ascii="宋体" w:hAnsi="宋体" w:hint="eastAsia"/>
          <w:szCs w:val="21"/>
        </w:rPr>
        <w:t>52.3.3应提交书面质疑函，质疑函应当包括以下内容：</w:t>
      </w:r>
      <w:r>
        <w:rPr>
          <w:rFonts w:ascii="宋体" w:hAnsi="宋体"/>
          <w:szCs w:val="21"/>
        </w:rPr>
        <w:t xml:space="preserve"> </w:t>
      </w:r>
    </w:p>
    <w:p>
      <w:pPr>
        <w:spacing w:line="360" w:lineRule="auto"/>
        <w:ind w:firstLine="420"/>
        <w:rPr>
          <w:rFonts w:ascii="宋体" w:hAnsi="宋体"/>
          <w:szCs w:val="21"/>
        </w:rPr>
      </w:pPr>
      <w:r>
        <w:rPr>
          <w:rFonts w:ascii="宋体" w:hAnsi="宋体" w:hint="eastAsia"/>
          <w:szCs w:val="21"/>
        </w:rPr>
        <w:t>（1）供应商的名称（或者姓名）、地址、邮编、邮箱、联系人及联系电话；</w:t>
      </w:r>
    </w:p>
    <w:p>
      <w:pPr>
        <w:spacing w:line="360" w:lineRule="auto"/>
        <w:ind w:firstLine="420" w:firstLineChars="200"/>
        <w:rPr>
          <w:rFonts w:ascii="宋体" w:hAnsi="宋体"/>
          <w:szCs w:val="21"/>
        </w:rPr>
      </w:pPr>
      <w:r>
        <w:rPr>
          <w:rFonts w:ascii="宋体" w:hAnsi="宋体" w:hint="eastAsia"/>
          <w:szCs w:val="21"/>
        </w:rPr>
        <w:t>（2）质疑项目的名称、编号；</w:t>
      </w:r>
    </w:p>
    <w:p>
      <w:pPr>
        <w:spacing w:line="360" w:lineRule="auto"/>
        <w:ind w:firstLine="420" w:firstLineChars="200"/>
        <w:rPr>
          <w:rFonts w:ascii="宋体" w:hAnsi="宋体"/>
          <w:szCs w:val="21"/>
        </w:rPr>
      </w:pPr>
      <w:r>
        <w:rPr>
          <w:rFonts w:ascii="宋体" w:hAnsi="宋体" w:hint="eastAsia"/>
          <w:szCs w:val="21"/>
        </w:rPr>
        <w:t>（3）具体、明确的质疑对象、质疑事项和质疑请求；</w:t>
      </w:r>
    </w:p>
    <w:p>
      <w:pPr>
        <w:spacing w:line="360" w:lineRule="auto"/>
        <w:ind w:firstLine="420" w:firstLineChars="200"/>
        <w:rPr>
          <w:rFonts w:ascii="宋体" w:hAnsi="宋体"/>
          <w:szCs w:val="21"/>
        </w:rPr>
      </w:pPr>
      <w:r>
        <w:rPr>
          <w:rFonts w:ascii="宋体" w:hAnsi="宋体" w:hint="eastAsia"/>
          <w:szCs w:val="21"/>
        </w:rPr>
        <w:t>（4）因质疑事项而受损害的权益；</w:t>
      </w:r>
    </w:p>
    <w:p>
      <w:pPr>
        <w:spacing w:line="360" w:lineRule="auto"/>
        <w:ind w:firstLine="420" w:firstLineChars="200"/>
        <w:rPr>
          <w:rFonts w:ascii="宋体" w:hAnsi="宋体"/>
          <w:szCs w:val="21"/>
        </w:rPr>
      </w:pPr>
      <w:r>
        <w:rPr>
          <w:rFonts w:ascii="宋体" w:hAnsi="宋体" w:hint="eastAsia"/>
          <w:szCs w:val="21"/>
        </w:rPr>
        <w:t>（5）事实依据；</w:t>
      </w:r>
    </w:p>
    <w:p>
      <w:pPr>
        <w:spacing w:line="360" w:lineRule="auto"/>
        <w:ind w:firstLine="420" w:firstLineChars="200"/>
        <w:rPr>
          <w:rFonts w:ascii="宋体" w:hAnsi="宋体"/>
          <w:szCs w:val="21"/>
        </w:rPr>
      </w:pPr>
      <w:r>
        <w:rPr>
          <w:rFonts w:ascii="宋体" w:hAnsi="宋体" w:hint="eastAsia"/>
          <w:szCs w:val="21"/>
        </w:rPr>
        <w:t>（6）必要的法律依据；</w:t>
      </w:r>
    </w:p>
    <w:p>
      <w:pPr>
        <w:spacing w:line="360" w:lineRule="auto"/>
        <w:ind w:firstLine="420" w:firstLineChars="200"/>
        <w:rPr>
          <w:rFonts w:ascii="宋体" w:hAnsi="宋体"/>
          <w:szCs w:val="21"/>
        </w:rPr>
      </w:pPr>
      <w:r>
        <w:rPr>
          <w:rFonts w:ascii="宋体" w:hAnsi="宋体" w:hint="eastAsia"/>
          <w:szCs w:val="21"/>
        </w:rPr>
        <w:t>（7）提出质疑的日期。</w:t>
      </w:r>
    </w:p>
    <w:p>
      <w:pPr>
        <w:spacing w:line="360" w:lineRule="auto"/>
        <w:ind w:firstLine="420" w:firstLineChars="200"/>
        <w:rPr>
          <w:rFonts w:ascii="宋体" w:hAnsi="宋体"/>
          <w:szCs w:val="21"/>
        </w:rPr>
      </w:pPr>
      <w:r>
        <w:rPr>
          <w:rFonts w:ascii="宋体" w:hAnsi="宋体" w:hint="eastAsia"/>
          <w:szCs w:val="21"/>
        </w:rPr>
        <w:t>供应商为自然人的，应当由本人签字；供应商为法人或者其他组织的，应当由法定代表人（负责人），或者其授权代理人签字或者盖章，并加盖公章。</w:t>
      </w:r>
    </w:p>
    <w:p>
      <w:pPr>
        <w:spacing w:line="360" w:lineRule="auto"/>
        <w:ind w:firstLine="420" w:firstLineChars="200"/>
        <w:rPr>
          <w:rFonts w:ascii="宋体" w:hAnsi="宋体"/>
          <w:szCs w:val="21"/>
        </w:rPr>
      </w:pPr>
      <w:r>
        <w:rPr>
          <w:rFonts w:ascii="宋体" w:hAnsi="宋体" w:hint="eastAsia"/>
          <w:szCs w:val="21"/>
        </w:rPr>
        <w:t>52.4提交</w:t>
      </w:r>
      <w:r>
        <w:rPr>
          <w:rFonts w:ascii="宋体" w:hAnsi="宋体"/>
          <w:szCs w:val="21"/>
        </w:rPr>
        <w:t>材料</w:t>
      </w:r>
    </w:p>
    <w:p>
      <w:pPr>
        <w:spacing w:line="360" w:lineRule="auto"/>
        <w:ind w:firstLine="420" w:firstLineChars="200"/>
        <w:rPr>
          <w:rFonts w:ascii="宋体" w:hAnsi="宋体"/>
          <w:szCs w:val="21"/>
        </w:rPr>
      </w:pPr>
      <w:r>
        <w:rPr>
          <w:rFonts w:ascii="宋体" w:hAnsi="宋体" w:hint="eastAsia"/>
          <w:szCs w:val="21"/>
        </w:rPr>
        <w:t>供应商质疑实行实名制。供应商为自然人的，应当提交本人身份证复印件；供应商为法人或者其他组织的，应当根据自身性质提交营业执照复印件或者其他证明文件（如事业单位法人证书等）复印件。</w:t>
      </w:r>
    </w:p>
    <w:p>
      <w:pPr>
        <w:spacing w:line="360" w:lineRule="auto"/>
        <w:ind w:firstLine="420" w:firstLineChars="200"/>
        <w:rPr>
          <w:rFonts w:ascii="宋体" w:hAnsi="宋体"/>
          <w:szCs w:val="21"/>
        </w:rPr>
      </w:pPr>
      <w:r>
        <w:rPr>
          <w:rFonts w:ascii="宋体" w:hAnsi="宋体" w:hint="eastAsia"/>
          <w:szCs w:val="21"/>
        </w:rPr>
        <w:t>供应商可以委托代理人进行质疑。</w:t>
      </w:r>
      <w:r>
        <w:rPr>
          <w:rFonts w:ascii="宋体" w:hAnsi="宋体"/>
          <w:szCs w:val="21"/>
        </w:rPr>
        <w:t>其授权委托书应当载明代理人的姓名或者名称、代理事项、具体权限、期限和相关事项。供应商为自然人的，应当由本人签字；供应商为法人或者其他组织的，应当由法定代表人、主要负责人签字或者盖章，并加盖公章。</w:t>
      </w:r>
    </w:p>
    <w:p>
      <w:pPr>
        <w:spacing w:line="360" w:lineRule="auto"/>
        <w:ind w:firstLine="420" w:firstLineChars="200"/>
        <w:rPr>
          <w:rFonts w:ascii="宋体" w:hAnsi="宋体"/>
          <w:szCs w:val="21"/>
        </w:rPr>
      </w:pPr>
      <w:r>
        <w:rPr>
          <w:rFonts w:ascii="宋体" w:hAnsi="宋体" w:hint="eastAsia"/>
          <w:szCs w:val="21"/>
        </w:rPr>
        <w:t>52.5收文地点</w:t>
      </w:r>
    </w:p>
    <w:p>
      <w:pPr>
        <w:spacing w:line="360" w:lineRule="auto"/>
        <w:ind w:firstLine="420" w:firstLineChars="200"/>
        <w:rPr>
          <w:rFonts w:ascii="宋体" w:hAnsi="宋体"/>
          <w:b/>
          <w:bCs/>
          <w:szCs w:val="21"/>
        </w:rPr>
      </w:pPr>
      <w:r>
        <w:rPr>
          <w:rFonts w:ascii="宋体" w:hAnsi="宋体" w:hint="eastAsia"/>
          <w:b/>
          <w:bCs/>
          <w:szCs w:val="21"/>
        </w:rPr>
        <w:t>地址：深圳公共资源交易中心（深圳交易集团有限公司</w:t>
      </w:r>
      <w:r>
        <w:rPr>
          <w:rFonts w:ascii="宋体" w:hAnsi="宋体" w:hint="eastAsia"/>
          <w:b/>
          <w:bCs/>
          <w:szCs w:val="21"/>
          <w:lang w:val="en-US" w:eastAsia="zh-CN"/>
        </w:rPr>
        <w:t>龙岗</w:t>
      </w:r>
      <w:r>
        <w:rPr>
          <w:rFonts w:ascii="宋体" w:hAnsi="宋体" w:hint="eastAsia"/>
          <w:b/>
          <w:bCs/>
          <w:szCs w:val="21"/>
        </w:rPr>
        <w:t>分公司）</w:t>
      </w:r>
      <w:r>
        <w:rPr>
          <w:rFonts w:ascii="宋体" w:hAnsi="宋体" w:hint="eastAsia"/>
          <w:b/>
          <w:bCs/>
          <w:szCs w:val="21"/>
          <w:lang w:val="en-US" w:eastAsia="zh-CN"/>
        </w:rPr>
        <w:t>1</w:t>
      </w:r>
      <w:r>
        <w:rPr>
          <w:rFonts w:ascii="宋体" w:hAnsi="宋体" w:hint="eastAsia"/>
          <w:b/>
          <w:bCs/>
          <w:szCs w:val="21"/>
        </w:rPr>
        <w:t>楼，质疑咨询电话：0755-</w:t>
      </w:r>
      <w:r>
        <w:rPr>
          <w:rFonts w:ascii="宋体" w:hAnsi="宋体" w:hint="eastAsia"/>
          <w:b/>
          <w:bCs/>
          <w:szCs w:val="21"/>
          <w:lang w:val="en-US" w:eastAsia="zh-CN"/>
        </w:rPr>
        <w:t>89552611</w:t>
      </w:r>
      <w:r>
        <w:rPr>
          <w:rFonts w:ascii="宋体" w:hAnsi="宋体" w:hint="eastAsia"/>
          <w:b/>
          <w:bCs/>
          <w:szCs w:val="21"/>
        </w:rPr>
        <w:t>。</w:t>
      </w:r>
    </w:p>
    <w:p>
      <w:pPr>
        <w:spacing w:line="360" w:lineRule="auto"/>
        <w:ind w:firstLine="420" w:firstLineChars="200"/>
        <w:rPr>
          <w:rFonts w:ascii="宋体" w:hAnsi="宋体"/>
          <w:szCs w:val="21"/>
        </w:rPr>
      </w:pPr>
      <w:r>
        <w:rPr>
          <w:rFonts w:ascii="宋体" w:hAnsi="宋体" w:hint="eastAsia"/>
          <w:szCs w:val="21"/>
        </w:rPr>
        <w:t>52.6收文办理</w:t>
      </w:r>
      <w:r>
        <w:rPr>
          <w:rFonts w:ascii="宋体" w:hAnsi="宋体"/>
          <w:szCs w:val="21"/>
        </w:rPr>
        <w:t>程序</w:t>
      </w:r>
    </w:p>
    <w:p>
      <w:pPr>
        <w:spacing w:line="360" w:lineRule="auto"/>
        <w:ind w:firstLine="420" w:firstLineChars="200"/>
        <w:rPr>
          <w:rFonts w:ascii="宋体" w:hAnsi="宋体"/>
          <w:szCs w:val="21"/>
        </w:rPr>
      </w:pPr>
      <w:r>
        <w:rPr>
          <w:rFonts w:ascii="宋体" w:hAnsi="宋体" w:hint="eastAsia"/>
          <w:szCs w:val="21"/>
        </w:rPr>
        <w:t>52.6.1供应商提交的质疑符合受理条件的，政府集中采购机构自收到质疑材料之日起即为受理，应当向供应商出具质疑函收文回执并可以要求其递交质疑的法定代表人（负责人）或者授权代理人签署质疑文书送达地址确认书。</w:t>
      </w:r>
    </w:p>
    <w:p>
      <w:pPr>
        <w:spacing w:line="360" w:lineRule="auto"/>
        <w:ind w:firstLine="420" w:firstLineChars="200"/>
        <w:rPr>
          <w:rFonts w:ascii="仿宋" w:eastAsia="仿宋" w:hAnsi="仿宋"/>
          <w:sz w:val="28"/>
          <w:szCs w:val="28"/>
        </w:rPr>
      </w:pPr>
      <w:r>
        <w:rPr>
          <w:rFonts w:ascii="宋体" w:hAnsi="宋体" w:hint="eastAsia"/>
          <w:szCs w:val="21"/>
        </w:rPr>
        <w:t>52.6.2供应商提交的质疑材料不符合质疑条件的，视情况处理：</w:t>
      </w:r>
    </w:p>
    <w:p>
      <w:pPr>
        <w:spacing w:line="360" w:lineRule="auto"/>
        <w:ind w:firstLine="420" w:firstLineChars="200"/>
        <w:rPr>
          <w:rFonts w:ascii="宋体" w:hAnsi="宋体"/>
          <w:szCs w:val="21"/>
        </w:rPr>
      </w:pPr>
      <w:r>
        <w:rPr>
          <w:rFonts w:ascii="宋体" w:hAnsi="宋体" w:hint="eastAsia"/>
          <w:szCs w:val="21"/>
        </w:rPr>
        <w:t>供应商提交的质疑材料不全或者未按要求签字或者盖章的，政府集中采购机构应当一次性告知供应商需补正的内容和补正期限。</w:t>
      </w:r>
    </w:p>
    <w:p>
      <w:pPr>
        <w:spacing w:line="360" w:lineRule="auto"/>
        <w:ind w:firstLine="420" w:firstLineChars="200"/>
        <w:rPr>
          <w:rFonts w:ascii="宋体" w:hAnsi="宋体"/>
          <w:szCs w:val="21"/>
        </w:rPr>
      </w:pPr>
      <w:r>
        <w:rPr>
          <w:rFonts w:ascii="宋体" w:hAnsi="宋体" w:hint="eastAsia"/>
          <w:szCs w:val="21"/>
        </w:rPr>
        <w:t>供应商提交的质疑存在下列情形之一的，不予受理：</w:t>
      </w:r>
    </w:p>
    <w:p>
      <w:pPr>
        <w:spacing w:line="360" w:lineRule="auto"/>
        <w:ind w:firstLine="420" w:firstLineChars="200"/>
        <w:rPr>
          <w:rFonts w:ascii="宋体" w:hAnsi="宋体"/>
          <w:szCs w:val="21"/>
        </w:rPr>
      </w:pPr>
      <w:r>
        <w:rPr>
          <w:rFonts w:ascii="宋体" w:hAnsi="宋体" w:hint="eastAsia"/>
          <w:szCs w:val="21"/>
        </w:rPr>
        <w:t>（1）质疑主体不满足要求的；</w:t>
      </w:r>
    </w:p>
    <w:p>
      <w:pPr>
        <w:spacing w:line="360" w:lineRule="auto"/>
        <w:ind w:firstLine="420" w:firstLineChars="200"/>
        <w:rPr>
          <w:rFonts w:ascii="宋体" w:hAnsi="宋体"/>
          <w:szCs w:val="21"/>
        </w:rPr>
      </w:pPr>
      <w:r>
        <w:rPr>
          <w:rFonts w:ascii="宋体" w:hAnsi="宋体" w:hint="eastAsia"/>
          <w:szCs w:val="21"/>
        </w:rPr>
        <w:t>（2）供应商自身权益未受到损害的；</w:t>
      </w:r>
    </w:p>
    <w:p>
      <w:pPr>
        <w:spacing w:line="360" w:lineRule="auto"/>
        <w:ind w:firstLine="420" w:firstLineChars="200"/>
        <w:rPr>
          <w:rFonts w:ascii="宋体" w:hAnsi="宋体"/>
          <w:szCs w:val="21"/>
        </w:rPr>
      </w:pPr>
      <w:r>
        <w:rPr>
          <w:rFonts w:ascii="宋体" w:hAnsi="宋体" w:hint="eastAsia"/>
          <w:szCs w:val="21"/>
        </w:rPr>
        <w:t>（3）供应商未在法定质疑期限内提出质疑的；</w:t>
      </w:r>
    </w:p>
    <w:p>
      <w:pPr>
        <w:spacing w:line="360" w:lineRule="auto"/>
        <w:ind w:firstLine="420" w:firstLineChars="200"/>
        <w:rPr>
          <w:rFonts w:ascii="宋体" w:hAnsi="宋体"/>
          <w:szCs w:val="21"/>
        </w:rPr>
      </w:pPr>
      <w:r>
        <w:rPr>
          <w:rFonts w:ascii="宋体" w:hAnsi="宋体" w:hint="eastAsia"/>
          <w:szCs w:val="21"/>
        </w:rPr>
        <w:t>（4）质疑材料不全或者未按要求签字或者盖章的情况下，要求补正后，逾期未补正或者补正后仍不符合规定的；</w:t>
      </w:r>
    </w:p>
    <w:p>
      <w:pPr>
        <w:spacing w:line="360" w:lineRule="auto"/>
        <w:ind w:firstLine="420" w:firstLineChars="200"/>
        <w:rPr>
          <w:rFonts w:ascii="宋体" w:hAnsi="宋体"/>
          <w:szCs w:val="21"/>
        </w:rPr>
      </w:pPr>
      <w:r>
        <w:rPr>
          <w:rFonts w:ascii="宋体" w:hAnsi="宋体" w:hint="eastAsia"/>
          <w:szCs w:val="21"/>
        </w:rPr>
        <w:t>（5）其他不符合受理条件情形的。</w:t>
      </w:r>
    </w:p>
    <w:p>
      <w:pPr>
        <w:spacing w:line="360" w:lineRule="auto"/>
        <w:ind w:firstLine="420" w:firstLineChars="200"/>
        <w:rPr>
          <w:rFonts w:ascii="宋体" w:hAnsi="宋体"/>
          <w:szCs w:val="21"/>
        </w:rPr>
      </w:pPr>
      <w:r>
        <w:rPr>
          <w:rFonts w:ascii="宋体" w:hAnsi="宋体" w:hint="eastAsia"/>
          <w:szCs w:val="21"/>
        </w:rPr>
        <w:t>质疑事项不予受理的，政府集中采购机构应当向供应商出具不符合质疑条件告知书。</w:t>
      </w:r>
    </w:p>
    <w:p>
      <w:pPr>
        <w:spacing w:line="360" w:lineRule="auto"/>
        <w:rPr>
          <w:rFonts w:ascii="宋体" w:hAnsi="宋体"/>
          <w:szCs w:val="21"/>
        </w:rPr>
      </w:pPr>
      <w:r>
        <w:rPr>
          <w:rFonts w:ascii="宋体" w:hAnsi="宋体" w:hint="eastAsia"/>
          <w:color w:val="FF0000"/>
          <w:szCs w:val="21"/>
        </w:rPr>
        <w:t xml:space="preserve">  </w:t>
      </w:r>
      <w:r>
        <w:rPr>
          <w:rFonts w:ascii="宋体" w:hAnsi="宋体" w:hint="eastAsia"/>
          <w:szCs w:val="21"/>
        </w:rPr>
        <w:t xml:space="preserve">  52.7质疑答复时限</w:t>
      </w:r>
    </w:p>
    <w:p>
      <w:pPr>
        <w:spacing w:line="360" w:lineRule="auto"/>
        <w:rPr>
          <w:rFonts w:ascii="宋体" w:hAnsi="宋体"/>
          <w:szCs w:val="21"/>
        </w:rPr>
      </w:pPr>
      <w:r>
        <w:rPr>
          <w:rFonts w:ascii="宋体" w:hAnsi="宋体" w:hint="eastAsia"/>
          <w:szCs w:val="21"/>
        </w:rPr>
        <w:t xml:space="preserve">    自收文之日起七个工作日内。</w:t>
      </w:r>
    </w:p>
    <w:p>
      <w:pPr>
        <w:spacing w:line="360" w:lineRule="auto"/>
        <w:rPr>
          <w:rFonts w:ascii="宋体" w:hAnsi="宋体"/>
          <w:szCs w:val="21"/>
        </w:rPr>
      </w:pPr>
      <w:r>
        <w:rPr>
          <w:rFonts w:ascii="宋体" w:hAnsi="宋体" w:hint="eastAsia"/>
          <w:szCs w:val="21"/>
        </w:rPr>
        <w:t xml:space="preserve">    52.8投诉</w:t>
      </w:r>
    </w:p>
    <w:p>
      <w:pPr>
        <w:spacing w:line="360" w:lineRule="auto"/>
        <w:rPr>
          <w:rFonts w:ascii="宋体" w:hAnsi="宋体"/>
          <w:szCs w:val="21"/>
        </w:rPr>
      </w:pPr>
      <w:r>
        <w:rPr>
          <w:rFonts w:ascii="宋体" w:hAnsi="宋体" w:hint="eastAsia"/>
          <w:szCs w:val="21"/>
        </w:rPr>
        <w:t xml:space="preserve">    对质疑答复不满意或者未在规定时间内答复的，提出质疑的供应商可以在答复期满后15个工作日内向同级财政部门投诉。</w:t>
      </w:r>
    </w:p>
    <w:p>
      <w:pPr>
        <w:spacing w:line="360" w:lineRule="auto"/>
        <w:rPr>
          <w:rFonts w:ascii="黑体" w:eastAsia="黑体" w:hAnsi="宋体"/>
          <w:sz w:val="24"/>
        </w:rPr>
      </w:pPr>
      <w:r>
        <w:rPr>
          <w:rFonts w:ascii="黑体" w:eastAsia="黑体" w:hAnsi="宋体" w:hint="eastAsia"/>
          <w:sz w:val="24"/>
        </w:rPr>
        <w:t>53. 质疑后续处理</w:t>
      </w:r>
    </w:p>
    <w:p>
      <w:pPr>
        <w:spacing w:line="360" w:lineRule="auto"/>
        <w:rPr>
          <w:rFonts w:ascii="宋体" w:hAnsi="宋体"/>
          <w:szCs w:val="21"/>
        </w:rPr>
      </w:pPr>
      <w:r>
        <w:rPr>
          <w:rFonts w:ascii="宋体" w:hAnsi="宋体" w:hint="eastAsia"/>
          <w:szCs w:val="21"/>
        </w:rPr>
        <w:t xml:space="preserve">    53.1供应商质疑不成立，或者成立但未对中标、成交结果构成影响的，继续开展采购活动。</w:t>
      </w:r>
    </w:p>
    <w:p>
      <w:pPr>
        <w:spacing w:line="360" w:lineRule="auto"/>
        <w:rPr>
          <w:rFonts w:ascii="宋体" w:hAnsi="宋体"/>
          <w:szCs w:val="21"/>
        </w:rPr>
      </w:pPr>
      <w:r>
        <w:rPr>
          <w:rFonts w:ascii="宋体" w:hAnsi="宋体" w:hint="eastAsia"/>
          <w:szCs w:val="21"/>
        </w:rPr>
        <w:t xml:space="preserve">    53.2供应商质疑成立且影响或者可能影响中标、成交结果的，按照下列情况处理：（1）对采购文件提出的质疑，依法通过澄清或者修改可以继续开展采购活动的，澄清或者修改采购文件后继续开展采购活动；否则应当修改采购文件后重新开展采购活动。（2）对采购过程、中标或者成交结果提出的质疑，合格供应商符合法定数量时，可以从合格的中标或者成交候选人中另行确定中标、成交供应商的，应当依法另行确定中标、成交供应商；否则应当重新开展采购活动。</w:t>
      </w:r>
    </w:p>
    <w:p>
      <w:pPr>
        <w:jc w:val="center"/>
      </w:pPr>
      <w:r>
        <w:t>---- END ----</w:t>
      </w:r>
    </w:p>
    <w:p>
      <w:bookmarkEnd w:id="98"/>
    </w:p>
    <w:p>
      <w:pPr>
        <w:ind w:firstLine="420" w:firstLineChars="200"/>
        <w:rPr>
          <w:rFonts w:ascii="宋体" w:hAnsi="宋体"/>
          <w:szCs w:val="21"/>
        </w:rPr>
      </w:pPr>
    </w:p>
    <w:sectPr>
      <w:pgSz w:w="11907" w:h="16840"/>
      <w:pgMar w:top="1440" w:right="1797" w:bottom="1440" w:left="1797" w:header="851" w:footer="992" w:gutter="0"/>
      <w:cols w:num="1" w:space="425"/>
      <w:titlePg/>
      <w:docGrid w:linePitch="462" w:charSpace="0"/>
    </w:sectPr>
  </w:body>
</w:document>
</file>

<file path=word/comments.xml><?xml version="1.0" encoding="utf-8"?>
<w:comments xmlns:w="http://schemas.openxmlformats.org/wordprocessingml/2006/main"/>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隶书">
    <w:panose1 w:val="02010509060101010101"/>
    <w:charset w:val="86"/>
    <w:family w:val="modern"/>
    <w:pitch w:val="default"/>
    <w:sig w:usb0="00000001" w:usb1="080E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auto"/>
    <w:pitch w:val="default"/>
    <w:sig w:usb0="00000001" w:usb1="080E0000" w:usb2="00000000" w:usb3="00000000" w:csb0="00040000" w:csb1="00000000"/>
  </w:font>
  <w:font w:name="长城仿宋">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文鼎粗黑">
    <w:altName w:val="黑体"/>
    <w:panose1 w:val="00000000000000000000"/>
    <w:charset w:val="86"/>
    <w:family w:val="modern"/>
    <w:pitch w:val="default"/>
    <w:sig w:usb0="00000000" w:usb1="00000000" w:usb2="00000010" w:usb3="00000000" w:csb0="00040000" w:csb1="00000000"/>
  </w:font>
  <w:font w:name="Arial (W1)">
    <w:altName w:val="Arial"/>
    <w:panose1 w:val="00000000000000000000"/>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汉仪细等线简">
    <w:altName w:val="宋体"/>
    <w:panose1 w:val="00000000000000000000"/>
    <w:charset w:val="86"/>
    <w:family w:val="modern"/>
    <w:pitch w:val="default"/>
    <w:sig w:usb0="00000000" w:usb1="00000000" w:usb2="00000012" w:usb3="00000000" w:csb0="00040000" w:csb1="00000000"/>
  </w:font>
  <w:font w:name="H Yb 2gj">
    <w:altName w:val="黑体"/>
    <w:panose1 w:val="00000000000000000000"/>
    <w:charset w:val="86"/>
    <w:family w:val="auto"/>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t xml:space="preserve">- </w:t>
    </w:r>
    <w:r>
      <w:fldChar w:fldCharType="begin"/>
    </w:r>
    <w:r>
      <w:instrText xml:space="preserve"> PAGE </w:instrText>
    </w:r>
    <w:r>
      <w:fldChar w:fldCharType="separate"/>
    </w:r>
    <w:r>
      <w:t>112</w:t>
    </w:r>
    <w:r>
      <w:fldChar w:fldCharType="end"/>
    </w:r>
    <w:r>
      <w:t xml:space="preserve"> -</w:t>
    </w:r>
  </w:p>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top w:val="nil"/>
        <w:left w:val="nil"/>
        <w:bottom w:val="nil"/>
        <w:right w:val="nil"/>
        <w:between w:val="nil"/>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0D5FE1F"/>
    <w:multiLevelType w:val="singleLevel"/>
    <w:tmpl w:val="80D5FE1F"/>
    <w:lvl w:ilvl="0">
      <w:start w:val="6"/>
      <w:numFmt w:val="chineseCounting"/>
      <w:suff w:val="nothing"/>
      <w:lvlText w:val="（%1）"/>
      <w:lvlJc w:val="left"/>
      <w:rPr>
        <w:rFonts w:hint="eastAsia"/>
      </w:rPr>
    </w:lvl>
  </w:abstractNum>
  <w:abstractNum w:abstractNumId="1">
    <w:nsid w:val="A702A6DD"/>
    <w:multiLevelType w:val="singleLevel"/>
    <w:tmpl w:val="A702A6DD"/>
    <w:lvl w:ilvl="0">
      <w:start w:val="1"/>
      <w:numFmt w:val="decimal"/>
      <w:suff w:val="nothing"/>
      <w:lvlText w:val="%1、"/>
      <w:lvlJc w:val="left"/>
    </w:lvl>
  </w:abstractNum>
  <w:abstractNum w:abstractNumId="2">
    <w:nsid w:val="B292E4E8"/>
    <w:multiLevelType w:val="singleLevel"/>
    <w:tmpl w:val="B292E4E8"/>
    <w:lvl w:ilvl="0">
      <w:start w:val="1"/>
      <w:numFmt w:val="decimal"/>
      <w:suff w:val="nothing"/>
      <w:lvlText w:val="（%1）"/>
      <w:lvlJc w:val="left"/>
    </w:lvl>
  </w:abstractNum>
  <w:abstractNum w:abstractNumId="3">
    <w:nsid w:val="B4F30691"/>
    <w:multiLevelType w:val="singleLevel"/>
    <w:tmpl w:val="B4F30691"/>
    <w:lvl w:ilvl="0">
      <w:start w:val="3"/>
      <w:numFmt w:val="decimal"/>
      <w:suff w:val="nothing"/>
      <w:lvlText w:val="（%1）"/>
      <w:lvlJc w:val="left"/>
    </w:lvl>
  </w:abstractNum>
  <w:abstractNum w:abstractNumId="4">
    <w:nsid w:val="B9358C2E"/>
    <w:multiLevelType w:val="singleLevel"/>
    <w:tmpl w:val="B9358C2E"/>
    <w:lvl w:ilvl="0">
      <w:start w:val="2"/>
      <w:numFmt w:val="decimal"/>
      <w:suff w:val="nothing"/>
      <w:lvlText w:val="%1、"/>
      <w:lvlJc w:val="left"/>
    </w:lvl>
  </w:abstractNum>
  <w:abstractNum w:abstractNumId="5">
    <w:nsid w:val="CA0BA300"/>
    <w:multiLevelType w:val="singleLevel"/>
    <w:tmpl w:val="CA0BA300"/>
    <w:lvl w:ilvl="0">
      <w:start w:val="2"/>
      <w:numFmt w:val="decimal"/>
      <w:suff w:val="nothing"/>
      <w:lvlText w:val="（%1）"/>
      <w:lvlJc w:val="left"/>
    </w:lvl>
  </w:abstractNum>
  <w:abstractNum w:abstractNumId="6">
    <w:nsid w:val="FFFFFF7C"/>
    <w:multiLevelType w:val="singleLevel"/>
    <w:tmpl w:val="FFFFFF7C"/>
    <w:lvl w:ilvl="0">
      <w:start w:val="1"/>
      <w:numFmt w:val="decimal"/>
      <w:pStyle w:val="41"/>
      <w:lvlText w:val="%1."/>
      <w:lvlJc w:val="left"/>
      <w:pPr>
        <w:tabs>
          <w:tab w:val="left" w:pos="2040"/>
        </w:tabs>
        <w:ind w:left="2040" w:hanging="360" w:leftChars="800" w:hangingChars="200"/>
      </w:pPr>
    </w:lvl>
  </w:abstractNum>
  <w:abstractNum w:abstractNumId="7">
    <w:nsid w:val="FFFFFF89"/>
    <w:multiLevelType w:val="singleLevel"/>
    <w:tmpl w:val="FFFFFF89"/>
    <w:lvl w:ilvl="0">
      <w:start w:val="1"/>
      <w:numFmt w:val="bullet"/>
      <w:pStyle w:val="ListBullet"/>
      <w:lvlText w:val=""/>
      <w:lvlJc w:val="left"/>
      <w:pPr>
        <w:tabs>
          <w:tab w:val="left" w:pos="360"/>
        </w:tabs>
        <w:ind w:left="360" w:hanging="360" w:hangingChars="200"/>
      </w:pPr>
      <w:rPr>
        <w:rFonts w:ascii="Wingdings" w:hAnsi="Wingdings" w:hint="default"/>
      </w:rPr>
    </w:lvl>
  </w:abstractNum>
  <w:abstractNum w:abstractNumId="8">
    <w:nsid w:val="00000001"/>
    <w:multiLevelType w:val="singleLevel"/>
    <w:tmpl w:val="00000001"/>
    <w:lvl w:ilvl="0">
      <w:start w:val="1"/>
      <w:numFmt w:val="chineseCounting"/>
      <w:suff w:val="nothing"/>
      <w:lvlText w:val="（%1）"/>
      <w:lvlJc w:val="left"/>
      <w:rPr>
        <w:rFonts w:hint="eastAsia"/>
      </w:rPr>
    </w:lvl>
  </w:abstractNum>
  <w:abstractNum w:abstractNumId="9">
    <w:nsid w:val="058A02AF"/>
    <w:multiLevelType w:val="singleLevel"/>
    <w:tmpl w:val="058A02AF"/>
    <w:lvl w:ilvl="0">
      <w:start w:val="2"/>
      <w:numFmt w:val="decimal"/>
      <w:suff w:val="nothing"/>
      <w:lvlText w:val="（%1）"/>
      <w:lvlJc w:val="left"/>
      <w:pPr>
        <w:ind w:left="440" w:hanging="440"/>
      </w:pPr>
      <w:rPr>
        <w:rFonts w:hint="eastAsia"/>
      </w:rPr>
    </w:lvl>
  </w:abstractNum>
  <w:abstractNum w:abstractNumId="10">
    <w:nsid w:val="07783571"/>
    <w:multiLevelType w:val="multilevel"/>
    <w:tmpl w:val="07783571"/>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nsid w:val="09F81FD3"/>
    <w:multiLevelType w:val="multilevel"/>
    <w:tmpl w:val="09F81FD3"/>
    <w:lvl w:ilvl="0">
      <w:start w:val="1"/>
      <w:numFmt w:val="japaneseCounting"/>
      <w:lvlText w:val="第%1章"/>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0A451FAE"/>
    <w:multiLevelType w:val="multilevel"/>
    <w:tmpl w:val="0A451FAE"/>
    <w:lvl w:ilvl="0">
      <w:start w:val="1"/>
      <w:numFmt w:val="decimal"/>
      <w:lvlText w:val="%1)"/>
      <w:lvlJc w:val="left"/>
      <w:pPr>
        <w:ind w:left="860" w:hanging="440"/>
      </w:pPr>
    </w:lvl>
    <w:lvl w:ilvl="1">
      <w:start w:val="1"/>
      <w:numFmt w:val="decimal"/>
      <w:lvlText w:val="%2）"/>
      <w:lvlJc w:val="left"/>
      <w:pPr>
        <w:ind w:left="1220" w:hanging="360"/>
      </w:pPr>
      <w:rPr>
        <w:rFonts w:hint="default"/>
      </w:r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nsid w:val="12503483"/>
    <w:multiLevelType w:val="multilevel"/>
    <w:tmpl w:val="12503483"/>
    <w:lvl w:ilvl="0">
      <w:start w:val="1"/>
      <w:numFmt w:val="bullet"/>
      <w:pStyle w:val="a5"/>
      <w:lvlText w:val=""/>
      <w:lvlJc w:val="left"/>
      <w:pPr>
        <w:tabs>
          <w:tab w:val="left" w:pos="420"/>
        </w:tabs>
        <w:ind w:left="420" w:hanging="420"/>
      </w:pPr>
      <w:rPr>
        <w:rFonts w:ascii="Wingdings" w:hAnsi="Wingdings" w:hint="default"/>
      </w:rPr>
    </w:lvl>
    <w:lvl w:ilvl="1">
      <w:start w:val="1"/>
      <w:numFmt w:val="bullet"/>
      <w:pStyle w:val="a4"/>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13F67106"/>
    <w:multiLevelType w:val="multilevel"/>
    <w:tmpl w:val="13F67106"/>
    <w:lvl w:ilvl="0">
      <w:start w:val="1"/>
      <w:numFmt w:val="decimal"/>
      <w:suff w:val="nothing"/>
      <w:lvlText w:val="%1)"/>
      <w:lvlJc w:val="left"/>
      <w:pPr>
        <w:ind w:left="866" w:hanging="440"/>
      </w:pPr>
      <w:rPr>
        <w:rFonts w:hint="eastAsia"/>
      </w:rPr>
    </w:lvl>
    <w:lvl w:ilvl="1">
      <w:start w:val="1"/>
      <w:numFmt w:val="upperLetter"/>
      <w:suff w:val="nothing"/>
      <w:lvlText w:val="%2."/>
      <w:lvlJc w:val="left"/>
      <w:pPr>
        <w:ind w:left="1306" w:hanging="440"/>
      </w:pPr>
      <w:rPr>
        <w:rFonts w:hint="eastAsia"/>
      </w:rPr>
    </w:lvl>
    <w:lvl w:ilvl="2">
      <w:start w:val="1"/>
      <w:numFmt w:val="lowerRoman"/>
      <w:lvlText w:val="%3."/>
      <w:lvlJc w:val="right"/>
      <w:pPr>
        <w:ind w:left="1746" w:hanging="440"/>
      </w:pPr>
      <w:rPr>
        <w:rFonts w:hint="eastAsia"/>
      </w:rPr>
    </w:lvl>
    <w:lvl w:ilvl="3">
      <w:start w:val="1"/>
      <w:numFmt w:val="decimal"/>
      <w:suff w:val="nothing"/>
      <w:lvlText w:val="%4."/>
      <w:lvlJc w:val="left"/>
      <w:pPr>
        <w:ind w:left="2186" w:hanging="440"/>
      </w:pPr>
      <w:rPr>
        <w:rFonts w:hint="eastAsia"/>
      </w:rPr>
    </w:lvl>
    <w:lvl w:ilvl="4">
      <w:start w:val="1"/>
      <w:numFmt w:val="lowerLetter"/>
      <w:lvlText w:val="%5)"/>
      <w:lvlJc w:val="left"/>
      <w:pPr>
        <w:ind w:left="2626" w:hanging="440"/>
      </w:pPr>
      <w:rPr>
        <w:rFonts w:hint="eastAsia"/>
      </w:rPr>
    </w:lvl>
    <w:lvl w:ilvl="5">
      <w:start w:val="1"/>
      <w:numFmt w:val="lowerRoman"/>
      <w:lvlText w:val="%6."/>
      <w:lvlJc w:val="right"/>
      <w:pPr>
        <w:ind w:left="3066" w:hanging="440"/>
      </w:pPr>
      <w:rPr>
        <w:rFonts w:hint="eastAsia"/>
      </w:rPr>
    </w:lvl>
    <w:lvl w:ilvl="6">
      <w:start w:val="1"/>
      <w:numFmt w:val="decimal"/>
      <w:lvlText w:val="%7."/>
      <w:lvlJc w:val="left"/>
      <w:pPr>
        <w:ind w:left="3506" w:hanging="440"/>
      </w:pPr>
      <w:rPr>
        <w:rFonts w:hint="eastAsia"/>
      </w:rPr>
    </w:lvl>
    <w:lvl w:ilvl="7">
      <w:start w:val="1"/>
      <w:numFmt w:val="lowerLetter"/>
      <w:lvlText w:val="%8)"/>
      <w:lvlJc w:val="left"/>
      <w:pPr>
        <w:ind w:left="3946" w:hanging="440"/>
      </w:pPr>
      <w:rPr>
        <w:rFonts w:hint="eastAsia"/>
      </w:rPr>
    </w:lvl>
    <w:lvl w:ilvl="8">
      <w:start w:val="1"/>
      <w:numFmt w:val="lowerRoman"/>
      <w:lvlText w:val="%9."/>
      <w:lvlJc w:val="right"/>
      <w:pPr>
        <w:ind w:left="4386" w:hanging="440"/>
      </w:pPr>
      <w:rPr>
        <w:rFonts w:hint="eastAsia"/>
      </w:rPr>
    </w:lvl>
  </w:abstractNum>
  <w:abstractNum w:abstractNumId="15">
    <w:nsid w:val="140B173E"/>
    <w:multiLevelType w:val="multilevel"/>
    <w:tmpl w:val="140B173E"/>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nsid w:val="160D20D0"/>
    <w:multiLevelType w:val="multilevel"/>
    <w:tmpl w:val="160D20D0"/>
    <w:lvl w:ilvl="0">
      <w:start w:val="1"/>
      <w:numFmt w:val="bullet"/>
      <w:pStyle w:val="RFItextfrom3rdLevel"/>
      <w:lvlText w:val=""/>
      <w:lvlJc w:val="left"/>
      <w:pPr>
        <w:tabs>
          <w:tab w:val="left" w:pos="840"/>
        </w:tabs>
        <w:ind w:left="840" w:hanging="420"/>
      </w:pPr>
      <w:rPr>
        <w:rFonts w:ascii="Wingdings" w:hAnsi="Wingdings" w:hint="default"/>
      </w:rPr>
    </w:lvl>
    <w:lvl w:ilvl="1">
      <w:start w:val="1"/>
      <w:numFmt w:val="bullet"/>
      <w:pStyle w:val="a3"/>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7">
    <w:nsid w:val="2F395B7B"/>
    <w:multiLevelType w:val="multilevel"/>
    <w:tmpl w:val="2F395B7B"/>
    <w:lvl w:ilvl="0">
      <w:start w:val="1"/>
      <w:numFmt w:val="bullet"/>
      <w:pStyle w:val="11"/>
      <w:lvlText w:val=""/>
      <w:lvlJc w:val="left"/>
      <w:pPr>
        <w:tabs>
          <w:tab w:val="left" w:pos="360"/>
        </w:tabs>
        <w:ind w:left="360" w:hanging="360"/>
      </w:pPr>
      <w:rPr>
        <w:rFonts w:ascii="Symbol" w:hAnsi="Symbol" w:hint="default"/>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8">
    <w:nsid w:val="33016833"/>
    <w:multiLevelType w:val="multilevel"/>
    <w:tmpl w:val="33016833"/>
    <w:lvl w:ilvl="0">
      <w:start w:val="1"/>
      <w:numFmt w:val="decimal"/>
      <w:suff w:val="nothing"/>
      <w:lvlText w:val="%1"/>
      <w:lvlJc w:val="left"/>
      <w:pPr>
        <w:ind w:left="86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nsid w:val="349755B2"/>
    <w:multiLevelType w:val="multilevel"/>
    <w:tmpl w:val="349755B2"/>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nsid w:val="3DB576DE"/>
    <w:multiLevelType w:val="multilevel"/>
    <w:tmpl w:val="3DB576DE"/>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nsid w:val="3E2017BC"/>
    <w:multiLevelType w:val="multilevel"/>
    <w:tmpl w:val="3E2017BC"/>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nsid w:val="3F2B17D9"/>
    <w:multiLevelType w:val="multilevel"/>
    <w:tmpl w:val="3F2B17D9"/>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
    <w:nsid w:val="423A233B"/>
    <w:multiLevelType w:val="singleLevel"/>
    <w:tmpl w:val="423A233B"/>
    <w:lvl w:ilvl="0">
      <w:start w:val="8"/>
      <w:numFmt w:val="chineseCounting"/>
      <w:suff w:val="nothing"/>
      <w:lvlText w:val="%1、"/>
      <w:lvlJc w:val="left"/>
      <w:rPr>
        <w:rFonts w:hint="eastAsia"/>
      </w:rPr>
    </w:lvl>
  </w:abstractNum>
  <w:abstractNum w:abstractNumId="24">
    <w:nsid w:val="4A784619"/>
    <w:multiLevelType w:val="singleLevel"/>
    <w:tmpl w:val="4A784619"/>
    <w:lvl w:ilvl="0">
      <w:start w:val="2"/>
      <w:numFmt w:val="chineseCounting"/>
      <w:suff w:val="nothing"/>
      <w:lvlText w:val="%1、"/>
      <w:lvlJc w:val="left"/>
      <w:rPr>
        <w:rFonts w:hint="eastAsia"/>
      </w:rPr>
    </w:lvl>
  </w:abstractNum>
  <w:abstractNum w:abstractNumId="25">
    <w:nsid w:val="4B3445D2"/>
    <w:multiLevelType w:val="multilevel"/>
    <w:tmpl w:val="4B3445D2"/>
    <w:lvl w:ilvl="0">
      <w:start w:val="1"/>
      <w:numFmt w:val="decimal"/>
      <w:suff w:val="nothing"/>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6">
    <w:nsid w:val="594A29DA"/>
    <w:multiLevelType w:val="multilevel"/>
    <w:tmpl w:val="594A29D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7">
    <w:nsid w:val="59961A3C"/>
    <w:multiLevelType w:val="multilevel"/>
    <w:tmpl w:val="59961A3C"/>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nsid w:val="5AF068C8"/>
    <w:multiLevelType w:val="multilevel"/>
    <w:tmpl w:val="5AF068C8"/>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9">
    <w:nsid w:val="5D025E2F"/>
    <w:multiLevelType w:val="multilevel"/>
    <w:tmpl w:val="5D025E2F"/>
    <w:lvl w:ilvl="0">
      <w:start w:val="1"/>
      <w:numFmt w:val="decimal"/>
      <w:suff w:val="nothing"/>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nsid w:val="5EAC3279"/>
    <w:multiLevelType w:val="multilevel"/>
    <w:tmpl w:val="5EAC3279"/>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1">
    <w:nsid w:val="62095185"/>
    <w:multiLevelType w:val="multilevel"/>
    <w:tmpl w:val="62095185"/>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nsid w:val="6214608E"/>
    <w:multiLevelType w:val="multilevel"/>
    <w:tmpl w:val="6214608E"/>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3">
    <w:nsid w:val="67516D7D"/>
    <w:multiLevelType w:val="multilevel"/>
    <w:tmpl w:val="67516D7D"/>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4">
    <w:nsid w:val="68AA0322"/>
    <w:multiLevelType w:val="multilevel"/>
    <w:tmpl w:val="68AA0322"/>
    <w:lvl w:ilvl="0">
      <w:start w:val="1"/>
      <w:numFmt w:val="decimal"/>
      <w:suff w:val="nothing"/>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nsid w:val="6935699F"/>
    <w:multiLevelType w:val="multilevel"/>
    <w:tmpl w:val="6935699F"/>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6">
    <w:nsid w:val="762C44CB"/>
    <w:multiLevelType w:val="singleLevel"/>
    <w:tmpl w:val="762C44CB"/>
    <w:lvl w:ilvl="0">
      <w:start w:val="2"/>
      <w:numFmt w:val="chineseCounting"/>
      <w:suff w:val="space"/>
      <w:lvlText w:val="第%1章"/>
      <w:lvlJc w:val="left"/>
      <w:rPr>
        <w:rFonts w:hint="eastAsia"/>
      </w:rPr>
    </w:lvl>
  </w:abstractNum>
  <w:abstractNum w:abstractNumId="37">
    <w:nsid w:val="766251EB"/>
    <w:multiLevelType w:val="multilevel"/>
    <w:tmpl w:val="766251EB"/>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8">
    <w:nsid w:val="7AEF7716"/>
    <w:multiLevelType w:val="multilevel"/>
    <w:tmpl w:val="7AEF7716"/>
    <w:lvl w:ilvl="0">
      <w:start w:val="1"/>
      <w:numFmt w:val="chineseCountingThousand"/>
      <w:pStyle w:val="3"/>
      <w:lvlText w:val="%1"/>
      <w:lvlJc w:val="left"/>
      <w:pPr>
        <w:tabs>
          <w:tab w:val="left" w:pos="1290"/>
        </w:tabs>
        <w:ind w:left="630" w:hanging="420"/>
      </w:pPr>
      <w:rPr>
        <w:rFonts w:hint="eastAsia"/>
        <w:sz w:val="32"/>
        <w:szCs w:val="32"/>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nsid w:val="7B6478C6"/>
    <w:multiLevelType w:val="multilevel"/>
    <w:tmpl w:val="7B6478C6"/>
    <w:lvl w:ilvl="0">
      <w:start w:val="1"/>
      <w:numFmt w:val="decimal"/>
      <w:lvlText w:val="%1"/>
      <w:lvlJc w:val="left"/>
      <w:pPr>
        <w:ind w:left="922" w:hanging="440"/>
      </w:pPr>
      <w:rPr>
        <w:rFonts w:hint="eastAsia"/>
      </w:rPr>
    </w:lvl>
    <w:lvl w:ilvl="1">
      <w:start w:val="1"/>
      <w:numFmt w:val="decimal"/>
      <w:suff w:val="nothing"/>
      <w:lvlText w:val="（%2）"/>
      <w:lvlJc w:val="left"/>
      <w:pPr>
        <w:ind w:left="0" w:firstLine="284"/>
      </w:pPr>
      <w:rPr>
        <w:rFonts w:hint="eastAsia"/>
        <w:lang w:val="en-US"/>
      </w:rPr>
    </w:lvl>
    <w:lvl w:ilvl="2">
      <w:start w:val="2"/>
      <w:numFmt w:val="bullet"/>
      <w:lvlText w:val="★"/>
      <w:lvlJc w:val="left"/>
      <w:pPr>
        <w:ind w:left="1722" w:hanging="360"/>
      </w:pPr>
      <w:rPr>
        <w:rFonts w:ascii="宋体" w:eastAsia="宋体" w:hAnsi="宋体" w:cs="Times New Roman" w:hint="eastAsia"/>
      </w:rPr>
    </w:lvl>
    <w:lvl w:ilvl="3">
      <w:start w:val="1"/>
      <w:numFmt w:val="decimal"/>
      <w:lvlText w:val="%4."/>
      <w:lvlJc w:val="left"/>
      <w:pPr>
        <w:ind w:left="2242" w:hanging="440"/>
      </w:pPr>
      <w:rPr>
        <w:rFonts w:hint="eastAsia"/>
      </w:rPr>
    </w:lvl>
    <w:lvl w:ilvl="4">
      <w:start w:val="1"/>
      <w:numFmt w:val="lowerLetter"/>
      <w:lvlText w:val="%5)"/>
      <w:lvlJc w:val="left"/>
      <w:pPr>
        <w:ind w:left="2682" w:hanging="440"/>
      </w:pPr>
      <w:rPr>
        <w:rFonts w:hint="eastAsia"/>
      </w:rPr>
    </w:lvl>
    <w:lvl w:ilvl="5">
      <w:start w:val="1"/>
      <w:numFmt w:val="lowerRoman"/>
      <w:lvlText w:val="%6."/>
      <w:lvlJc w:val="right"/>
      <w:pPr>
        <w:ind w:left="3122" w:hanging="440"/>
      </w:pPr>
      <w:rPr>
        <w:rFonts w:hint="eastAsia"/>
      </w:rPr>
    </w:lvl>
    <w:lvl w:ilvl="6">
      <w:start w:val="1"/>
      <w:numFmt w:val="decimal"/>
      <w:lvlText w:val="%7."/>
      <w:lvlJc w:val="left"/>
      <w:pPr>
        <w:ind w:left="3562" w:hanging="440"/>
      </w:pPr>
      <w:rPr>
        <w:rFonts w:hint="eastAsia"/>
      </w:rPr>
    </w:lvl>
    <w:lvl w:ilvl="7">
      <w:start w:val="1"/>
      <w:numFmt w:val="lowerLetter"/>
      <w:lvlText w:val="%8)"/>
      <w:lvlJc w:val="left"/>
      <w:pPr>
        <w:ind w:left="4002" w:hanging="440"/>
      </w:pPr>
      <w:rPr>
        <w:rFonts w:hint="eastAsia"/>
      </w:rPr>
    </w:lvl>
    <w:lvl w:ilvl="8">
      <w:start w:val="1"/>
      <w:numFmt w:val="lowerRoman"/>
      <w:lvlText w:val="%9."/>
      <w:lvlJc w:val="right"/>
      <w:pPr>
        <w:ind w:left="4442" w:hanging="440"/>
      </w:pPr>
      <w:rPr>
        <w:rFonts w:hint="eastAsia"/>
      </w:rPr>
    </w:lvl>
  </w:abstractNum>
  <w:abstractNum w:abstractNumId="40">
    <w:nsid w:val="7C800E7E"/>
    <w:multiLevelType w:val="multilevel"/>
    <w:tmpl w:val="7C800E7E"/>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1">
    <w:nsid w:val="7DCE2381"/>
    <w:multiLevelType w:val="multilevel"/>
    <w:tmpl w:val="7DCE2381"/>
    <w:lvl w:ilvl="0">
      <w:start w:val="1"/>
      <w:numFmt w:val="decimal"/>
      <w:lvlText w:val="%1）"/>
      <w:lvlJc w:val="left"/>
      <w:pPr>
        <w:ind w:left="315" w:hanging="315"/>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7"/>
  </w:num>
  <w:num w:numId="2">
    <w:abstractNumId w:val="6"/>
  </w:num>
  <w:num w:numId="3">
    <w:abstractNumId w:val="16"/>
  </w:num>
  <w:num w:numId="4">
    <w:abstractNumId w:val="13"/>
  </w:num>
  <w:num w:numId="5">
    <w:abstractNumId w:val="38"/>
  </w:num>
  <w:num w:numId="6">
    <w:abstractNumId w:val="17"/>
  </w:num>
  <w:num w:numId="7">
    <w:abstractNumId w:val="8"/>
  </w:num>
  <w:num w:numId="8">
    <w:abstractNumId w:val="36"/>
  </w:num>
  <w:num w:numId="9">
    <w:abstractNumId w:val="3"/>
  </w:num>
  <w:num w:numId="10">
    <w:abstractNumId w:val="37"/>
  </w:num>
  <w:num w:numId="11">
    <w:abstractNumId w:val="12"/>
  </w:num>
  <w:num w:numId="12">
    <w:abstractNumId w:val="18"/>
  </w:num>
  <w:num w:numId="13">
    <w:abstractNumId w:val="15"/>
  </w:num>
  <w:num w:numId="14">
    <w:abstractNumId w:val="14"/>
  </w:num>
  <w:num w:numId="15">
    <w:abstractNumId w:val="22"/>
  </w:num>
  <w:num w:numId="16">
    <w:abstractNumId w:val="3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0"/>
  </w:num>
  <w:num w:numId="19">
    <w:abstractNumId w:val="41"/>
  </w:num>
  <w:num w:numId="20">
    <w:abstractNumId w:val="31"/>
  </w:num>
  <w:num w:numId="21">
    <w:abstractNumId w:val="2"/>
  </w:num>
  <w:num w:numId="22">
    <w:abstractNumId w:val="34"/>
  </w:num>
  <w:num w:numId="23">
    <w:abstractNumId w:val="9"/>
  </w:num>
  <w:num w:numId="24">
    <w:abstractNumId w:val="25"/>
  </w:num>
  <w:num w:numId="25">
    <w:abstractNumId w:val="20"/>
  </w:num>
  <w:num w:numId="26">
    <w:abstractNumId w:val="27"/>
  </w:num>
  <w:num w:numId="27">
    <w:abstractNumId w:val="33"/>
  </w:num>
  <w:num w:numId="28">
    <w:abstractNumId w:val="26"/>
  </w:num>
  <w:num w:numId="29">
    <w:abstractNumId w:val="32"/>
  </w:num>
  <w:num w:numId="30">
    <w:abstractNumId w:val="28"/>
  </w:num>
  <w:num w:numId="31">
    <w:abstractNumId w:val="30"/>
  </w:num>
  <w:num w:numId="32">
    <w:abstractNumId w:val="19"/>
  </w:num>
  <w:num w:numId="33">
    <w:abstractNumId w:val="40"/>
  </w:num>
  <w:num w:numId="34">
    <w:abstractNumId w:val="21"/>
  </w:num>
  <w:num w:numId="35">
    <w:abstractNumId w:val="35"/>
  </w:num>
  <w:num w:numId="36">
    <w:abstractNumId w:val="5"/>
  </w:num>
  <w:num w:numId="37">
    <w:abstractNumId w:val="29"/>
  </w:num>
  <w:num w:numId="38">
    <w:abstractNumId w:val="24"/>
  </w:num>
  <w:num w:numId="39">
    <w:abstractNumId w:val="1"/>
  </w:num>
  <w:num w:numId="40">
    <w:abstractNumId w:val="23"/>
  </w:num>
  <w:num w:numId="41">
    <w:abstractNumId w:val="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40"/>
  <w:doNotDisplayPageBoundaries/>
  <w:trackRevisions/>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yMjQyYWZiM2QxZDA4NjVmNjY5ZWFjYjA3NmY3MjcifQ=="/>
    <w:docVar w:name="KSO_WPS_MARK_KEY" w:val="6b998454-020b-41f4-ae86-dd56a9042ffb"/>
  </w:docVar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unhideWhenUsed="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unhideWhenUsed="0" w:qFormat="1"/>
    <w:lsdException w:name="toc 2" w:uiPriority="0" w:unhideWhenUsed="0" w:qFormat="1"/>
    <w:lsdException w:name="toc 3" w:uiPriority="0"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Normal Indent" w:semiHidden="0" w:uiPriority="0" w:unhideWhenUsed="0" w:qFormat="1"/>
    <w:lsdException w:name="footnote text" w:uiPriority="0"/>
    <w:lsdException w:name="annotation text" w:semiHidden="0" w:unhideWhenUsed="0" w:qFormat="1"/>
    <w:lsdException w:name="header" w:semiHidden="0" w:unhideWhenUsed="0" w:qFormat="1"/>
    <w:lsdException w:name="footer" w:semiHidden="0" w:uiPriority="0" w:unhideWhenUsed="0" w:qFormat="1"/>
    <w:lsdException w:name="index heading" w:uiPriority="0"/>
    <w:lsdException w:name="caption" w:semiHidden="0" w:uiPriority="0" w:unhideWhenUsed="0" w:qFormat="1"/>
    <w:lsdException w:name="table of figures" w:uiPriority="0"/>
    <w:lsdException w:name="envelope address" w:uiPriority="0"/>
    <w:lsdException w:name="envelope return" w:uiPriority="0"/>
    <w:lsdException w:name="footnote reference" w:uiPriority="0"/>
    <w:lsdException w:name="annotation reference" w:semiHidden="0" w:unhideWhenUsed="0" w:qFormat="1"/>
    <w:lsdException w:name="line number" w:uiPriority="0"/>
    <w:lsdException w:name="page number" w:semiHidden="0" w:uiPriority="0" w:unhideWhenUsed="0" w:qFormat="1"/>
    <w:lsdException w:name="endnote reference" w:uiPriority="0"/>
    <w:lsdException w:name="endnote text" w:uiPriority="0"/>
    <w:lsdException w:name="table of authorities" w:semiHidden="0" w:uiPriority="0" w:unhideWhenUsed="0"/>
    <w:lsdException w:name="macro" w:uiPriority="0"/>
    <w:lsdException w:name="toa heading" w:uiPriority="0"/>
    <w:lsdException w:name="List" w:semiHidden="0" w:uiPriority="0" w:unhideWhenUsed="0"/>
    <w:lsdException w:name="List Bullet" w:semiHidden="0" w:uiPriority="0" w:unhideWhenUsed="0" w:qFormat="1"/>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qFormat="1"/>
    <w:lsdException w:name="Body Text" w:semiHidden="0" w:uiPriority="0" w:unhideWhenUsed="0" w:qFormat="1"/>
    <w:lsdException w:name="Body Text Indent" w:semiHidden="0" w:uiPriority="0" w:unhideWhenUsed="0" w:qFormat="1"/>
    <w:lsdException w:name="List Continue" w:uiPriority="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uiPriority="0"/>
    <w:lsdException w:name="Subtitle" w:semiHidden="0" w:uiPriority="0" w:unhideWhenUsed="0" w:qFormat="1"/>
    <w:lsdException w:name="Salutation" w:uiPriority="0"/>
    <w:lsdException w:name="Date" w:semiHidden="0" w:uiPriority="0" w:unhideWhenUsed="0" w:qFormat="1"/>
    <w:lsdException w:name="Body Text First Indent" w:semiHidden="0" w:uiPriority="0" w:unhideWhenUsed="0" w:qFormat="1"/>
    <w:lsdException w:name="Body Text First Indent 2" w:uiPriority="0"/>
    <w:lsdException w:name="Body Text 2" w:semiHidden="0" w:uiPriority="0" w:unhideWhenUsed="0" w:qFormat="1"/>
    <w:lsdException w:name="Body Text 3" w:semiHidden="0" w:uiPriority="0" w:unhideWhenUsed="0" w:qFormat="1"/>
    <w:lsdException w:name="Body Text Indent 2" w:semiHidden="0" w:uiPriority="0" w:unhideWhenUsed="0" w:qFormat="1"/>
    <w:lsdException w:name="Body Text Indent 3" w:semiHidden="0" w:uiPriority="0" w:unhideWhenUsed="0" w:qFormat="1"/>
    <w:lsdException w:name="Block Text" w:uiPriority="0"/>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Document Map" w:uiPriority="0" w:unhideWhenUsed="0" w:qFormat="1"/>
    <w:lsdException w:name="Plain Text" w:semiHidden="0" w:uiPriority="0" w:unhideWhenUsed="0" w:qFormat="1"/>
    <w:lsdException w:name="E-mail Signature" w:uiPriority="0"/>
    <w:lsdException w:name="Normal (Web)" w:semiHidden="0" w:unhideWhenUsed="0" w:qFormat="1"/>
    <w:lsdException w:name="HTML Acronym" w:uiPriority="0" w:qFormat="1"/>
    <w:lsdException w:name="HTML Address" w:uiPriority="0"/>
    <w:lsdException w:name="HTML Cite" w:uiPriority="0" w:qFormat="1"/>
    <w:lsdException w:name="HTML Code" w:uiPriority="0" w:qFormat="1"/>
    <w:lsdException w:name="HTML Definition" w:uiPriority="0" w:qFormat="1"/>
    <w:lsdException w:name="HTML Keyboard" w:uiPriority="0" w:qFormat="1"/>
    <w:lsdException w:name="HTML Preformatted" w:semiHidden="0" w:uiPriority="0" w:unhideWhenUsed="0" w:qFormat="1"/>
    <w:lsdException w:name="HTML Sample" w:uiPriority="0" w:qFormat="1"/>
    <w:lsdException w:name="HTML Typewriter" w:uiPriority="0" w:qFormat="1"/>
    <w:lsdException w:name="HTML Variable" w:uiPriority="0" w:qFormat="1"/>
    <w:lsdException w:name="Normal Table" w:qFormat="1"/>
    <w:lsdException w:name="annotation subject" w:semiHidden="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nhideWhenUsed="0" w:qFormat="1"/>
    <w:lsdException w:name="Table Grid" w:semiHidden="0" w:uiPriority="39" w:unhideWhenUsed="0" w:qFormat="1"/>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Heading3"/>
    <w:next w:val="Normal"/>
    <w:link w:val="1Char"/>
    <w:qFormat/>
    <w:pPr>
      <w:spacing w:before="340" w:after="330" w:line="360" w:lineRule="auto"/>
      <w:jc w:val="center"/>
      <w:outlineLvl w:val="0"/>
    </w:pPr>
    <w:rPr>
      <w:rFonts w:eastAsia="黑体"/>
      <w:kern w:val="44"/>
      <w:szCs w:val="44"/>
    </w:rPr>
  </w:style>
  <w:style w:type="paragraph" w:styleId="Heading2">
    <w:name w:val="heading 2"/>
    <w:basedOn w:val="Normal"/>
    <w:next w:val="Normal"/>
    <w:link w:val="2Char"/>
    <w:qFormat/>
    <w:pPr>
      <w:adjustRightInd w:val="0"/>
      <w:jc w:val="center"/>
      <w:textAlignment w:val="baseline"/>
      <w:outlineLvl w:val="1"/>
    </w:pPr>
    <w:rPr>
      <w:kern w:val="0"/>
      <w:sz w:val="24"/>
      <w:szCs w:val="20"/>
    </w:rPr>
  </w:style>
  <w:style w:type="paragraph" w:styleId="Heading3">
    <w:name w:val="heading 3"/>
    <w:basedOn w:val="Heading4"/>
    <w:next w:val="Normal"/>
    <w:link w:val="3Char1"/>
    <w:uiPriority w:val="9"/>
    <w:qFormat/>
    <w:pPr>
      <w:spacing w:before="260" w:after="260" w:line="240" w:lineRule="auto"/>
      <w:outlineLvl w:val="2"/>
    </w:pPr>
    <w:rPr>
      <w:rFonts w:ascii="宋体" w:eastAsia="宋体" w:hAnsi="宋体"/>
      <w:szCs w:val="32"/>
    </w:rPr>
  </w:style>
  <w:style w:type="paragraph" w:styleId="Heading4">
    <w:name w:val="heading 4"/>
    <w:basedOn w:val="Normal"/>
    <w:next w:val="Normal"/>
    <w:link w:val="4Char"/>
    <w:uiPriority w:val="9"/>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Indent"/>
    <w:link w:val="5Char"/>
    <w:qFormat/>
    <w:pPr>
      <w:keepNext/>
      <w:keepLines/>
      <w:spacing w:before="280" w:after="290" w:line="376" w:lineRule="auto"/>
      <w:outlineLvl w:val="4"/>
    </w:pPr>
    <w:rPr>
      <w:b/>
      <w:sz w:val="28"/>
      <w:szCs w:val="20"/>
    </w:rPr>
  </w:style>
  <w:style w:type="paragraph" w:styleId="Heading6">
    <w:name w:val="heading 6"/>
    <w:basedOn w:val="Normal"/>
    <w:next w:val="NormalIndent"/>
    <w:link w:val="6Char"/>
    <w:qFormat/>
    <w:pPr>
      <w:keepNext/>
      <w:keepLines/>
      <w:spacing w:before="240" w:after="64" w:line="320" w:lineRule="auto"/>
      <w:outlineLvl w:val="5"/>
    </w:pPr>
    <w:rPr>
      <w:rFonts w:ascii="Arial" w:eastAsia="黑体" w:hAnsi="Arial"/>
      <w:b/>
      <w:sz w:val="24"/>
      <w:szCs w:val="20"/>
    </w:rPr>
  </w:style>
  <w:style w:type="paragraph" w:styleId="Heading7">
    <w:name w:val="heading 7"/>
    <w:basedOn w:val="Normal"/>
    <w:next w:val="NormalIndent"/>
    <w:link w:val="7Char"/>
    <w:qFormat/>
    <w:pPr>
      <w:keepNext/>
      <w:keepLines/>
      <w:spacing w:before="240" w:after="64" w:line="320" w:lineRule="auto"/>
      <w:outlineLvl w:val="6"/>
    </w:pPr>
    <w:rPr>
      <w:b/>
      <w:sz w:val="24"/>
      <w:szCs w:val="20"/>
    </w:rPr>
  </w:style>
  <w:style w:type="paragraph" w:styleId="Heading8">
    <w:name w:val="heading 8"/>
    <w:basedOn w:val="Normal"/>
    <w:next w:val="NormalIndent"/>
    <w:link w:val="8Char"/>
    <w:qFormat/>
    <w:pPr>
      <w:keepNext/>
      <w:keepLines/>
      <w:spacing w:before="240" w:after="64" w:line="320" w:lineRule="auto"/>
      <w:outlineLvl w:val="7"/>
    </w:pPr>
    <w:rPr>
      <w:rFonts w:ascii="Arial" w:eastAsia="黑体" w:hAnsi="Arial"/>
      <w:sz w:val="24"/>
      <w:szCs w:val="20"/>
    </w:rPr>
  </w:style>
  <w:style w:type="paragraph" w:styleId="Heading9">
    <w:name w:val="heading 9"/>
    <w:basedOn w:val="Normal"/>
    <w:next w:val="NormalIndent"/>
    <w:link w:val="9Char"/>
    <w:qFormat/>
    <w:pPr>
      <w:keepNext/>
      <w:keepLines/>
      <w:spacing w:before="240" w:after="64" w:line="320" w:lineRule="auto"/>
      <w:outlineLvl w:val="8"/>
    </w:pPr>
    <w:rPr>
      <w:rFonts w:ascii="Arial" w:eastAsia="黑体" w:hAnsi="Arial"/>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next w:val="Normal"/>
    <w:link w:val="Char7"/>
    <w:qFormat/>
    <w:pPr>
      <w:spacing w:line="360" w:lineRule="auto"/>
    </w:pPr>
    <w:rPr>
      <w:b/>
      <w:bCs/>
      <w:sz w:val="24"/>
    </w:rPr>
  </w:style>
  <w:style w:type="paragraph" w:styleId="NormalIndent">
    <w:name w:val="Normal Indent"/>
    <w:basedOn w:val="Normal"/>
    <w:next w:val="BodyText"/>
    <w:link w:val="Char0"/>
    <w:qFormat/>
    <w:pPr>
      <w:ind w:firstLine="420"/>
    </w:pPr>
    <w:rPr>
      <w:szCs w:val="20"/>
    </w:rPr>
  </w:style>
  <w:style w:type="paragraph" w:styleId="TOC7">
    <w:name w:val="toc 7"/>
    <w:basedOn w:val="Normal"/>
    <w:next w:val="Normal"/>
    <w:semiHidden/>
    <w:qFormat/>
    <w:pPr>
      <w:ind w:left="1260"/>
      <w:jc w:val="left"/>
    </w:pPr>
    <w:rPr>
      <w:szCs w:val="21"/>
    </w:rPr>
  </w:style>
  <w:style w:type="paragraph" w:styleId="Caption">
    <w:name w:val="caption"/>
    <w:basedOn w:val="Normal"/>
    <w:next w:val="Normal"/>
    <w:qFormat/>
    <w:pPr>
      <w:widowControl/>
      <w:spacing w:line="360" w:lineRule="auto"/>
      <w:ind w:firstLine="1940" w:firstLineChars="920"/>
      <w:jc w:val="left"/>
    </w:pPr>
    <w:rPr>
      <w:rFonts w:ascii="宋体" w:hAnsi="宋体"/>
      <w:b/>
      <w:bCs/>
      <w:kern w:val="0"/>
      <w:sz w:val="20"/>
      <w:szCs w:val="20"/>
    </w:rPr>
  </w:style>
  <w:style w:type="paragraph" w:styleId="ListBullet">
    <w:name w:val="List Bullet"/>
    <w:basedOn w:val="Normal"/>
    <w:qFormat/>
    <w:pPr>
      <w:numPr>
        <w:ilvl w:val="0"/>
        <w:numId w:val="1"/>
      </w:numPr>
    </w:pPr>
    <w:rPr>
      <w:szCs w:val="20"/>
    </w:rPr>
  </w:style>
  <w:style w:type="paragraph" w:styleId="DocumentMap">
    <w:name w:val="Document Map"/>
    <w:basedOn w:val="Normal"/>
    <w:semiHidden/>
    <w:qFormat/>
    <w:pPr>
      <w:shd w:val="clear" w:color="auto" w:fill="000080"/>
    </w:pPr>
  </w:style>
  <w:style w:type="paragraph" w:styleId="CommentText">
    <w:name w:val="annotation text"/>
    <w:basedOn w:val="Normal"/>
    <w:link w:val="Char16"/>
    <w:uiPriority w:val="99"/>
    <w:qFormat/>
    <w:pPr>
      <w:autoSpaceDE w:val="0"/>
      <w:autoSpaceDN w:val="0"/>
      <w:adjustRightInd w:val="0"/>
      <w:jc w:val="left"/>
      <w:textAlignment w:val="baseline"/>
    </w:pPr>
    <w:rPr>
      <w:rFonts w:ascii="宋体"/>
      <w:kern w:val="0"/>
      <w:sz w:val="34"/>
      <w:szCs w:val="20"/>
    </w:rPr>
  </w:style>
  <w:style w:type="paragraph" w:styleId="BodyText3">
    <w:name w:val="Body Text 3"/>
    <w:basedOn w:val="Normal"/>
    <w:link w:val="3Char2"/>
    <w:qFormat/>
    <w:pPr>
      <w:spacing w:after="120"/>
    </w:pPr>
    <w:rPr>
      <w:sz w:val="16"/>
      <w:szCs w:val="16"/>
    </w:rPr>
  </w:style>
  <w:style w:type="paragraph" w:styleId="BodyTextIndent">
    <w:name w:val="Body Text Indent"/>
    <w:basedOn w:val="Normal"/>
    <w:link w:val="Char1"/>
    <w:qFormat/>
    <w:pPr>
      <w:spacing w:line="360" w:lineRule="auto"/>
      <w:ind w:firstLine="420" w:firstLineChars="200"/>
    </w:pPr>
  </w:style>
  <w:style w:type="paragraph" w:styleId="TOC5">
    <w:name w:val="toc 5"/>
    <w:basedOn w:val="Normal"/>
    <w:next w:val="Normal"/>
    <w:semiHidden/>
    <w:qFormat/>
    <w:pPr>
      <w:ind w:left="840"/>
      <w:jc w:val="left"/>
    </w:pPr>
    <w:rPr>
      <w:szCs w:val="21"/>
    </w:rPr>
  </w:style>
  <w:style w:type="paragraph" w:styleId="TOC3">
    <w:name w:val="toc 3"/>
    <w:basedOn w:val="Normal"/>
    <w:next w:val="Normal"/>
    <w:semiHidden/>
    <w:qFormat/>
    <w:pPr>
      <w:ind w:left="420"/>
      <w:jc w:val="left"/>
    </w:pPr>
    <w:rPr>
      <w:i/>
      <w:iCs/>
    </w:rPr>
  </w:style>
  <w:style w:type="paragraph" w:styleId="PlainText">
    <w:name w:val="Plain Text"/>
    <w:basedOn w:val="Normal"/>
    <w:link w:val="Char5"/>
    <w:qFormat/>
    <w:rPr>
      <w:rFonts w:ascii="宋体" w:hAnsi="Courier New"/>
      <w:szCs w:val="20"/>
    </w:rPr>
  </w:style>
  <w:style w:type="paragraph" w:styleId="TOC8">
    <w:name w:val="toc 8"/>
    <w:basedOn w:val="Normal"/>
    <w:next w:val="Normal"/>
    <w:semiHidden/>
    <w:qFormat/>
    <w:pPr>
      <w:ind w:left="1470"/>
      <w:jc w:val="left"/>
    </w:pPr>
    <w:rPr>
      <w:szCs w:val="21"/>
    </w:rPr>
  </w:style>
  <w:style w:type="paragraph" w:styleId="Date">
    <w:name w:val="Date"/>
    <w:basedOn w:val="Normal"/>
    <w:next w:val="Normal"/>
    <w:link w:val="Char4"/>
    <w:qFormat/>
    <w:rPr>
      <w:rFonts w:ascii="宋体" w:hAnsi="Courier New"/>
      <w:sz w:val="32"/>
      <w:szCs w:val="20"/>
    </w:rPr>
  </w:style>
  <w:style w:type="paragraph" w:styleId="BodyTextIndent2">
    <w:name w:val="Body Text Indent 2"/>
    <w:basedOn w:val="Normal"/>
    <w:link w:val="2Char0"/>
    <w:qFormat/>
    <w:pPr>
      <w:spacing w:beforeLines="50" w:afterLines="50" w:line="120" w:lineRule="auto"/>
      <w:ind w:firstLine="840" w:firstLineChars="400"/>
      <w:jc w:val="left"/>
    </w:pPr>
    <w:rPr>
      <w:rFonts w:ascii="宋体" w:hAnsi="宋体"/>
    </w:rPr>
  </w:style>
  <w:style w:type="paragraph" w:styleId="BalloonText">
    <w:name w:val="Balloon Text"/>
    <w:basedOn w:val="Normal"/>
    <w:link w:val="Char10"/>
    <w:uiPriority w:val="99"/>
    <w:semiHidden/>
    <w:qFormat/>
    <w:rPr>
      <w:sz w:val="18"/>
      <w:szCs w:val="18"/>
    </w:rPr>
  </w:style>
  <w:style w:type="paragraph" w:styleId="Footer">
    <w:name w:val="footer"/>
    <w:basedOn w:val="Normal"/>
    <w:link w:val="Char9"/>
    <w:qFormat/>
    <w:pPr>
      <w:tabs>
        <w:tab w:val="center" w:pos="4153"/>
        <w:tab w:val="right" w:pos="8306"/>
      </w:tabs>
      <w:snapToGrid w:val="0"/>
      <w:jc w:val="left"/>
    </w:pPr>
    <w:rPr>
      <w:sz w:val="18"/>
      <w:szCs w:val="18"/>
    </w:rPr>
  </w:style>
  <w:style w:type="paragraph" w:styleId="Header">
    <w:name w:val="header"/>
    <w:basedOn w:val="Normal"/>
    <w:link w:val="Char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semiHidden/>
    <w:qFormat/>
    <w:pPr>
      <w:spacing w:before="120" w:after="120"/>
      <w:jc w:val="left"/>
    </w:pPr>
    <w:rPr>
      <w:b/>
      <w:bCs/>
      <w:caps/>
    </w:rPr>
  </w:style>
  <w:style w:type="paragraph" w:styleId="TOC4">
    <w:name w:val="toc 4"/>
    <w:basedOn w:val="Normal"/>
    <w:next w:val="Normal"/>
    <w:semiHidden/>
    <w:qFormat/>
    <w:pPr>
      <w:ind w:left="630"/>
      <w:jc w:val="left"/>
    </w:pPr>
    <w:rPr>
      <w:szCs w:val="21"/>
    </w:rPr>
  </w:style>
  <w:style w:type="paragraph" w:styleId="TOC6">
    <w:name w:val="toc 6"/>
    <w:basedOn w:val="Normal"/>
    <w:next w:val="Normal"/>
    <w:semiHidden/>
    <w:qFormat/>
    <w:pPr>
      <w:ind w:left="1050"/>
      <w:jc w:val="left"/>
    </w:pPr>
    <w:rPr>
      <w:szCs w:val="21"/>
    </w:rPr>
  </w:style>
  <w:style w:type="paragraph" w:styleId="BodyTextIndent3">
    <w:name w:val="Body Text Indent 3"/>
    <w:basedOn w:val="Normal"/>
    <w:link w:val="3Char0"/>
    <w:qFormat/>
    <w:pPr>
      <w:spacing w:line="360" w:lineRule="auto"/>
      <w:ind w:firstLine="482" w:firstLineChars="200"/>
    </w:pPr>
    <w:rPr>
      <w:rFonts w:ascii="宋体"/>
      <w:b/>
      <w:bCs/>
      <w:sz w:val="24"/>
    </w:rPr>
  </w:style>
  <w:style w:type="paragraph" w:styleId="TOC2">
    <w:name w:val="toc 2"/>
    <w:basedOn w:val="Normal"/>
    <w:next w:val="Normal"/>
    <w:semiHidden/>
    <w:qFormat/>
    <w:pPr>
      <w:tabs>
        <w:tab w:val="right" w:leader="dot" w:pos="8296"/>
      </w:tabs>
      <w:ind w:left="210"/>
      <w:jc w:val="left"/>
    </w:pPr>
    <w:rPr>
      <w:smallCaps/>
    </w:rPr>
  </w:style>
  <w:style w:type="paragraph" w:styleId="TOC9">
    <w:name w:val="toc 9"/>
    <w:basedOn w:val="Normal"/>
    <w:next w:val="Normal"/>
    <w:semiHidden/>
    <w:qFormat/>
    <w:pPr>
      <w:ind w:left="1680"/>
      <w:jc w:val="left"/>
    </w:pPr>
    <w:rPr>
      <w:szCs w:val="21"/>
    </w:rPr>
  </w:style>
  <w:style w:type="paragraph" w:styleId="BodyText2">
    <w:name w:val="Body Text 2"/>
    <w:basedOn w:val="Normal"/>
    <w:link w:val="2Char1"/>
    <w:qFormat/>
    <w:pPr>
      <w:spacing w:line="360" w:lineRule="auto"/>
    </w:pPr>
    <w:rPr>
      <w:sz w:val="24"/>
    </w:rPr>
  </w:style>
  <w:style w:type="paragraph" w:styleId="HTMLPreformatted">
    <w:name w:val="HTML Preformatted"/>
    <w:basedOn w:val="Normal"/>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olor w:val="000000"/>
      <w:kern w:val="0"/>
      <w:sz w:val="20"/>
      <w:szCs w:val="20"/>
    </w:rPr>
  </w:style>
  <w:style w:type="paragraph" w:styleId="NormalWeb">
    <w:name w:val="Normal (Web)"/>
    <w:basedOn w:val="Normal"/>
    <w:link w:val="Char18"/>
    <w:uiPriority w:val="99"/>
    <w:qFormat/>
    <w:pPr>
      <w:spacing w:before="0" w:beforeAutospacing="1" w:after="0" w:afterAutospacing="1"/>
      <w:ind w:left="0" w:right="0"/>
      <w:jc w:val="left"/>
    </w:pPr>
    <w:rPr>
      <w:kern w:val="0"/>
      <w:sz w:val="24"/>
      <w:lang w:val="en-US" w:eastAsia="zh-CN"/>
    </w:rPr>
  </w:style>
  <w:style w:type="paragraph" w:styleId="Index1">
    <w:name w:val="index 1"/>
    <w:basedOn w:val="Normal"/>
    <w:next w:val="Normal"/>
    <w:semiHidden/>
    <w:qFormat/>
    <w:pPr>
      <w:tabs>
        <w:tab w:val="left" w:pos="3360"/>
      </w:tabs>
      <w:spacing w:line="520" w:lineRule="exact"/>
      <w:ind w:left="419" w:hanging="314" w:leftChars="50" w:hangingChars="131"/>
      <w:jc w:val="center"/>
      <w:outlineLvl w:val="3"/>
    </w:pPr>
    <w:rPr>
      <w:rFonts w:ascii="宋体" w:hAnsi="宋体"/>
      <w:sz w:val="24"/>
    </w:rPr>
  </w:style>
  <w:style w:type="paragraph" w:styleId="Title">
    <w:name w:val="Title"/>
    <w:basedOn w:val="Normal"/>
    <w:link w:val="Char3"/>
    <w:qFormat/>
    <w:pPr>
      <w:spacing w:before="240" w:after="60"/>
      <w:jc w:val="center"/>
      <w:outlineLvl w:val="0"/>
    </w:pPr>
    <w:rPr>
      <w:rFonts w:ascii="Arial" w:eastAsia="隶书" w:hAnsi="Arial" w:cs="Arial"/>
      <w:b/>
      <w:bCs/>
      <w:sz w:val="32"/>
      <w:szCs w:val="32"/>
    </w:rPr>
  </w:style>
  <w:style w:type="paragraph" w:styleId="CommentSubject">
    <w:name w:val="annotation subject"/>
    <w:basedOn w:val="CommentText"/>
    <w:next w:val="CommentText"/>
    <w:link w:val="Char17"/>
    <w:uiPriority w:val="99"/>
    <w:qFormat/>
    <w:pPr>
      <w:autoSpaceDE/>
      <w:autoSpaceDN/>
      <w:adjustRightInd/>
      <w:textAlignment w:val="auto"/>
    </w:pPr>
    <w:rPr>
      <w:rFonts w:ascii="Times New Roman"/>
      <w:b/>
      <w:bCs/>
      <w:kern w:val="2"/>
      <w:sz w:val="21"/>
      <w:szCs w:val="24"/>
    </w:rPr>
  </w:style>
  <w:style w:type="paragraph" w:styleId="BodyTextFirstIndent">
    <w:name w:val="Body Text First Indent"/>
    <w:basedOn w:val="BodyText"/>
    <w:link w:val="Char12"/>
    <w:qFormat/>
    <w:pPr>
      <w:spacing w:after="120" w:line="240" w:lineRule="auto"/>
      <w:ind w:firstLine="420" w:firstLineChars="100"/>
    </w:pPr>
    <w:rPr>
      <w:sz w:val="21"/>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Pr>
      <w:b/>
      <w:bCs/>
    </w:rPr>
  </w:style>
  <w:style w:type="character" w:styleId="PageNumber">
    <w:name w:val="page number"/>
    <w:basedOn w:val="DefaultParagraphFont"/>
    <w:qFormat/>
  </w:style>
  <w:style w:type="character" w:styleId="FollowedHyperlink">
    <w:name w:val="FollowedHyperlink"/>
    <w:qFormat/>
    <w:rPr>
      <w:color w:val="800080"/>
      <w:u w:val="single"/>
    </w:rPr>
  </w:style>
  <w:style w:type="character" w:styleId="Emphasis">
    <w:name w:val="Emphasis"/>
    <w:basedOn w:val="DefaultParagraphFont"/>
    <w:qFormat/>
    <w:rPr>
      <w:b/>
      <w:bCs/>
    </w:rPr>
  </w:style>
  <w:style w:type="character" w:styleId="HTMLDefinition">
    <w:name w:val="HTML Definition"/>
    <w:basedOn w:val="DefaultParagraphFont"/>
    <w:semiHidden/>
    <w:unhideWhenUsed/>
    <w:qFormat/>
  </w:style>
  <w:style w:type="character" w:styleId="HTMLTypewriter">
    <w:name w:val="HTML Typewriter"/>
    <w:basedOn w:val="DefaultParagraphFont"/>
    <w:semiHidden/>
    <w:unhideWhenUsed/>
    <w:qFormat/>
    <w:rPr>
      <w:rFonts w:ascii="monospace" w:eastAsia="monospace" w:hAnsi="monospace" w:cs="monospace"/>
      <w:sz w:val="20"/>
    </w:rPr>
  </w:style>
  <w:style w:type="character" w:styleId="HTMLAcronym">
    <w:name w:val="HTML Acronym"/>
    <w:basedOn w:val="DefaultParagraphFont"/>
    <w:semiHidden/>
    <w:unhideWhenUsed/>
    <w:qFormat/>
  </w:style>
  <w:style w:type="character" w:styleId="HTMLVariable">
    <w:name w:val="HTML Variable"/>
    <w:basedOn w:val="DefaultParagraphFont"/>
    <w:semiHidden/>
    <w:unhideWhenUsed/>
    <w:qFormat/>
  </w:style>
  <w:style w:type="character" w:styleId="Hyperlink">
    <w:name w:val="Hyperlink"/>
    <w:qFormat/>
    <w:rPr>
      <w:color w:val="0000FF"/>
      <w:u w:val="single"/>
    </w:rPr>
  </w:style>
  <w:style w:type="character" w:styleId="HTMLCode">
    <w:name w:val="HTML Code"/>
    <w:basedOn w:val="DefaultParagraphFont"/>
    <w:semiHidden/>
    <w:unhideWhenUsed/>
    <w:qFormat/>
    <w:rPr>
      <w:rFonts w:ascii="monospace" w:eastAsia="monospace" w:hAnsi="monospace" w:cs="monospace" w:hint="default"/>
      <w:sz w:val="20"/>
    </w:rPr>
  </w:style>
  <w:style w:type="character" w:styleId="CommentReference">
    <w:name w:val="annotation reference"/>
    <w:basedOn w:val="DefaultParagraphFont"/>
    <w:uiPriority w:val="99"/>
    <w:qFormat/>
    <w:rPr>
      <w:sz w:val="21"/>
      <w:szCs w:val="21"/>
    </w:rPr>
  </w:style>
  <w:style w:type="character" w:styleId="HTMLCite">
    <w:name w:val="HTML Cite"/>
    <w:basedOn w:val="DefaultParagraphFont"/>
    <w:semiHidden/>
    <w:unhideWhenUsed/>
    <w:qFormat/>
  </w:style>
  <w:style w:type="character" w:styleId="HTMLKeyboard">
    <w:name w:val="HTML Keyboard"/>
    <w:basedOn w:val="DefaultParagraphFont"/>
    <w:semiHidden/>
    <w:unhideWhenUsed/>
    <w:qFormat/>
    <w:rPr>
      <w:rFonts w:ascii="monospace" w:eastAsia="monospace" w:hAnsi="monospace" w:cs="monospace" w:hint="default"/>
      <w:sz w:val="20"/>
    </w:rPr>
  </w:style>
  <w:style w:type="character" w:styleId="HTMLSample">
    <w:name w:val="HTML Sample"/>
    <w:basedOn w:val="DefaultParagraphFont"/>
    <w:semiHidden/>
    <w:unhideWhenUsed/>
    <w:qFormat/>
    <w:rPr>
      <w:rFonts w:ascii="monospace" w:eastAsia="monospace" w:hAnsi="monospace" w:cs="monospace" w:hint="default"/>
    </w:rPr>
  </w:style>
  <w:style w:type="paragraph" w:styleId="Quote">
    <w:name w:val="Quote"/>
    <w:basedOn w:val="Normal"/>
    <w:next w:val="Normal"/>
    <w:uiPriority w:val="99"/>
    <w:qFormat/>
    <w:rPr>
      <w:rFonts w:ascii="Calibri" w:hAnsi="Calibri" w:cs="Calibri"/>
      <w:i/>
      <w:iCs/>
      <w:color w:val="000000"/>
      <w:sz w:val="22"/>
      <w:szCs w:val="22"/>
    </w:rPr>
  </w:style>
  <w:style w:type="character" w:customStyle="1" w:styleId="4Char">
    <w:name w:val="标题 4 Char"/>
    <w:link w:val="Heading4"/>
    <w:uiPriority w:val="9"/>
    <w:qFormat/>
    <w:rPr>
      <w:rFonts w:ascii="Arial" w:eastAsia="黑体" w:hAnsi="Arial"/>
      <w:b/>
      <w:bCs/>
      <w:kern w:val="2"/>
      <w:sz w:val="28"/>
      <w:szCs w:val="28"/>
      <w:lang w:val="en-US" w:eastAsia="zh-CN" w:bidi="ar-SA"/>
    </w:rPr>
  </w:style>
  <w:style w:type="paragraph" w:customStyle="1" w:styleId="Char">
    <w:name w:val="Char"/>
    <w:basedOn w:val="Normal"/>
    <w:qFormat/>
    <w:pPr>
      <w:widowControl/>
      <w:spacing w:after="160" w:line="240" w:lineRule="exact"/>
      <w:jc w:val="left"/>
    </w:pPr>
    <w:rPr>
      <w:rFonts w:ascii="Verdana" w:eastAsia="仿宋_GB2312" w:hAnsi="Verdana"/>
      <w:kern w:val="0"/>
      <w:sz w:val="24"/>
      <w:szCs w:val="20"/>
      <w:lang w:eastAsia="en-US"/>
    </w:rPr>
  </w:style>
  <w:style w:type="character" w:customStyle="1" w:styleId="3Char1">
    <w:name w:val="标题 3 Char1"/>
    <w:link w:val="Heading3"/>
    <w:uiPriority w:val="9"/>
    <w:qFormat/>
    <w:rPr>
      <w:rFonts w:ascii="宋体" w:eastAsia="宋体" w:hAnsi="宋体"/>
      <w:b/>
      <w:bCs/>
      <w:kern w:val="2"/>
      <w:sz w:val="28"/>
      <w:szCs w:val="32"/>
      <w:lang w:val="en-US" w:eastAsia="zh-CN" w:bidi="ar-SA"/>
    </w:rPr>
  </w:style>
  <w:style w:type="character" w:customStyle="1" w:styleId="1Char">
    <w:name w:val="标题 1 Char"/>
    <w:link w:val="Heading1"/>
    <w:qFormat/>
    <w:rPr>
      <w:rFonts w:ascii="宋体" w:eastAsia="黑体" w:hAnsi="宋体"/>
      <w:b/>
      <w:bCs/>
      <w:kern w:val="44"/>
      <w:sz w:val="28"/>
      <w:szCs w:val="44"/>
      <w:lang w:val="en-US" w:eastAsia="zh-CN" w:bidi="ar-SA"/>
    </w:rPr>
  </w:style>
  <w:style w:type="character" w:customStyle="1" w:styleId="Char0">
    <w:name w:val="正文缩进 Char"/>
    <w:link w:val="NormalIndent"/>
    <w:qFormat/>
    <w:rPr>
      <w:rFonts w:eastAsia="宋体"/>
      <w:kern w:val="2"/>
      <w:sz w:val="21"/>
      <w:lang w:val="en-US" w:eastAsia="zh-CN" w:bidi="ar-SA"/>
    </w:rPr>
  </w:style>
  <w:style w:type="character" w:customStyle="1" w:styleId="3Char">
    <w:name w:val="标题 3 Char"/>
    <w:qFormat/>
    <w:rPr>
      <w:rFonts w:ascii="黑体" w:eastAsia="黑体"/>
      <w:bCs/>
      <w:sz w:val="30"/>
    </w:rPr>
  </w:style>
  <w:style w:type="paragraph" w:customStyle="1" w:styleId="41">
    <w:name w:val="样式41"/>
    <w:basedOn w:val="Normal"/>
    <w:qFormat/>
    <w:pPr>
      <w:numPr>
        <w:ilvl w:val="0"/>
        <w:numId w:val="2"/>
      </w:numPr>
      <w:tabs>
        <w:tab w:val="left" w:pos="945"/>
      </w:tabs>
      <w:spacing w:line="360" w:lineRule="auto"/>
    </w:pPr>
    <w:rPr>
      <w:b/>
      <w:color w:val="000000"/>
      <w:sz w:val="24"/>
      <w:szCs w:val="20"/>
    </w:rPr>
  </w:style>
  <w:style w:type="paragraph" w:customStyle="1" w:styleId="a">
    <w:name w:val="图"/>
    <w:basedOn w:val="Normal"/>
    <w:qFormat/>
    <w:pPr>
      <w:keepNext/>
      <w:adjustRightInd w:val="0"/>
      <w:snapToGrid w:val="0"/>
      <w:spacing w:before="60" w:after="60" w:line="300" w:lineRule="auto"/>
      <w:jc w:val="center"/>
    </w:pPr>
    <w:rPr>
      <w:spacing w:val="20"/>
      <w:kern w:val="0"/>
      <w:sz w:val="24"/>
      <w:szCs w:val="20"/>
    </w:rPr>
  </w:style>
  <w:style w:type="paragraph" w:customStyle="1" w:styleId="a0">
    <w:name w:val="文档正文"/>
    <w:basedOn w:val="Normal"/>
    <w:qFormat/>
    <w:pPr>
      <w:adjustRightInd w:val="0"/>
      <w:spacing w:line="480" w:lineRule="atLeast"/>
      <w:ind w:firstLine="567" w:firstLineChars="200"/>
      <w:textAlignment w:val="baseline"/>
    </w:pPr>
    <w:rPr>
      <w:rFonts w:ascii="长城仿宋"/>
      <w:kern w:val="0"/>
      <w:szCs w:val="20"/>
    </w:rPr>
  </w:style>
  <w:style w:type="paragraph" w:customStyle="1" w:styleId="CharCharCharChar">
    <w:name w:val="Char Char Char Char"/>
    <w:basedOn w:val="Normal"/>
    <w:qFormat/>
    <w:pPr>
      <w:widowControl/>
      <w:spacing w:after="160" w:line="240" w:lineRule="exact"/>
      <w:jc w:val="left"/>
    </w:pPr>
    <w:rPr>
      <w:rFonts w:ascii="Verdana" w:eastAsia="仿宋_GB2312" w:hAnsi="Verdana"/>
      <w:kern w:val="0"/>
      <w:sz w:val="24"/>
      <w:szCs w:val="20"/>
      <w:lang w:eastAsia="en-US"/>
    </w:rPr>
  </w:style>
  <w:style w:type="paragraph" w:customStyle="1" w:styleId="Char11">
    <w:name w:val="Char11"/>
    <w:basedOn w:val="Normal"/>
    <w:qFormat/>
    <w:pPr>
      <w:widowControl/>
      <w:spacing w:after="160" w:line="240" w:lineRule="exact"/>
      <w:jc w:val="left"/>
    </w:pPr>
    <w:rPr>
      <w:rFonts w:ascii="Verdana" w:eastAsia="仿宋_GB2312" w:hAnsi="Verdana"/>
      <w:kern w:val="0"/>
      <w:sz w:val="24"/>
      <w:szCs w:val="20"/>
      <w:lang w:eastAsia="en-US"/>
    </w:rPr>
  </w:style>
  <w:style w:type="paragraph" w:customStyle="1" w:styleId="CharCharCharChar1">
    <w:name w:val="Char Char Char Char1"/>
    <w:basedOn w:val="Normal"/>
    <w:qFormat/>
    <w:pPr>
      <w:widowControl/>
      <w:spacing w:after="160" w:line="240" w:lineRule="exact"/>
      <w:jc w:val="left"/>
    </w:pPr>
    <w:rPr>
      <w:rFonts w:ascii="Verdana" w:eastAsia="仿宋_GB2312" w:hAnsi="Verdana"/>
      <w:kern w:val="0"/>
      <w:sz w:val="24"/>
      <w:szCs w:val="20"/>
      <w:lang w:eastAsia="en-US"/>
    </w:rPr>
  </w:style>
  <w:style w:type="paragraph" w:customStyle="1" w:styleId="TableContents">
    <w:name w:val="Table Contents"/>
    <w:basedOn w:val="Normal"/>
    <w:qFormat/>
    <w:pPr>
      <w:suppressAutoHyphens/>
      <w:autoSpaceDE w:val="0"/>
      <w:spacing w:after="120"/>
      <w:jc w:val="left"/>
    </w:pPr>
    <w:rPr>
      <w:rFonts w:ascii="Helvetica" w:hAnsi="Helvetica"/>
      <w:kern w:val="1"/>
      <w:sz w:val="20"/>
      <w:szCs w:val="20"/>
    </w:rPr>
  </w:style>
  <w:style w:type="paragraph" w:customStyle="1" w:styleId="a1">
    <w:name w:val="自定义正文"/>
    <w:basedOn w:val="Normal"/>
    <w:qFormat/>
    <w:pPr>
      <w:spacing w:afterLines="50"/>
      <w:ind w:left="600" w:leftChars="600"/>
    </w:pPr>
  </w:style>
  <w:style w:type="paragraph" w:customStyle="1" w:styleId="CharCharCharCharChar">
    <w:name w:val="Char Char Char Char Char"/>
    <w:basedOn w:val="Normal"/>
    <w:qFormat/>
    <w:rPr>
      <w:rFonts w:ascii="Tahoma" w:hAnsi="Tahoma"/>
      <w:sz w:val="24"/>
      <w:szCs w:val="20"/>
    </w:rPr>
  </w:style>
  <w:style w:type="paragraph" w:customStyle="1" w:styleId="1">
    <w:name w:val="小标题 1"/>
    <w:basedOn w:val="Normal"/>
    <w:qFormat/>
    <w:pPr>
      <w:autoSpaceDE w:val="0"/>
      <w:autoSpaceDN w:val="0"/>
      <w:adjustRightInd w:val="0"/>
      <w:spacing w:line="360" w:lineRule="atLeast"/>
    </w:pPr>
    <w:rPr>
      <w:rFonts w:ascii="文鼎粗黑" w:eastAsia="文鼎粗黑"/>
      <w:kern w:val="0"/>
      <w:sz w:val="22"/>
      <w:szCs w:val="20"/>
    </w:rPr>
  </w:style>
  <w:style w:type="paragraph" w:customStyle="1" w:styleId="CharChar">
    <w:name w:val="Char Char"/>
    <w:basedOn w:val="Normal"/>
    <w:qFormat/>
    <w:rPr>
      <w:rFonts w:ascii="Tahoma" w:hAnsi="Tahoma"/>
      <w:sz w:val="24"/>
      <w:szCs w:val="20"/>
    </w:rPr>
  </w:style>
  <w:style w:type="paragraph" w:customStyle="1" w:styleId="a2">
    <w:name w:val="È±Ê¡ÎÄ±¾"/>
    <w:basedOn w:val="Normal"/>
    <w:qFormat/>
    <w:pPr>
      <w:widowControl/>
      <w:overflowPunct w:val="0"/>
      <w:autoSpaceDE w:val="0"/>
      <w:autoSpaceDN w:val="0"/>
      <w:adjustRightInd w:val="0"/>
      <w:jc w:val="left"/>
      <w:textAlignment w:val="baseline"/>
    </w:pPr>
    <w:rPr>
      <w:kern w:val="0"/>
      <w:sz w:val="24"/>
      <w:szCs w:val="20"/>
    </w:rPr>
  </w:style>
  <w:style w:type="character" w:customStyle="1" w:styleId="2Char">
    <w:name w:val="标题 2 Char"/>
    <w:link w:val="Heading2"/>
    <w:qFormat/>
    <w:rPr>
      <w:rFonts w:ascii="宋体" w:eastAsia="宋体" w:hAnsi="宋体"/>
      <w:b/>
      <w:bCs/>
      <w:sz w:val="24"/>
      <w:lang w:val="en-US" w:eastAsia="zh-CN" w:bidi="ar-SA"/>
    </w:rPr>
  </w:style>
  <w:style w:type="paragraph" w:customStyle="1" w:styleId="CharCharCharCharCharChar1Char">
    <w:name w:val="Char Char Char Char Char Char1 Char"/>
    <w:basedOn w:val="Normal"/>
    <w:qFormat/>
    <w:pPr>
      <w:widowControl/>
      <w:spacing w:after="160" w:line="240" w:lineRule="exact"/>
      <w:jc w:val="left"/>
    </w:pPr>
    <w:rPr>
      <w:rFonts w:ascii="Verdana" w:hAnsi="Verdana"/>
      <w:kern w:val="0"/>
      <w:szCs w:val="20"/>
      <w:lang w:eastAsia="en-US"/>
    </w:rPr>
  </w:style>
  <w:style w:type="paragraph" w:styleId="ListParagraph">
    <w:name w:val="List Paragraph"/>
    <w:basedOn w:val="Normal"/>
    <w:uiPriority w:val="34"/>
    <w:qFormat/>
    <w:pPr>
      <w:ind w:firstLine="420" w:firstLineChars="200"/>
    </w:pPr>
    <w:rPr>
      <w:rFonts w:ascii="Calibri" w:hAnsi="Calibri"/>
      <w:szCs w:val="22"/>
    </w:rPr>
  </w:style>
  <w:style w:type="paragraph" w:customStyle="1" w:styleId="USE1">
    <w:name w:val="USE 1"/>
    <w:basedOn w:val="Normal"/>
    <w:qFormat/>
    <w:pPr>
      <w:spacing w:line="200" w:lineRule="atLeast"/>
      <w:jc w:val="left"/>
    </w:pPr>
    <w:rPr>
      <w:rFonts w:ascii="宋体" w:hAnsi="宋体"/>
      <w:b/>
      <w:sz w:val="24"/>
      <w:szCs w:val="28"/>
    </w:rPr>
  </w:style>
  <w:style w:type="paragraph" w:customStyle="1" w:styleId="RFItextfrom3rdLevel">
    <w:name w:val="RFI text from 3rd Level"/>
    <w:basedOn w:val="Normal"/>
    <w:qFormat/>
    <w:pPr>
      <w:widowControl/>
      <w:numPr>
        <w:ilvl w:val="0"/>
        <w:numId w:val="3"/>
      </w:numPr>
      <w:tabs>
        <w:tab w:val="clear" w:pos="840"/>
        <w:tab w:val="left" w:pos="1080"/>
      </w:tabs>
      <w:spacing w:beforeLines="50" w:line="360" w:lineRule="auto"/>
      <w:ind w:left="0" w:firstLine="0"/>
    </w:pPr>
    <w:rPr>
      <w:rFonts w:ascii="Arial (W1)" w:hAnsi="Arial (W1)"/>
      <w:bCs/>
      <w:kern w:val="0"/>
      <w:sz w:val="24"/>
      <w:lang w:val="en-GB"/>
    </w:rPr>
  </w:style>
  <w:style w:type="paragraph" w:customStyle="1" w:styleId="a3">
    <w:name w:val="正文文字缩进项目"/>
    <w:basedOn w:val="BodyTextIndent"/>
    <w:qFormat/>
    <w:pPr>
      <w:numPr>
        <w:ilvl w:val="1"/>
        <w:numId w:val="3"/>
      </w:numPr>
      <w:tabs>
        <w:tab w:val="left" w:pos="840"/>
        <w:tab w:val="clear" w:pos="1260"/>
      </w:tabs>
      <w:spacing w:after="120" w:line="240" w:lineRule="auto"/>
      <w:ind w:left="840" w:firstLine="0" w:firstLineChars="0"/>
    </w:pPr>
    <w:rPr>
      <w:rFonts w:ascii="Tahoma" w:hAnsi="Tahoma"/>
      <w:sz w:val="22"/>
      <w:szCs w:val="20"/>
    </w:rPr>
  </w:style>
  <w:style w:type="paragraph" w:customStyle="1" w:styleId="21313">
    <w:name w:val="样式 标题 2 + 段前: 13 磅 段后: 13 磅 行距: 单倍行距"/>
    <w:basedOn w:val="Heading2"/>
    <w:qFormat/>
    <w:pPr>
      <w:adjustRightInd/>
      <w:spacing w:before="0" w:after="0"/>
      <w:jc w:val="both"/>
      <w:textAlignment w:val="auto"/>
    </w:pPr>
    <w:rPr>
      <w:rFonts w:ascii="Cambria" w:hAnsi="Cambria" w:cs="宋体"/>
      <w:kern w:val="2"/>
      <w:sz w:val="32"/>
    </w:rPr>
  </w:style>
  <w:style w:type="character" w:customStyle="1" w:styleId="H4Char2">
    <w:name w:val="H4 Char2"/>
    <w:qFormat/>
    <w:rPr>
      <w:rFonts w:ascii="Arial" w:eastAsia="黑体" w:hAnsi="Arial"/>
      <w:b/>
      <w:bCs/>
      <w:kern w:val="2"/>
      <w:sz w:val="28"/>
      <w:szCs w:val="28"/>
      <w:lang w:val="en-US" w:eastAsia="zh-CN" w:bidi="ar-SA"/>
    </w:rPr>
  </w:style>
  <w:style w:type="character" w:customStyle="1" w:styleId="Char1">
    <w:name w:val="正文文本缩进 Char"/>
    <w:link w:val="BodyTextIndent"/>
    <w:qFormat/>
    <w:rPr>
      <w:rFonts w:eastAsia="宋体"/>
      <w:kern w:val="2"/>
      <w:sz w:val="21"/>
      <w:szCs w:val="24"/>
      <w:lang w:val="en-US" w:eastAsia="zh-CN" w:bidi="ar-SA"/>
    </w:rPr>
  </w:style>
  <w:style w:type="character" w:customStyle="1" w:styleId="5Char">
    <w:name w:val="标题 5 Char"/>
    <w:link w:val="Heading5"/>
    <w:qFormat/>
    <w:rPr>
      <w:rFonts w:eastAsia="宋体"/>
      <w:b/>
      <w:kern w:val="2"/>
      <w:sz w:val="28"/>
      <w:lang w:val="en-US" w:eastAsia="zh-CN" w:bidi="ar-SA"/>
    </w:rPr>
  </w:style>
  <w:style w:type="character" w:customStyle="1" w:styleId="Char2">
    <w:name w:val="第*章 Char"/>
    <w:qFormat/>
    <w:rPr>
      <w:rFonts w:ascii="Arial" w:eastAsia="黑体" w:hAnsi="Arial"/>
      <w:b/>
      <w:bCs/>
      <w:kern w:val="2"/>
      <w:sz w:val="32"/>
      <w:szCs w:val="32"/>
    </w:rPr>
  </w:style>
  <w:style w:type="character" w:customStyle="1" w:styleId="1Char0">
    <w:name w:val="章标题1 Char"/>
    <w:qFormat/>
    <w:rPr>
      <w:rFonts w:eastAsia="宋体"/>
      <w:b/>
      <w:bCs/>
      <w:kern w:val="2"/>
      <w:sz w:val="32"/>
      <w:szCs w:val="32"/>
      <w:lang w:val="en-US" w:eastAsia="zh-CN" w:bidi="ar-SA"/>
    </w:rPr>
  </w:style>
  <w:style w:type="character" w:customStyle="1" w:styleId="6Char">
    <w:name w:val="标题 6 Char"/>
    <w:link w:val="Heading6"/>
    <w:qFormat/>
    <w:rPr>
      <w:rFonts w:ascii="Arial" w:eastAsia="黑体" w:hAnsi="Arial"/>
      <w:b/>
      <w:kern w:val="2"/>
      <w:sz w:val="24"/>
      <w:lang w:val="en-US" w:eastAsia="zh-CN" w:bidi="ar-SA"/>
    </w:rPr>
  </w:style>
  <w:style w:type="character" w:customStyle="1" w:styleId="7Char">
    <w:name w:val="标题 7 Char"/>
    <w:link w:val="Heading7"/>
    <w:qFormat/>
    <w:rPr>
      <w:rFonts w:eastAsia="宋体"/>
      <w:b/>
      <w:kern w:val="2"/>
      <w:sz w:val="24"/>
      <w:lang w:val="en-US" w:eastAsia="zh-CN" w:bidi="ar-SA"/>
    </w:rPr>
  </w:style>
  <w:style w:type="character" w:customStyle="1" w:styleId="8Char">
    <w:name w:val="标题 8 Char"/>
    <w:link w:val="Heading8"/>
    <w:qFormat/>
    <w:rPr>
      <w:rFonts w:ascii="Arial" w:eastAsia="黑体" w:hAnsi="Arial"/>
      <w:kern w:val="2"/>
      <w:sz w:val="24"/>
      <w:lang w:val="en-US" w:eastAsia="zh-CN" w:bidi="ar-SA"/>
    </w:rPr>
  </w:style>
  <w:style w:type="character" w:customStyle="1" w:styleId="9Char">
    <w:name w:val="标题 9 Char"/>
    <w:link w:val="Heading9"/>
    <w:qFormat/>
    <w:rPr>
      <w:rFonts w:ascii="Arial" w:eastAsia="黑体" w:hAnsi="Arial"/>
      <w:kern w:val="2"/>
      <w:sz w:val="21"/>
      <w:lang w:val="en-US" w:eastAsia="zh-CN" w:bidi="ar-SA"/>
    </w:rPr>
  </w:style>
  <w:style w:type="character" w:customStyle="1" w:styleId="Char3">
    <w:name w:val="标题 Char"/>
    <w:link w:val="Title"/>
    <w:qFormat/>
    <w:rPr>
      <w:rFonts w:ascii="Arial" w:eastAsia="隶书" w:hAnsi="Arial" w:cs="Arial"/>
      <w:b/>
      <w:bCs/>
      <w:kern w:val="2"/>
      <w:sz w:val="32"/>
      <w:szCs w:val="32"/>
      <w:lang w:val="en-US" w:eastAsia="zh-CN" w:bidi="ar-SA"/>
    </w:rPr>
  </w:style>
  <w:style w:type="character" w:customStyle="1" w:styleId="Char4">
    <w:name w:val="日期 Char"/>
    <w:link w:val="Date"/>
    <w:qFormat/>
    <w:rPr>
      <w:rFonts w:ascii="宋体" w:eastAsia="宋体" w:hAnsi="Courier New"/>
      <w:kern w:val="2"/>
      <w:sz w:val="32"/>
      <w:lang w:val="en-US" w:eastAsia="zh-CN" w:bidi="ar-SA"/>
    </w:rPr>
  </w:style>
  <w:style w:type="character" w:customStyle="1" w:styleId="HTMLChar">
    <w:name w:val="HTML 预设格式 Char"/>
    <w:link w:val="HTMLPreformatted"/>
    <w:qFormat/>
    <w:rPr>
      <w:rFonts w:ascii="Arial Unicode MS" w:eastAsia="Arial Unicode MS" w:hAnsi="Arial Unicode MS"/>
      <w:color w:val="000000"/>
      <w:lang w:val="en-US" w:eastAsia="zh-CN" w:bidi="ar-SA"/>
    </w:rPr>
  </w:style>
  <w:style w:type="character" w:customStyle="1" w:styleId="Char5">
    <w:name w:val="纯文本 Char"/>
    <w:link w:val="PlainText"/>
    <w:qFormat/>
    <w:rPr>
      <w:rFonts w:ascii="宋体" w:eastAsia="宋体" w:hAnsi="Courier New"/>
      <w:kern w:val="2"/>
      <w:sz w:val="21"/>
      <w:lang w:val="en-US" w:eastAsia="zh-CN" w:bidi="ar-SA"/>
    </w:rPr>
  </w:style>
  <w:style w:type="character" w:customStyle="1" w:styleId="Char6">
    <w:name w:val="正文文字首行缩进 Char"/>
    <w:qFormat/>
    <w:rPr>
      <w:kern w:val="2"/>
      <w:sz w:val="21"/>
      <w:szCs w:val="24"/>
    </w:rPr>
  </w:style>
  <w:style w:type="character" w:customStyle="1" w:styleId="Char7">
    <w:name w:val="正文文本 Char"/>
    <w:link w:val="BodyText"/>
    <w:qFormat/>
    <w:rPr>
      <w:rFonts w:eastAsia="宋体"/>
      <w:b/>
      <w:bCs/>
      <w:kern w:val="2"/>
      <w:sz w:val="24"/>
      <w:szCs w:val="24"/>
      <w:lang w:val="en-US" w:eastAsia="zh-CN" w:bidi="ar-SA"/>
    </w:rPr>
  </w:style>
  <w:style w:type="character" w:customStyle="1" w:styleId="2Char0">
    <w:name w:val="正文文本缩进 2 Char"/>
    <w:link w:val="BodyTextIndent2"/>
    <w:qFormat/>
    <w:rPr>
      <w:rFonts w:ascii="宋体" w:eastAsia="宋体" w:hAnsi="宋体"/>
      <w:kern w:val="2"/>
      <w:sz w:val="21"/>
      <w:szCs w:val="24"/>
      <w:lang w:val="en-US" w:eastAsia="zh-CN" w:bidi="ar-SA"/>
    </w:rPr>
  </w:style>
  <w:style w:type="character" w:customStyle="1" w:styleId="Char8">
    <w:name w:val="页眉 Char"/>
    <w:link w:val="Header"/>
    <w:uiPriority w:val="99"/>
    <w:qFormat/>
    <w:rPr>
      <w:rFonts w:eastAsia="宋体"/>
      <w:kern w:val="2"/>
      <w:sz w:val="18"/>
      <w:szCs w:val="18"/>
      <w:lang w:val="en-US" w:eastAsia="zh-CN" w:bidi="ar-SA"/>
    </w:rPr>
  </w:style>
  <w:style w:type="character" w:customStyle="1" w:styleId="3Char0">
    <w:name w:val="正文文本缩进 3 Char"/>
    <w:link w:val="BodyTextIndent3"/>
    <w:qFormat/>
    <w:rPr>
      <w:rFonts w:ascii="宋体" w:eastAsia="宋体"/>
      <w:b/>
      <w:bCs/>
      <w:kern w:val="2"/>
      <w:sz w:val="24"/>
      <w:szCs w:val="24"/>
      <w:lang w:val="en-US" w:eastAsia="zh-CN" w:bidi="ar-SA"/>
    </w:rPr>
  </w:style>
  <w:style w:type="character" w:customStyle="1" w:styleId="2Char1">
    <w:name w:val="正文文本 2 Char"/>
    <w:link w:val="BodyText2"/>
    <w:qFormat/>
    <w:rPr>
      <w:rFonts w:eastAsia="宋体"/>
      <w:kern w:val="2"/>
      <w:sz w:val="24"/>
      <w:szCs w:val="24"/>
      <w:lang w:val="en-US" w:eastAsia="zh-CN" w:bidi="ar-SA"/>
    </w:rPr>
  </w:style>
  <w:style w:type="character" w:customStyle="1" w:styleId="Char9">
    <w:name w:val="页脚 Char"/>
    <w:link w:val="Footer"/>
    <w:qFormat/>
    <w:rPr>
      <w:rFonts w:eastAsia="宋体"/>
      <w:kern w:val="2"/>
      <w:sz w:val="18"/>
      <w:szCs w:val="18"/>
      <w:lang w:val="en-US" w:eastAsia="zh-CN" w:bidi="ar-SA"/>
    </w:rPr>
  </w:style>
  <w:style w:type="character" w:customStyle="1" w:styleId="3Char2">
    <w:name w:val="正文文本 3 Char"/>
    <w:link w:val="BodyText3"/>
    <w:qFormat/>
    <w:rPr>
      <w:rFonts w:eastAsia="宋体"/>
      <w:kern w:val="2"/>
      <w:sz w:val="16"/>
      <w:szCs w:val="16"/>
      <w:lang w:val="en-US" w:eastAsia="zh-CN" w:bidi="ar-SA"/>
    </w:rPr>
  </w:style>
  <w:style w:type="character" w:customStyle="1" w:styleId="Char10">
    <w:name w:val="批注框文本 Char"/>
    <w:link w:val="BalloonText"/>
    <w:uiPriority w:val="99"/>
    <w:semiHidden/>
    <w:qFormat/>
    <w:rPr>
      <w:rFonts w:eastAsia="宋体"/>
      <w:kern w:val="2"/>
      <w:sz w:val="18"/>
      <w:szCs w:val="18"/>
      <w:lang w:val="en-US" w:eastAsia="zh-CN" w:bidi="ar-SA"/>
    </w:rPr>
  </w:style>
  <w:style w:type="paragraph" w:customStyle="1" w:styleId="10">
    <w:name w:val="样式1"/>
    <w:basedOn w:val="Title"/>
    <w:qFormat/>
    <w:pPr>
      <w:spacing w:before="120" w:after="120"/>
    </w:pPr>
    <w:rPr>
      <w:rFonts w:eastAsia="黑体"/>
      <w:b w:val="0"/>
      <w:sz w:val="30"/>
      <w:szCs w:val="21"/>
    </w:rPr>
  </w:style>
  <w:style w:type="paragraph" w:customStyle="1" w:styleId="2">
    <w:name w:val="样式2"/>
    <w:basedOn w:val="Title"/>
    <w:next w:val="10"/>
    <w:qFormat/>
    <w:pPr>
      <w:spacing w:before="120" w:after="120"/>
    </w:pPr>
    <w:rPr>
      <w:rFonts w:eastAsia="黑体"/>
      <w:b w:val="0"/>
      <w:sz w:val="30"/>
      <w:szCs w:val="30"/>
    </w:rPr>
  </w:style>
  <w:style w:type="character" w:customStyle="1" w:styleId="3CharChar">
    <w:name w:val="标题 3 Char Char"/>
    <w:qFormat/>
    <w:rPr>
      <w:rFonts w:eastAsia="宋体"/>
      <w:b/>
      <w:bCs/>
      <w:kern w:val="2"/>
      <w:sz w:val="32"/>
      <w:szCs w:val="32"/>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Normal"/>
    <w:qFormat/>
    <w:pPr>
      <w:widowControl/>
      <w:spacing w:after="160" w:line="240" w:lineRule="exact"/>
      <w:jc w:val="left"/>
    </w:pPr>
    <w:rPr>
      <w:rFonts w:ascii="Arial" w:eastAsia="Times New Roman" w:hAnsi="Arial" w:cs="Verdana"/>
      <w:b/>
      <w:kern w:val="0"/>
      <w:sz w:val="24"/>
      <w:lang w:eastAsia="en-US"/>
    </w:rPr>
  </w:style>
  <w:style w:type="paragraph" w:customStyle="1" w:styleId="cont">
    <w:name w:val="cont"/>
    <w:basedOn w:val="Normal"/>
    <w:qFormat/>
    <w:pPr>
      <w:adjustRightInd w:val="0"/>
      <w:spacing w:before="100" w:after="100" w:line="360" w:lineRule="auto"/>
      <w:ind w:firstLine="200" w:firstLineChars="200"/>
      <w:jc w:val="left"/>
      <w:textAlignment w:val="baseline"/>
    </w:pPr>
    <w:rPr>
      <w:rFonts w:ascii="Arial" w:hAnsi="Arial"/>
      <w:kern w:val="0"/>
      <w:sz w:val="24"/>
      <w:szCs w:val="20"/>
    </w:rPr>
  </w:style>
  <w:style w:type="paragraph" w:customStyle="1" w:styleId="--">
    <w:name w:val="--规划正文"/>
    <w:basedOn w:val="Normal"/>
    <w:qFormat/>
    <w:pPr>
      <w:spacing w:line="360" w:lineRule="auto"/>
      <w:ind w:firstLine="200" w:firstLineChars="200"/>
    </w:pPr>
    <w:rPr>
      <w:szCs w:val="20"/>
    </w:rPr>
  </w:style>
  <w:style w:type="paragraph" w:customStyle="1" w:styleId="a4">
    <w:name w:val="设计依据"/>
    <w:basedOn w:val="BodyText"/>
    <w:qFormat/>
    <w:pPr>
      <w:numPr>
        <w:ilvl w:val="1"/>
        <w:numId w:val="4"/>
      </w:numPr>
      <w:tabs>
        <w:tab w:val="clear" w:pos="840"/>
        <w:tab w:val="left" w:pos="1440"/>
      </w:tabs>
      <w:adjustRightInd w:val="0"/>
      <w:ind w:left="1440"/>
      <w:textAlignment w:val="baseline"/>
    </w:pPr>
    <w:rPr>
      <w:rFonts w:ascii="宋体" w:hAnsi="宋体"/>
      <w:b w:val="0"/>
      <w:kern w:val="0"/>
      <w:sz w:val="28"/>
      <w:szCs w:val="18"/>
    </w:rPr>
  </w:style>
  <w:style w:type="paragraph" w:customStyle="1" w:styleId="a5">
    <w:name w:val="方案要点"/>
    <w:basedOn w:val="Normal"/>
    <w:qFormat/>
    <w:pPr>
      <w:numPr>
        <w:ilvl w:val="0"/>
        <w:numId w:val="4"/>
      </w:numPr>
      <w:spacing w:line="360" w:lineRule="auto"/>
    </w:pPr>
    <w:rPr>
      <w:rFonts w:ascii="仿宋_GB2312" w:eastAsia="仿宋_GB2312" w:hAnsi="宋体"/>
      <w:color w:val="000000"/>
      <w:sz w:val="28"/>
      <w:szCs w:val="28"/>
    </w:rPr>
  </w:style>
  <w:style w:type="paragraph" w:customStyle="1" w:styleId="4">
    <w:name w:val="样式4"/>
    <w:basedOn w:val="Normal"/>
    <w:qFormat/>
    <w:pPr>
      <w:tabs>
        <w:tab w:val="left" w:pos="842"/>
      </w:tabs>
      <w:spacing w:line="360" w:lineRule="auto"/>
      <w:ind w:left="842" w:hanging="420"/>
    </w:pPr>
    <w:rPr>
      <w:sz w:val="24"/>
    </w:rPr>
  </w:style>
  <w:style w:type="paragraph" w:customStyle="1" w:styleId="a6">
    <w:name w:val="文字"/>
    <w:basedOn w:val="Normal"/>
    <w:qFormat/>
    <w:pPr>
      <w:tabs>
        <w:tab w:val="left" w:pos="8520"/>
      </w:tabs>
      <w:spacing w:line="312" w:lineRule="auto"/>
      <w:ind w:right="-210" w:firstLine="556"/>
    </w:pPr>
    <w:rPr>
      <w:rFonts w:ascii="宋体"/>
      <w:sz w:val="28"/>
      <w:szCs w:val="20"/>
    </w:rPr>
  </w:style>
  <w:style w:type="paragraph" w:customStyle="1" w:styleId="----">
    <w:name w:val="--规划-表格-居左"/>
    <w:basedOn w:val="--"/>
    <w:qFormat/>
    <w:pPr>
      <w:spacing w:line="240" w:lineRule="auto"/>
      <w:ind w:firstLine="0" w:firstLineChars="0"/>
    </w:pPr>
    <w:rPr>
      <w:sz w:val="20"/>
    </w:rPr>
  </w:style>
  <w:style w:type="paragraph" w:customStyle="1" w:styleId="----0">
    <w:name w:val="--规划-表格-居中"/>
    <w:basedOn w:val="--"/>
    <w:qFormat/>
    <w:pPr>
      <w:spacing w:line="240" w:lineRule="auto"/>
      <w:ind w:firstLine="0" w:firstLineChars="0"/>
      <w:jc w:val="center"/>
    </w:pPr>
    <w:rPr>
      <w:sz w:val="20"/>
    </w:rPr>
  </w:style>
  <w:style w:type="paragraph" w:customStyle="1" w:styleId="--0">
    <w:name w:val="--编号内缩进"/>
    <w:basedOn w:val="Normal"/>
    <w:qFormat/>
    <w:pPr>
      <w:spacing w:line="360" w:lineRule="auto"/>
      <w:ind w:left="420" w:firstLine="200" w:firstLineChars="200"/>
    </w:pPr>
    <w:rPr>
      <w:szCs w:val="21"/>
    </w:rPr>
  </w:style>
  <w:style w:type="paragraph" w:customStyle="1" w:styleId="---">
    <w:name w:val="--规划-题注"/>
    <w:basedOn w:val="Normal"/>
    <w:next w:val="--"/>
    <w:qFormat/>
    <w:pPr>
      <w:spacing w:line="360" w:lineRule="auto"/>
      <w:jc w:val="center"/>
    </w:pPr>
    <w:rPr>
      <w:rFonts w:eastAsia="黑体"/>
    </w:rPr>
  </w:style>
  <w:style w:type="paragraph" w:customStyle="1" w:styleId="---0">
    <w:name w:val="--规划-图和表"/>
    <w:next w:val="--"/>
    <w:qFormat/>
    <w:pPr>
      <w:jc w:val="center"/>
    </w:pPr>
    <w:rPr>
      <w:rFonts w:ascii="Times New Roman" w:eastAsia="宋体" w:hAnsi="Times New Roman" w:cs="Times New Roman"/>
      <w:kern w:val="2"/>
      <w:sz w:val="21"/>
      <w:lang w:val="en-US" w:eastAsia="zh-CN" w:bidi="ar-SA"/>
    </w:rPr>
  </w:style>
  <w:style w:type="paragraph" w:customStyle="1" w:styleId="---1">
    <w:name w:val="--规划-小标题"/>
    <w:basedOn w:val="Normal"/>
    <w:next w:val="--"/>
    <w:qFormat/>
    <w:pPr>
      <w:keepNext/>
      <w:keepLines/>
      <w:spacing w:line="360" w:lineRule="auto"/>
      <w:outlineLvl w:val="4"/>
    </w:pPr>
    <w:rPr>
      <w:rFonts w:eastAsia="黑体"/>
    </w:rPr>
  </w:style>
  <w:style w:type="paragraph" w:customStyle="1" w:styleId="--Char">
    <w:name w:val="--规划正文 Char"/>
    <w:basedOn w:val="Normal"/>
    <w:qFormat/>
    <w:pPr>
      <w:spacing w:line="360" w:lineRule="auto"/>
      <w:ind w:firstLine="200" w:firstLineChars="200"/>
    </w:pPr>
    <w:rPr>
      <w:sz w:val="24"/>
    </w:rPr>
  </w:style>
  <w:style w:type="paragraph" w:customStyle="1" w:styleId="a7">
    <w:name w:val="缺省文本"/>
    <w:basedOn w:val="Normal"/>
    <w:qFormat/>
    <w:pPr>
      <w:autoSpaceDE w:val="0"/>
      <w:autoSpaceDN w:val="0"/>
      <w:adjustRightInd w:val="0"/>
      <w:jc w:val="left"/>
    </w:pPr>
    <w:rPr>
      <w:kern w:val="0"/>
    </w:rPr>
  </w:style>
  <w:style w:type="paragraph" w:customStyle="1" w:styleId="a8">
    <w:name w:val="封面文档标题"/>
    <w:basedOn w:val="Normal"/>
    <w:qFormat/>
    <w:pPr>
      <w:autoSpaceDE w:val="0"/>
      <w:autoSpaceDN w:val="0"/>
      <w:adjustRightInd w:val="0"/>
      <w:spacing w:line="360" w:lineRule="auto"/>
      <w:jc w:val="center"/>
    </w:pPr>
    <w:rPr>
      <w:rFonts w:ascii="Arial" w:hAnsi="Arial"/>
      <w:b/>
      <w:kern w:val="0"/>
      <w:sz w:val="56"/>
    </w:rPr>
  </w:style>
  <w:style w:type="character" w:customStyle="1" w:styleId="--CharChar">
    <w:name w:val="--规划正文 Char Char"/>
    <w:qFormat/>
    <w:rPr>
      <w:rFonts w:eastAsia="宋体"/>
      <w:kern w:val="2"/>
      <w:sz w:val="24"/>
      <w:szCs w:val="24"/>
      <w:lang w:val="en-US" w:eastAsia="zh-CN" w:bidi="ar-SA"/>
    </w:rPr>
  </w:style>
  <w:style w:type="paragraph" w:customStyle="1" w:styleId="3">
    <w:name w:val="样式3"/>
    <w:basedOn w:val="Heading1"/>
    <w:qFormat/>
    <w:pPr>
      <w:numPr>
        <w:ilvl w:val="0"/>
        <w:numId w:val="5"/>
      </w:numPr>
      <w:spacing w:before="240" w:after="240" w:line="480" w:lineRule="auto"/>
      <w:ind w:right="210" w:rightChars="100"/>
      <w:jc w:val="left"/>
    </w:pPr>
    <w:rPr>
      <w:rFonts w:ascii="Times New Roman" w:hAnsi="Times New Roman"/>
      <w:sz w:val="32"/>
    </w:rPr>
  </w:style>
  <w:style w:type="character" w:customStyle="1" w:styleId="--Char1">
    <w:name w:val="--规划正文 Char1"/>
    <w:qFormat/>
    <w:rPr>
      <w:rFonts w:eastAsia="宋体"/>
      <w:kern w:val="2"/>
      <w:sz w:val="21"/>
      <w:lang w:val="en-US" w:eastAsia="zh-CN" w:bidi="ar-SA"/>
    </w:rPr>
  </w:style>
  <w:style w:type="paragraph" w:customStyle="1" w:styleId="word">
    <w:name w:val="word"/>
    <w:basedOn w:val="Normal"/>
    <w:qFormat/>
    <w:pPr>
      <w:widowControl/>
      <w:spacing w:before="100" w:beforeAutospacing="1" w:after="100" w:afterAutospacing="1" w:line="301" w:lineRule="atLeast"/>
      <w:jc w:val="left"/>
    </w:pPr>
    <w:rPr>
      <w:rFonts w:ascii="ˎ̥" w:hAnsi="ˎ̥"/>
      <w:color w:val="000000"/>
      <w:kern w:val="0"/>
      <w:sz w:val="20"/>
      <w:szCs w:val="20"/>
    </w:rPr>
  </w:style>
  <w:style w:type="paragraph" w:customStyle="1" w:styleId="a9">
    <w:name w:val="列表项目"/>
    <w:basedOn w:val="Normal"/>
    <w:qFormat/>
    <w:pPr>
      <w:tabs>
        <w:tab w:val="left" w:pos="420"/>
        <w:tab w:val="left" w:pos="1080"/>
      </w:tabs>
      <w:spacing w:line="288" w:lineRule="auto"/>
      <w:ind w:left="1080" w:hanging="360"/>
    </w:pPr>
    <w:rPr>
      <w:sz w:val="24"/>
      <w:szCs w:val="20"/>
    </w:rPr>
  </w:style>
  <w:style w:type="character" w:customStyle="1" w:styleId="content1">
    <w:name w:val="content1"/>
    <w:qFormat/>
    <w:rPr>
      <w:rFonts w:ascii="??" w:hAnsi="??" w:hint="default"/>
      <w:sz w:val="16"/>
      <w:szCs w:val="16"/>
      <w:u w:val="none"/>
    </w:rPr>
  </w:style>
  <w:style w:type="character" w:customStyle="1" w:styleId="unnamed4">
    <w:name w:val="unnamed4"/>
    <w:basedOn w:val="DefaultParagraphFont"/>
    <w:qFormat/>
  </w:style>
  <w:style w:type="character" w:customStyle="1" w:styleId="font2">
    <w:name w:val="font2"/>
    <w:basedOn w:val="DefaultParagraphFont"/>
    <w:qFormat/>
  </w:style>
  <w:style w:type="character" w:customStyle="1" w:styleId="font41">
    <w:name w:val="font41"/>
    <w:qFormat/>
    <w:rPr>
      <w:color w:val="000000"/>
      <w:spacing w:val="260"/>
      <w:sz w:val="18"/>
      <w:szCs w:val="18"/>
      <w:u w:val="none"/>
    </w:rPr>
  </w:style>
  <w:style w:type="paragraph" w:customStyle="1" w:styleId="a10">
    <w:name w:val="正文(首行缩进)"/>
    <w:qFormat/>
    <w:pPr>
      <w:spacing w:line="360" w:lineRule="auto"/>
      <w:ind w:firstLine="488" w:firstLineChars="200"/>
      <w:jc w:val="both"/>
    </w:pPr>
    <w:rPr>
      <w:rFonts w:ascii="Times New Roman" w:eastAsia="仿宋_GB2312" w:hAnsi="Times New Roman" w:cs="Times New Roman"/>
      <w:spacing w:val="2"/>
      <w:sz w:val="24"/>
      <w:szCs w:val="24"/>
      <w:lang w:val="en-US" w:eastAsia="zh-CN" w:bidi="ar-SA"/>
    </w:rPr>
  </w:style>
  <w:style w:type="paragraph" w:customStyle="1" w:styleId="xl72">
    <w:name w:val="xl72"/>
    <w:basedOn w:val="Normal"/>
    <w:qFormat/>
    <w:pPr>
      <w:widowControl/>
      <w:spacing w:before="100" w:beforeAutospacing="1" w:after="100" w:afterAutospacing="1"/>
      <w:jc w:val="left"/>
    </w:pPr>
    <w:rPr>
      <w:rFonts w:ascii="宋体" w:hAnsi="宋体"/>
      <w:b/>
      <w:bCs/>
      <w:kern w:val="0"/>
      <w:sz w:val="28"/>
      <w:szCs w:val="28"/>
    </w:rPr>
  </w:style>
  <w:style w:type="character" w:customStyle="1" w:styleId="Char12">
    <w:name w:val="正文首行缩进 Char"/>
    <w:link w:val="BodyTextFirstIndent"/>
    <w:qFormat/>
    <w:rPr>
      <w:rFonts w:eastAsia="宋体"/>
      <w:b/>
      <w:bCs/>
      <w:kern w:val="2"/>
      <w:sz w:val="21"/>
      <w:szCs w:val="24"/>
      <w:lang w:val="en-US" w:eastAsia="zh-CN" w:bidi="ar-SA"/>
    </w:rPr>
  </w:style>
  <w:style w:type="paragraph" w:customStyle="1" w:styleId="Char13">
    <w:name w:val="正文(首行缩进) Char"/>
    <w:qFormat/>
    <w:pPr>
      <w:spacing w:before="120" w:after="60" w:line="360" w:lineRule="auto"/>
      <w:ind w:firstLine="200" w:firstLineChars="200"/>
    </w:pPr>
    <w:rPr>
      <w:rFonts w:ascii="Times New Roman" w:eastAsia="仿宋_GB2312" w:hAnsi="Times New Roman" w:cs="Times New Roman"/>
      <w:spacing w:val="2"/>
      <w:kern w:val="24"/>
      <w:sz w:val="24"/>
      <w:szCs w:val="24"/>
      <w:lang w:val="en-US" w:eastAsia="zh-CN" w:bidi="ar-SA"/>
    </w:rPr>
  </w:style>
  <w:style w:type="paragraph" w:customStyle="1" w:styleId="8">
    <w:name w:val="汉议细等线简8"/>
    <w:qFormat/>
    <w:pPr>
      <w:widowControl w:val="0"/>
      <w:autoSpaceDE w:val="0"/>
      <w:autoSpaceDN w:val="0"/>
      <w:adjustRightInd w:val="0"/>
      <w:spacing w:line="260" w:lineRule="atLeast"/>
      <w:jc w:val="both"/>
    </w:pPr>
    <w:rPr>
      <w:rFonts w:ascii="汉仪细等线简" w:eastAsia="汉仪细等线简" w:hAnsi="Times New Roman" w:cs="Times New Roman"/>
      <w:color w:val="000000"/>
      <w:sz w:val="16"/>
      <w:szCs w:val="16"/>
      <w:lang w:val="en-US" w:eastAsia="zh-CN" w:bidi="ar-SA"/>
    </w:rPr>
  </w:style>
  <w:style w:type="paragraph" w:customStyle="1" w:styleId="9BOLD">
    <w:name w:val="汉仪细等线简9BOLD"/>
    <w:basedOn w:val="Normal"/>
    <w:qFormat/>
    <w:pPr>
      <w:autoSpaceDE w:val="0"/>
      <w:autoSpaceDN w:val="0"/>
      <w:adjustRightInd w:val="0"/>
      <w:spacing w:line="240" w:lineRule="atLeast"/>
    </w:pPr>
    <w:rPr>
      <w:rFonts w:ascii="汉仪细等线简" w:eastAsia="汉仪细等线简"/>
      <w:b/>
      <w:bCs/>
      <w:kern w:val="0"/>
      <w:sz w:val="18"/>
      <w:szCs w:val="18"/>
    </w:rPr>
  </w:style>
  <w:style w:type="character" w:customStyle="1" w:styleId="mode">
    <w:name w:val="mode"/>
    <w:basedOn w:val="DefaultParagraphFont"/>
    <w:qFormat/>
  </w:style>
  <w:style w:type="paragraph" w:customStyle="1" w:styleId="9">
    <w:name w:val="9"/>
    <w:basedOn w:val="Normal"/>
    <w:next w:val="NormalIndent"/>
    <w:qFormat/>
    <w:pPr>
      <w:autoSpaceDE w:val="0"/>
      <w:autoSpaceDN w:val="0"/>
      <w:adjustRightInd w:val="0"/>
      <w:ind w:firstLine="420"/>
      <w:jc w:val="left"/>
      <w:textAlignment w:val="baseline"/>
    </w:pPr>
    <w:rPr>
      <w:rFonts w:ascii="宋体"/>
      <w:kern w:val="0"/>
      <w:sz w:val="34"/>
      <w:szCs w:val="20"/>
    </w:rPr>
  </w:style>
  <w:style w:type="character" w:customStyle="1" w:styleId="unnamed3">
    <w:name w:val="unnamed3"/>
    <w:basedOn w:val="DefaultParagraphFont"/>
    <w:qFormat/>
  </w:style>
  <w:style w:type="paragraph" w:customStyle="1" w:styleId="80">
    <w:name w:val="8"/>
    <w:basedOn w:val="Normal"/>
    <w:next w:val="BodyTextIndent"/>
    <w:qFormat/>
    <w:pPr>
      <w:spacing w:after="120"/>
      <w:ind w:left="420" w:leftChars="200"/>
    </w:pPr>
  </w:style>
  <w:style w:type="paragraph" w:customStyle="1" w:styleId="7">
    <w:name w:val="7"/>
    <w:basedOn w:val="Normal"/>
    <w:qFormat/>
    <w:pPr>
      <w:autoSpaceDE w:val="0"/>
      <w:autoSpaceDN w:val="0"/>
      <w:adjustRightInd w:val="0"/>
      <w:spacing w:line="270" w:lineRule="atLeast"/>
      <w:jc w:val="left"/>
    </w:pPr>
    <w:rPr>
      <w:rFonts w:ascii="宋体"/>
      <w:kern w:val="0"/>
      <w:sz w:val="18"/>
      <w:szCs w:val="18"/>
    </w:rPr>
  </w:style>
  <w:style w:type="paragraph" w:customStyle="1" w:styleId="00">
    <w:name w:val="00"/>
    <w:basedOn w:val="Normal"/>
    <w:qFormat/>
    <w:pPr>
      <w:autoSpaceDE w:val="0"/>
      <w:autoSpaceDN w:val="0"/>
      <w:adjustRightInd w:val="0"/>
      <w:jc w:val="left"/>
    </w:pPr>
    <w:rPr>
      <w:rFonts w:ascii="黑体" w:eastAsia="黑体"/>
      <w:b/>
      <w:bCs/>
      <w:kern w:val="0"/>
      <w:sz w:val="20"/>
      <w:szCs w:val="20"/>
    </w:rPr>
  </w:style>
  <w:style w:type="paragraph" w:customStyle="1" w:styleId="5">
    <w:name w:val="5"/>
    <w:basedOn w:val="Normal"/>
    <w:qFormat/>
    <w:pPr>
      <w:autoSpaceDE w:val="0"/>
      <w:autoSpaceDN w:val="0"/>
      <w:adjustRightInd w:val="0"/>
      <w:jc w:val="left"/>
    </w:pPr>
    <w:rPr>
      <w:rFonts w:ascii="宋体"/>
      <w:b/>
      <w:bCs/>
      <w:kern w:val="0"/>
      <w:sz w:val="18"/>
      <w:szCs w:val="18"/>
    </w:rPr>
  </w:style>
  <w:style w:type="paragraph" w:customStyle="1" w:styleId="6">
    <w:name w:val="6"/>
    <w:basedOn w:val="5"/>
    <w:qFormat/>
    <w:pPr>
      <w:spacing w:line="270" w:lineRule="atLeast"/>
      <w:jc w:val="both"/>
    </w:pPr>
    <w:rPr>
      <w:b w:val="0"/>
      <w:bCs w:val="0"/>
    </w:rPr>
  </w:style>
  <w:style w:type="paragraph" w:customStyle="1" w:styleId="a11">
    <w:name w:val="产品描述"/>
    <w:qFormat/>
    <w:pPr>
      <w:widowControl w:val="0"/>
      <w:autoSpaceDE w:val="0"/>
      <w:autoSpaceDN w:val="0"/>
      <w:adjustRightInd w:val="0"/>
      <w:spacing w:line="270" w:lineRule="atLeast"/>
      <w:ind w:firstLine="397"/>
      <w:jc w:val="both"/>
    </w:pPr>
    <w:rPr>
      <w:rFonts w:ascii="宋体" w:eastAsia="宋体" w:hAnsi="Times New Roman" w:cs="Times New Roman"/>
      <w:sz w:val="18"/>
      <w:szCs w:val="18"/>
      <w:lang w:val="en-US" w:eastAsia="zh-CN" w:bidi="ar-SA"/>
    </w:rPr>
  </w:style>
  <w:style w:type="paragraph" w:customStyle="1" w:styleId="a12">
    <w:name w:val="姜文清定义的正文"/>
    <w:basedOn w:val="Normal"/>
    <w:qFormat/>
    <w:pPr>
      <w:spacing w:line="240" w:lineRule="atLeast"/>
      <w:ind w:firstLine="567"/>
    </w:pPr>
    <w:rPr>
      <w:szCs w:val="20"/>
    </w:rPr>
  </w:style>
  <w:style w:type="paragraph" w:customStyle="1" w:styleId="Default">
    <w:name w:val="Default"/>
    <w:qFormat/>
    <w:pPr>
      <w:widowControl w:val="0"/>
      <w:autoSpaceDE w:val="0"/>
      <w:autoSpaceDN w:val="0"/>
      <w:adjustRightInd w:val="0"/>
    </w:pPr>
    <w:rPr>
      <w:rFonts w:ascii="H Yb 2gj" w:eastAsia="H Yb 2gj" w:hAnsi="Times New Roman" w:cs="H Yb 2gj"/>
      <w:color w:val="000000"/>
      <w:sz w:val="24"/>
      <w:szCs w:val="24"/>
      <w:lang w:val="en-US" w:eastAsia="zh-CN" w:bidi="ar-SA"/>
    </w:rPr>
  </w:style>
  <w:style w:type="paragraph" w:customStyle="1" w:styleId="CM2">
    <w:name w:val="CM2"/>
    <w:basedOn w:val="Default"/>
    <w:next w:val="Default"/>
    <w:qFormat/>
    <w:pPr>
      <w:spacing w:line="200" w:lineRule="atLeast"/>
    </w:pPr>
    <w:rPr>
      <w:rFonts w:ascii="Arial" w:eastAsia="宋体" w:hAnsi="Arial" w:cs="Times New Roman"/>
      <w:color w:val="auto"/>
    </w:rPr>
  </w:style>
  <w:style w:type="paragraph" w:customStyle="1" w:styleId="NormalParagraph">
    <w:name w:val="Normal Paragraph"/>
    <w:basedOn w:val="Normal"/>
    <w:qFormat/>
    <w:pPr>
      <w:widowControl/>
      <w:spacing w:before="120" w:line="360" w:lineRule="auto"/>
      <w:ind w:firstLine="425"/>
    </w:pPr>
    <w:rPr>
      <w:kern w:val="0"/>
      <w:sz w:val="24"/>
    </w:rPr>
  </w:style>
  <w:style w:type="character" w:customStyle="1" w:styleId="blue">
    <w:name w:val="blue"/>
    <w:basedOn w:val="DefaultParagraphFont"/>
    <w:qFormat/>
  </w:style>
  <w:style w:type="paragraph" w:customStyle="1" w:styleId="blue1">
    <w:name w:val="blue1"/>
    <w:basedOn w:val="Normal"/>
    <w:qFormat/>
    <w:pPr>
      <w:widowControl/>
      <w:spacing w:before="100" w:beforeAutospacing="1" w:after="100" w:afterAutospacing="1"/>
      <w:jc w:val="left"/>
    </w:pPr>
    <w:rPr>
      <w:rFonts w:ascii="宋体" w:hAnsi="宋体" w:cs="宋体"/>
      <w:kern w:val="0"/>
      <w:sz w:val="24"/>
    </w:rPr>
  </w:style>
  <w:style w:type="character" w:customStyle="1" w:styleId="font">
    <w:name w:val="font"/>
    <w:basedOn w:val="DefaultParagraphFont"/>
    <w:qFormat/>
  </w:style>
  <w:style w:type="character" w:customStyle="1" w:styleId="font11">
    <w:name w:val="font11"/>
    <w:qFormat/>
    <w:rPr>
      <w:rFonts w:ascii="ˎ̥" w:hAnsi="ˎ̥" w:hint="default"/>
    </w:rPr>
  </w:style>
  <w:style w:type="paragraph" w:customStyle="1" w:styleId="a14">
    <w:name w:val="a14"/>
    <w:basedOn w:val="Normal"/>
    <w:qFormat/>
    <w:pPr>
      <w:widowControl/>
      <w:spacing w:before="100" w:beforeAutospacing="1" w:after="100" w:afterAutospacing="1" w:line="300" w:lineRule="atLeast"/>
      <w:ind w:firstLine="375"/>
      <w:jc w:val="left"/>
    </w:pPr>
    <w:rPr>
      <w:rFonts w:ascii="宋体" w:hAnsi="宋体" w:cs="宋体"/>
      <w:kern w:val="0"/>
      <w:szCs w:val="21"/>
    </w:rPr>
  </w:style>
  <w:style w:type="character" w:customStyle="1" w:styleId="proddescription">
    <w:name w:val="proddescription"/>
    <w:basedOn w:val="DefaultParagraphFont"/>
    <w:qFormat/>
  </w:style>
  <w:style w:type="character" w:customStyle="1" w:styleId="prodheadlines">
    <w:name w:val="prodheadlines"/>
    <w:basedOn w:val="DefaultParagraphFont"/>
    <w:qFormat/>
  </w:style>
  <w:style w:type="character" w:customStyle="1" w:styleId="text">
    <w:name w:val="text"/>
    <w:basedOn w:val="DefaultParagraphFont"/>
    <w:qFormat/>
  </w:style>
  <w:style w:type="paragraph" w:customStyle="1" w:styleId="text1">
    <w:name w:val="text1"/>
    <w:basedOn w:val="Normal"/>
    <w:qFormat/>
    <w:pPr>
      <w:widowControl/>
      <w:spacing w:before="100" w:beforeAutospacing="1" w:after="100" w:afterAutospacing="1"/>
      <w:jc w:val="left"/>
    </w:pPr>
    <w:rPr>
      <w:rFonts w:ascii="宋体" w:hAnsi="宋体" w:cs="宋体"/>
      <w:kern w:val="0"/>
      <w:sz w:val="24"/>
    </w:rPr>
  </w:style>
  <w:style w:type="paragraph" w:customStyle="1" w:styleId="z-1">
    <w:name w:val="z-窗体顶端1"/>
    <w:basedOn w:val="Normal"/>
    <w:next w:val="Normal"/>
    <w:hidden/>
    <w:qFormat/>
    <w:pPr>
      <w:widowControl/>
      <w:pBdr>
        <w:bottom w:val="single" w:sz="6" w:space="1" w:color="auto"/>
      </w:pBdr>
      <w:jc w:val="center"/>
    </w:pPr>
    <w:rPr>
      <w:rFonts w:ascii="Arial" w:hAnsi="Arial" w:cs="Arial"/>
      <w:vanish/>
      <w:kern w:val="0"/>
      <w:sz w:val="16"/>
      <w:szCs w:val="16"/>
    </w:rPr>
  </w:style>
  <w:style w:type="paragraph" w:customStyle="1" w:styleId="z-10">
    <w:name w:val="z-窗体底端1"/>
    <w:basedOn w:val="Normal"/>
    <w:next w:val="Normal"/>
    <w:hidden/>
    <w:qFormat/>
    <w:pPr>
      <w:widowControl/>
      <w:pBdr>
        <w:top w:val="single" w:sz="6" w:space="1" w:color="auto"/>
      </w:pBdr>
      <w:jc w:val="center"/>
    </w:pPr>
    <w:rPr>
      <w:rFonts w:ascii="Arial" w:hAnsi="Arial" w:cs="Arial"/>
      <w:vanish/>
      <w:kern w:val="0"/>
      <w:sz w:val="16"/>
      <w:szCs w:val="16"/>
    </w:rPr>
  </w:style>
  <w:style w:type="paragraph" w:customStyle="1" w:styleId="a13">
    <w:name w:val="正文样式"/>
    <w:basedOn w:val="Normal"/>
    <w:qFormat/>
    <w:pPr>
      <w:adjustRightInd w:val="0"/>
      <w:spacing w:line="400" w:lineRule="atLeast"/>
      <w:ind w:firstLine="570" w:firstLineChars="203"/>
      <w:textAlignment w:val="baseline"/>
    </w:pPr>
    <w:rPr>
      <w:rFonts w:eastAsia="仿宋_GB2312"/>
      <w:kern w:val="0"/>
      <w:sz w:val="28"/>
      <w:szCs w:val="20"/>
    </w:rPr>
  </w:style>
  <w:style w:type="paragraph" w:customStyle="1" w:styleId="xl34">
    <w:name w:val="xl34"/>
    <w:basedOn w:val="Normal"/>
    <w:qFormat/>
    <w:pPr>
      <w:widowControl/>
      <w:pBdr>
        <w:left w:val="single" w:sz="4" w:space="0" w:color="auto"/>
      </w:pBdr>
      <w:spacing w:before="100" w:beforeAutospacing="1" w:after="100" w:afterAutospacing="1"/>
      <w:jc w:val="center"/>
      <w:textAlignment w:val="center"/>
    </w:pPr>
    <w:rPr>
      <w:rFonts w:ascii="宋体" w:hAnsi="宋体"/>
      <w:kern w:val="0"/>
      <w:sz w:val="24"/>
    </w:rPr>
  </w:style>
  <w:style w:type="paragraph" w:customStyle="1" w:styleId="a15">
    <w:name w:val="段落正文"/>
    <w:basedOn w:val="PlainText"/>
    <w:qFormat/>
    <w:pPr>
      <w:ind w:firstLine="560" w:firstLineChars="200"/>
    </w:pPr>
    <w:rPr>
      <w:sz w:val="28"/>
    </w:rPr>
  </w:style>
  <w:style w:type="character" w:customStyle="1" w:styleId="gray6">
    <w:name w:val="gray6"/>
    <w:basedOn w:val="DefaultParagraphFont"/>
    <w:qFormat/>
  </w:style>
  <w:style w:type="character" w:customStyle="1" w:styleId="style9">
    <w:name w:val="style9"/>
    <w:basedOn w:val="DefaultParagraphFont"/>
    <w:qFormat/>
  </w:style>
  <w:style w:type="paragraph" w:customStyle="1" w:styleId="24">
    <w:name w:val="2册标题4"/>
    <w:basedOn w:val="Normal"/>
    <w:next w:val="Normal"/>
    <w:qFormat/>
    <w:pPr>
      <w:spacing w:beforeLines="50" w:afterLines="50" w:line="300" w:lineRule="auto"/>
      <w:ind w:left="420" w:leftChars="200"/>
      <w:outlineLvl w:val="3"/>
    </w:pPr>
    <w:rPr>
      <w:rFonts w:ascii="Arial" w:eastAsia="幼圆" w:hAnsi="Arial" w:cs="Arial"/>
      <w:b/>
      <w:sz w:val="24"/>
    </w:rPr>
  </w:style>
  <w:style w:type="character" w:customStyle="1" w:styleId="grame">
    <w:name w:val="grame"/>
    <w:basedOn w:val="DefaultParagraphFont"/>
    <w:qFormat/>
  </w:style>
  <w:style w:type="paragraph" w:customStyle="1" w:styleId="style2">
    <w:name w:val="style2"/>
    <w:basedOn w:val="Normal"/>
    <w:qFormat/>
    <w:pPr>
      <w:widowControl/>
      <w:spacing w:before="100" w:beforeAutospacing="1" w:after="100" w:afterAutospacing="1"/>
      <w:jc w:val="left"/>
    </w:pPr>
    <w:rPr>
      <w:rFonts w:ascii="宋体" w:hAnsi="宋体" w:cs="宋体"/>
      <w:kern w:val="0"/>
      <w:sz w:val="18"/>
      <w:szCs w:val="18"/>
    </w:rPr>
  </w:style>
  <w:style w:type="paragraph" w:customStyle="1" w:styleId="Char14">
    <w:name w:val="Char1"/>
    <w:basedOn w:val="Normal"/>
    <w:qFormat/>
    <w:pPr>
      <w:jc w:val="left"/>
    </w:pPr>
    <w:rPr>
      <w:rFonts w:ascii="Tahoma" w:hAnsi="Tahoma"/>
      <w:sz w:val="24"/>
      <w:szCs w:val="20"/>
    </w:rPr>
  </w:style>
  <w:style w:type="paragraph" w:customStyle="1" w:styleId="11">
    <w:name w:val="编号1"/>
    <w:basedOn w:val="Normal"/>
    <w:qFormat/>
    <w:pPr>
      <w:numPr>
        <w:ilvl w:val="0"/>
        <w:numId w:val="6"/>
      </w:numPr>
      <w:adjustRightInd w:val="0"/>
      <w:spacing w:line="300" w:lineRule="auto"/>
      <w:ind w:right="210"/>
      <w:textAlignment w:val="center"/>
    </w:pPr>
    <w:rPr>
      <w:rFonts w:ascii="宋体" w:hAnsi="宋体"/>
      <w:snapToGrid w:val="0"/>
      <w:spacing w:val="10"/>
      <w:kern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qFormat/>
    <w:pPr>
      <w:widowControl/>
      <w:spacing w:line="400" w:lineRule="exact"/>
      <w:jc w:val="center"/>
    </w:pPr>
    <w:rPr>
      <w:rFonts w:ascii="Verdana" w:hAnsi="Verdana"/>
      <w:kern w:val="0"/>
      <w:szCs w:val="20"/>
      <w:lang w:eastAsia="en-US"/>
    </w:rPr>
  </w:style>
  <w:style w:type="paragraph" w:customStyle="1" w:styleId="font0">
    <w:name w:val="font0"/>
    <w:basedOn w:val="Normal"/>
    <w:qFormat/>
    <w:pPr>
      <w:widowControl/>
      <w:spacing w:before="100" w:beforeAutospacing="1" w:after="100" w:afterAutospacing="1"/>
      <w:jc w:val="left"/>
    </w:pPr>
    <w:rPr>
      <w:rFonts w:ascii="宋体" w:hAnsi="宋体" w:hint="eastAsia"/>
      <w:kern w:val="0"/>
      <w:sz w:val="24"/>
    </w:rPr>
  </w:style>
  <w:style w:type="paragraph" w:customStyle="1" w:styleId="font5">
    <w:name w:val="font5"/>
    <w:basedOn w:val="Normal"/>
    <w:qFormat/>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Normal"/>
    <w:qFormat/>
    <w:pPr>
      <w:widowControl/>
      <w:spacing w:before="100" w:beforeAutospacing="1" w:after="100" w:afterAutospacing="1"/>
      <w:jc w:val="left"/>
    </w:pPr>
    <w:rPr>
      <w:kern w:val="0"/>
      <w:sz w:val="24"/>
    </w:rPr>
  </w:style>
  <w:style w:type="paragraph" w:customStyle="1" w:styleId="xl24">
    <w:name w:val="xl24"/>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rPr>
  </w:style>
  <w:style w:type="paragraph" w:customStyle="1" w:styleId="xl25">
    <w:name w:val="xl25"/>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4"/>
    </w:rPr>
  </w:style>
  <w:style w:type="paragraph" w:customStyle="1" w:styleId="a16">
    <w:name w:val="表格字"/>
    <w:basedOn w:val="Normal"/>
    <w:qFormat/>
    <w:pPr>
      <w:adjustRightInd w:val="0"/>
      <w:jc w:val="center"/>
    </w:pPr>
    <w:rPr>
      <w:rFonts w:ascii="宋体"/>
      <w:sz w:val="24"/>
      <w:szCs w:val="20"/>
    </w:rPr>
  </w:style>
  <w:style w:type="character" w:customStyle="1" w:styleId="a17">
    <w:name w:val="样式 小三 加粗"/>
    <w:qFormat/>
    <w:rPr>
      <w:rFonts w:eastAsia="宋体"/>
      <w:b/>
      <w:bCs/>
      <w:sz w:val="32"/>
    </w:rPr>
  </w:style>
  <w:style w:type="paragraph" w:customStyle="1" w:styleId="xl28">
    <w:name w:val="xl28"/>
    <w:basedOn w:val="Normal"/>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qw">
    <w:name w:val="qw"/>
    <w:qFormat/>
    <w:pPr>
      <w:widowControl w:val="0"/>
      <w:adjustRightInd w:val="0"/>
      <w:spacing w:line="312" w:lineRule="atLeast"/>
      <w:jc w:val="both"/>
      <w:textAlignment w:val="baseline"/>
    </w:pPr>
    <w:rPr>
      <w:rFonts w:ascii="宋体" w:eastAsia="宋体" w:hAnsi="Times New Roman" w:cs="Times New Roman"/>
      <w:sz w:val="24"/>
      <w:lang w:val="en-US" w:eastAsia="zh-CN" w:bidi="ar-SA"/>
    </w:rPr>
  </w:style>
  <w:style w:type="paragraph" w:customStyle="1" w:styleId="CharCharChar">
    <w:name w:val="Char Char Char"/>
    <w:basedOn w:val="Normal"/>
    <w:qFormat/>
    <w:rPr>
      <w:rFonts w:ascii="Tahoma" w:hAnsi="Tahoma"/>
      <w:sz w:val="24"/>
      <w:szCs w:val="20"/>
    </w:rPr>
  </w:style>
  <w:style w:type="paragraph" w:customStyle="1" w:styleId="Char20">
    <w:name w:val="Char2"/>
    <w:basedOn w:val="Normal"/>
    <w:qFormat/>
    <w:pPr>
      <w:widowControl/>
      <w:spacing w:after="160" w:line="240" w:lineRule="exact"/>
      <w:jc w:val="left"/>
    </w:pPr>
    <w:rPr>
      <w:rFonts w:ascii="Verdana" w:eastAsia="仿宋_GB2312" w:hAnsi="Verdana"/>
      <w:kern w:val="0"/>
      <w:sz w:val="24"/>
      <w:szCs w:val="20"/>
      <w:lang w:eastAsia="en-US"/>
    </w:rPr>
  </w:style>
  <w:style w:type="character" w:customStyle="1" w:styleId="info4">
    <w:name w:val="info4"/>
    <w:basedOn w:val="DefaultParagraphFont"/>
    <w:qFormat/>
  </w:style>
  <w:style w:type="paragraph" w:customStyle="1" w:styleId="a18">
    <w:name w:val="缩进正文"/>
    <w:basedOn w:val="Normal"/>
    <w:link w:val="Char15"/>
    <w:qFormat/>
    <w:pPr>
      <w:ind w:firstLine="560" w:firstLineChars="200"/>
    </w:pPr>
    <w:rPr>
      <w:rFonts w:eastAsia="仿宋_GB2312" w:cs="宋体"/>
      <w:sz w:val="28"/>
      <w:szCs w:val="20"/>
    </w:rPr>
  </w:style>
  <w:style w:type="character" w:customStyle="1" w:styleId="Char15">
    <w:name w:val="缩进正文 Char"/>
    <w:link w:val="a18"/>
    <w:qFormat/>
    <w:rPr>
      <w:rFonts w:eastAsia="仿宋_GB2312" w:cs="宋体"/>
      <w:kern w:val="2"/>
      <w:sz w:val="28"/>
      <w:lang w:val="en-US" w:eastAsia="zh-CN" w:bidi="ar-SA"/>
    </w:rPr>
  </w:style>
  <w:style w:type="paragraph" w:customStyle="1" w:styleId="12">
    <w:name w:val="列出段落1"/>
    <w:basedOn w:val="Normal"/>
    <w:qFormat/>
    <w:pPr>
      <w:ind w:firstLine="420" w:firstLineChars="200"/>
    </w:pPr>
    <w:rPr>
      <w:rFonts w:ascii="Calibri" w:hAnsi="Calibri" w:cs="Calibri"/>
      <w:szCs w:val="21"/>
    </w:rPr>
  </w:style>
  <w:style w:type="character" w:customStyle="1" w:styleId="Char16">
    <w:name w:val="批注文字 Char"/>
    <w:basedOn w:val="DefaultParagraphFont"/>
    <w:link w:val="CommentText"/>
    <w:uiPriority w:val="99"/>
    <w:qFormat/>
    <w:rPr>
      <w:rFonts w:ascii="宋体"/>
      <w:sz w:val="34"/>
    </w:rPr>
  </w:style>
  <w:style w:type="character" w:customStyle="1" w:styleId="Char17">
    <w:name w:val="批注主题 Char"/>
    <w:basedOn w:val="Char16"/>
    <w:link w:val="CommentSubject"/>
    <w:uiPriority w:val="99"/>
    <w:qFormat/>
    <w:rPr>
      <w:rFonts w:ascii="宋体"/>
      <w:sz w:val="34"/>
    </w:rPr>
  </w:style>
  <w:style w:type="paragraph" w:customStyle="1" w:styleId="a19">
    <w:name w:val="评价"/>
    <w:basedOn w:val="Normal"/>
    <w:qFormat/>
    <w:pPr>
      <w:spacing w:afterLines="20"/>
      <w:ind w:firstLine="1446" w:firstLineChars="200"/>
    </w:pPr>
    <w:rPr>
      <w:rFonts w:ascii="Calibri" w:hAnsi="Calibri"/>
      <w:sz w:val="24"/>
    </w:rPr>
  </w:style>
  <w:style w:type="paragraph" w:customStyle="1" w:styleId="13">
    <w:name w:val="修订1"/>
    <w:hidden/>
    <w:uiPriority w:val="99"/>
    <w:semiHidden/>
    <w:qFormat/>
    <w:rPr>
      <w:rFonts w:ascii="Times New Roman" w:eastAsia="宋体" w:hAnsi="Times New Roman" w:cs="Times New Roman"/>
      <w:kern w:val="2"/>
      <w:sz w:val="21"/>
      <w:szCs w:val="24"/>
      <w:lang w:val="en-US" w:eastAsia="zh-CN" w:bidi="ar-SA"/>
    </w:rPr>
  </w:style>
  <w:style w:type="character" w:customStyle="1" w:styleId="alt-edited1">
    <w:name w:val="alt-edited1"/>
    <w:qFormat/>
    <w:rPr>
      <w:color w:val="4D90F0"/>
    </w:rPr>
  </w:style>
  <w:style w:type="character" w:customStyle="1" w:styleId="bodytextChar1">
    <w:name w:val="body text Char1"/>
    <w:qFormat/>
    <w:rPr>
      <w:rFonts w:eastAsia="宋体"/>
      <w:kern w:val="2"/>
      <w:sz w:val="21"/>
      <w:lang w:val="en-US" w:eastAsia="zh-CN" w:bidi="ar-SA"/>
    </w:rPr>
  </w:style>
  <w:style w:type="character" w:customStyle="1" w:styleId="Char18">
    <w:name w:val="普通(网站) Char"/>
    <w:link w:val="NormalWeb"/>
    <w:qFormat/>
    <w:rPr>
      <w:kern w:val="2"/>
      <w:sz w:val="24"/>
      <w:szCs w:val="24"/>
    </w:rPr>
  </w:style>
  <w:style w:type="character" w:customStyle="1" w:styleId="Char19">
    <w:name w:val="批注文字 Char1"/>
    <w:uiPriority w:val="99"/>
    <w:qFormat/>
    <w:rPr>
      <w:rFonts w:ascii="宋体"/>
      <w:sz w:val="34"/>
    </w:rPr>
  </w:style>
  <w:style w:type="character" w:customStyle="1" w:styleId="Char110">
    <w:name w:val="正文缩进 Char1"/>
    <w:qFormat/>
    <w:rPr>
      <w:rFonts w:eastAsia="宋体"/>
      <w:kern w:val="2"/>
      <w:sz w:val="21"/>
      <w:lang w:val="en-US" w:eastAsia="zh-CN" w:bidi="ar-SA"/>
    </w:rPr>
  </w:style>
  <w:style w:type="table" w:customStyle="1" w:styleId="14">
    <w:name w:val="网格型1"/>
    <w:basedOn w:val="TableNormal"/>
    <w:qFormat/>
    <w:pPr>
      <w:widowControl w:val="0"/>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
    <w:name w:val="Revision"/>
    <w:hidden/>
    <w:uiPriority w:val="99"/>
    <w:unhideWhenUsed/>
    <w:qFormat/>
    <w:rPr>
      <w:rFonts w:ascii="Times New Roman" w:eastAsia="宋体" w:hAnsi="Times New Roman" w:cs="Times New Roman"/>
      <w:kern w:val="2"/>
      <w:sz w:val="21"/>
      <w:szCs w:val="24"/>
      <w:lang w:val="en-US" w:eastAsia="zh-CN" w:bidi="ar-SA"/>
    </w:rPr>
  </w:style>
  <w:style w:type="paragraph" w:styleId="NoSpacing">
    <w:name w:val="No Spacing"/>
    <w:uiPriority w:val="1"/>
    <w:qFormat/>
    <w:pPr>
      <w:widowControl w:val="0"/>
      <w:jc w:val="both"/>
    </w:pPr>
    <w:rPr>
      <w:rFonts w:ascii="Calibri" w:eastAsia="宋体" w:hAnsi="Calibri" w:cs="Times New Roman"/>
      <w:kern w:val="2"/>
      <w:sz w:val="21"/>
      <w:szCs w:val="22"/>
      <w:lang w:val="en-US" w:eastAsia="zh-CN" w:bidi="ar-SA"/>
    </w:rPr>
  </w:style>
  <w:style w:type="paragraph" w:customStyle="1" w:styleId="a20">
    <w:name w:val="表格文字"/>
    <w:basedOn w:val="Normal"/>
    <w:qFormat/>
    <w:pPr>
      <w:spacing w:before="25" w:after="25" w:line="240" w:lineRule="auto"/>
      <w:ind w:firstLine="0"/>
      <w:jc w:val="left"/>
    </w:pPr>
    <w:rPr>
      <w:bCs/>
      <w:spacing w:val="10"/>
      <w:kern w:val="0"/>
      <w:sz w:val="24"/>
    </w:rPr>
  </w:style>
  <w:style w:type="character" w:customStyle="1" w:styleId="hover">
    <w:name w:val="hover"/>
    <w:basedOn w:val="DefaultParagraphFont"/>
    <w:qFormat/>
    <w:rPr>
      <w:color w:val="2590EB"/>
    </w:rPr>
  </w:style>
  <w:style w:type="character" w:customStyle="1" w:styleId="hover1">
    <w:name w:val="hover1"/>
    <w:basedOn w:val="DefaultParagraphFont"/>
    <w:qFormat/>
    <w:rPr>
      <w:color w:val="2590EB"/>
      <w:shd w:val="clear" w:color="auto" w:fill="E9F4FD"/>
    </w:rPr>
  </w:style>
  <w:style w:type="character" w:customStyle="1" w:styleId="hover2">
    <w:name w:val="hover2"/>
    <w:basedOn w:val="DefaultParagraphFont"/>
    <w:qFormat/>
    <w:rPr>
      <w:color w:val="2590EB"/>
    </w:rPr>
  </w:style>
  <w:style w:type="character" w:customStyle="1" w:styleId="hover3">
    <w:name w:val="hover3"/>
    <w:basedOn w:val="DefaultParagraphFont"/>
    <w:qFormat/>
  </w:style>
  <w:style w:type="character" w:customStyle="1" w:styleId="mini-outputtext1">
    <w:name w:val="mini-outputtext1"/>
    <w:basedOn w:val="DefaultParagraphFont"/>
    <w:qFormat/>
  </w:style>
  <w:style w:type="table" w:customStyle="1" w:styleId="TableNormal0">
    <w:name w:val="Table Normal_0"/>
    <w:basedOn w:val="TableNormal"/>
    <w:qFormat/>
    <w:rPr>
      <w:rFonts w:eastAsia="Times New Roman"/>
    </w:rPr>
    <w:tblPr>
      <w:tblCellMar>
        <w:left w:w="0" w:type="dxa"/>
        <w:right w:w="0" w:type="dxa"/>
      </w:tblCellMar>
    </w:tblPr>
  </w:style>
  <w:style w:type="paragraph" w:customStyle="1" w:styleId="TableText">
    <w:name w:val="Table Text"/>
    <w:basedOn w:val="Normal"/>
    <w:semiHidden/>
    <w:qFormat/>
    <w:rPr>
      <w:rFonts w:ascii="宋体" w:hAnsi="宋体" w:cs="宋体"/>
      <w:sz w:val="20"/>
      <w:szCs w:val="20"/>
      <w:lang w:eastAsia="en-US"/>
    </w:rPr>
  </w:style>
  <w:style w:type="character" w:customStyle="1" w:styleId="hover4">
    <w:name w:val="hover4"/>
    <w:basedOn w:val="DefaultParagraphFont"/>
    <w:qFormat/>
    <w:rPr>
      <w:color w:val="2590EB"/>
      <w:shd w:val="clear" w:color="auto" w:fill="E9F4F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umbering.xml" Type="http://schemas.openxmlformats.org/officeDocument/2006/relationships/numbering"/><Relationship Id="rId11" Target="styles.xml" Type="http://schemas.openxmlformats.org/officeDocument/2006/relationships/styles"/><Relationship Id="rId12" Target="comments.xml" Type="http://schemas.openxmlformats.org/officeDocument/2006/relationships/comments"/><Relationship Id="rId2" Target="webSettings.xml" Type="http://schemas.openxmlformats.org/officeDocument/2006/relationships/webSettings"/><Relationship Id="rId3" Target="fontTable.xml" Type="http://schemas.openxmlformats.org/officeDocument/2006/relationships/fontTable"/><Relationship Id="rId4" Target="footer1.xml" Type="http://schemas.openxmlformats.org/officeDocument/2006/relationships/footer"/><Relationship Id="rId5" Target="header1.xml" Type="http://schemas.openxmlformats.org/officeDocument/2006/relationships/header"/><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Pages>112</Pages>
  <Words>99119</Words>
  <Characters>103774</Characters>
  <Application>Microsoft Office Word</Application>
  <DocSecurity>0</DocSecurity>
  <Lines>332</Lines>
  <Paragraphs>93</Paragraphs>
  <ScaleCrop>false</ScaleCrop>
  <Company>Microsoft</Company>
  <LinksUpToDate>false</LinksUpToDate>
  <CharactersWithSpaces>106506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2021-04-19T08:29:00Z</dcterms:created>
  <dc:creator>thsware</dc:creator>
  <cp:lastModifiedBy>JYJTLG</cp:lastModifiedBy>
  <cp:lastPrinted>2021-05-09T08:02:00Z</cp:lastPrinted>
  <dcterms:modified xsi:type="dcterms:W3CDTF">2025-09-22T06:56:31Z</dcterms:modified>
  <cp:revision>83</cp:revision>
  <dc:title>招  标　文　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2A9EDAC4AFEC46939DCCBDDDD4FE7326_13</vt:lpwstr>
  </property>
  <property fmtid="{D5CDD505-2E9C-101B-9397-08002B2CF9AE}" pid="3" name="KSOProductBuildVer">
    <vt:lpwstr>2052-11.8.2.12085</vt:lpwstr>
  </property>
  <property fmtid="{D5CDD505-2E9C-101B-9397-08002B2CF9AE}" pid="4" name="KSOTemplateDocerSaveRecord">
    <vt:lpwstr>eyJoZGlkIjoiYjQyN2FhMzE1ODI0YzRiZGYyYWQxODE4YjNlZTViZGUiLCJ1c2VySWQiOiI3MDIyMzI2NzIifQ==</vt:lpwstr>
  </property>
</Properties>
</file>