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b/>
          <w:color w:val="C0C0C0"/>
          <w:spacing w:val="60"/>
          <w:sz w:val="140"/>
          <w:szCs w:val="140"/>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229100" cy="885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pPr>
        <w:spacing w:line="1260" w:lineRule="exact"/>
        <w:ind w:firstLine="1349" w:firstLineChars="102"/>
        <w:rPr>
          <w:rFonts w:ascii="Arial Black" w:hAnsi="Arial Black" w:eastAsia="黑体"/>
          <w:b/>
          <w:color w:val="999999"/>
          <w:spacing w:val="21"/>
          <w:w w:val="85"/>
          <w:position w:val="-10"/>
          <w:sz w:val="150"/>
          <w:szCs w:val="150"/>
        </w:rPr>
      </w:pPr>
      <w:r>
        <w:rPr>
          <w:rFonts w:ascii="Arial Black" w:hAnsi="Arial Black" w:eastAsia="黑体"/>
          <w:b/>
          <w:color w:val="999999"/>
          <w:spacing w:val="21"/>
          <w:w w:val="85"/>
          <w:position w:val="-10"/>
          <w:sz w:val="150"/>
          <w:szCs w:val="150"/>
        </w:rPr>
        <w:t>Z S T U</w:t>
      </w:r>
    </w:p>
    <w:p>
      <w:pPr>
        <w:spacing w:line="400" w:lineRule="exact"/>
        <w:ind w:firstLine="883" w:firstLineChars="200"/>
        <w:rPr>
          <w:rFonts w:ascii="黑体" w:hAnsi="Impact" w:eastAsia="黑体"/>
          <w:b/>
          <w:color w:val="000000"/>
          <w:sz w:val="44"/>
          <w:szCs w:val="44"/>
        </w:rPr>
      </w:pPr>
      <w:r>
        <w:rPr>
          <w:rFonts w:hint="eastAsia" w:ascii="黑体" w:hAnsi="Impact" w:eastAsia="黑体"/>
          <w:b/>
          <w:color w:val="000000"/>
          <w:sz w:val="44"/>
          <w:szCs w:val="44"/>
        </w:rPr>
        <w:t>Zhejiang Sci-Tech University</w:t>
      </w:r>
    </w:p>
    <w:p>
      <w:pPr>
        <w:spacing w:line="400" w:lineRule="exact"/>
        <w:rPr>
          <w:rFonts w:ascii="黑体" w:hAnsi="宋体" w:eastAsia="黑体"/>
          <w:b/>
          <w:color w:val="000000"/>
          <w:sz w:val="44"/>
          <w:szCs w:val="44"/>
        </w:rPr>
      </w:pPr>
    </w:p>
    <w:p>
      <w:pPr>
        <w:spacing w:line="360" w:lineRule="auto"/>
        <w:jc w:val="center"/>
        <w:rPr>
          <w:rFonts w:hint="default" w:ascii="黑体" w:hAnsi="微软雅黑" w:eastAsia="黑体"/>
          <w:b/>
          <w:sz w:val="38"/>
          <w:szCs w:val="38"/>
          <w:lang w:val="en-US" w:eastAsia="zh-CN"/>
        </w:rPr>
      </w:pPr>
      <w:r>
        <w:rPr>
          <w:rFonts w:hint="eastAsia" w:ascii="黑体" w:hAnsi="微软雅黑" w:eastAsia="黑体"/>
          <w:b/>
          <w:sz w:val="38"/>
          <w:szCs w:val="38"/>
          <w:lang w:val="en-US" w:eastAsia="zh-CN"/>
        </w:rPr>
        <w:t>世界经济概论</w:t>
      </w:r>
    </w:p>
    <w:p>
      <w:pPr>
        <w:ind w:firstLine="316" w:firstLineChars="150"/>
        <w:rPr>
          <w:rFonts w:hint="eastAsia" w:eastAsia="黑体"/>
          <w:b/>
          <w:i/>
          <w:color w:val="000000"/>
          <w:szCs w:val="21"/>
          <w:lang w:eastAsia="zh-CN"/>
        </w:rPr>
      </w:pPr>
    </w:p>
    <w:p>
      <w:pPr>
        <w:jc w:val="center"/>
      </w:pPr>
      <w:r>
        <w:drawing>
          <wp:inline distT="0" distB="0" distL="0" distR="0">
            <wp:extent cx="1504950" cy="1257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04950" cy="1257300"/>
                    </a:xfrm>
                    <a:prstGeom prst="rect">
                      <a:avLst/>
                    </a:prstGeom>
                    <a:noFill/>
                    <a:ln>
                      <a:noFill/>
                    </a:ln>
                  </pic:spPr>
                </pic:pic>
              </a:graphicData>
            </a:graphic>
          </wp:inline>
        </w:drawing>
      </w:r>
    </w:p>
    <w:p>
      <w:pPr>
        <w:jc w:val="center"/>
      </w:pPr>
    </w:p>
    <w:p>
      <w:pPr>
        <w:rPr>
          <w:b/>
        </w:rPr>
      </w:pPr>
    </w:p>
    <w:p>
      <w:pPr>
        <w:rPr>
          <w:rFonts w:hint="eastAsia" w:ascii="宋体" w:hAnsi="宋体"/>
          <w:b/>
          <w:sz w:val="28"/>
          <w:szCs w:val="28"/>
        </w:rPr>
      </w:pPr>
    </w:p>
    <w:p>
      <w:pPr>
        <w:rPr>
          <w:rFonts w:hint="eastAsia" w:ascii="宋体" w:hAnsi="宋体"/>
          <w:b/>
          <w:sz w:val="28"/>
          <w:szCs w:val="28"/>
        </w:rPr>
      </w:pPr>
    </w:p>
    <w:p>
      <w:pPr>
        <w:ind w:firstLine="281" w:firstLineChars="100"/>
        <w:rPr>
          <w:rFonts w:ascii="宋体" w:hAnsi="宋体"/>
          <w:b/>
          <w:sz w:val="28"/>
          <w:szCs w:val="28"/>
        </w:rPr>
      </w:pPr>
      <w:r>
        <w:rPr>
          <w:rFonts w:hint="eastAsia" w:ascii="宋体" w:hAnsi="宋体"/>
          <w:b/>
          <w:sz w:val="28"/>
          <w:szCs w:val="28"/>
        </w:rPr>
        <w:t>题目:</w:t>
      </w:r>
      <w:r>
        <w:rPr>
          <w:rFonts w:hint="eastAsia" w:ascii="宋体" w:hAnsi="宋体"/>
          <w:b/>
          <w:sz w:val="28"/>
          <w:szCs w:val="28"/>
          <w:u w:val="thick"/>
        </w:rPr>
        <w:t xml:space="preserve">         俄乌战争</w:t>
      </w:r>
      <w:r>
        <w:rPr>
          <w:rFonts w:hint="eastAsia" w:ascii="宋体" w:hAnsi="宋体"/>
          <w:b/>
          <w:sz w:val="28"/>
          <w:szCs w:val="28"/>
          <w:u w:val="thick"/>
          <w:lang w:val="en-US" w:eastAsia="zh-CN"/>
        </w:rPr>
        <w:t>对</w:t>
      </w:r>
      <w:r>
        <w:rPr>
          <w:rFonts w:hint="eastAsia" w:ascii="宋体" w:hAnsi="宋体"/>
          <w:b/>
          <w:sz w:val="28"/>
          <w:szCs w:val="28"/>
          <w:u w:val="thick"/>
        </w:rPr>
        <w:t>供应链</w:t>
      </w:r>
      <w:r>
        <w:rPr>
          <w:rFonts w:hint="eastAsia" w:ascii="宋体" w:hAnsi="宋体"/>
          <w:b/>
          <w:sz w:val="28"/>
          <w:szCs w:val="28"/>
          <w:u w:val="thick"/>
          <w:lang w:val="en-US" w:eastAsia="zh-CN"/>
        </w:rPr>
        <w:t>网络</w:t>
      </w:r>
      <w:r>
        <w:rPr>
          <w:rFonts w:hint="eastAsia" w:ascii="宋体" w:hAnsi="宋体"/>
          <w:b/>
          <w:sz w:val="28"/>
          <w:szCs w:val="28"/>
          <w:u w:val="thick"/>
        </w:rPr>
        <w:t>的</w:t>
      </w:r>
      <w:r>
        <w:rPr>
          <w:rFonts w:hint="eastAsia" w:ascii="宋体" w:hAnsi="宋体"/>
          <w:b/>
          <w:sz w:val="28"/>
          <w:szCs w:val="28"/>
          <w:u w:val="thick"/>
          <w:lang w:val="en-US" w:eastAsia="zh-CN"/>
        </w:rPr>
        <w:t>风险与压力</w:t>
      </w:r>
      <w:r>
        <w:rPr>
          <w:rFonts w:hint="eastAsia" w:ascii="宋体" w:hAnsi="宋体"/>
          <w:b/>
          <w:sz w:val="28"/>
          <w:szCs w:val="28"/>
          <w:u w:val="thick"/>
        </w:rPr>
        <w:t xml:space="preserve">        </w:t>
      </w:r>
    </w:p>
    <w:p>
      <w:pPr>
        <w:pStyle w:val="3"/>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p>
    <w:tbl>
      <w:tblPr>
        <w:tblStyle w:val="4"/>
        <w:tblpPr w:leftFromText="180" w:rightFromText="180" w:vertAnchor="text" w:horzAnchor="page" w:tblpX="2429" w:tblpY="1921"/>
        <w:tblW w:w="743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186"/>
        <w:gridCol w:w="38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6" w:hRule="atLeast"/>
        </w:trPr>
        <w:tc>
          <w:tcPr>
            <w:tcW w:w="1440"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姓名</w:t>
            </w:r>
          </w:p>
        </w:tc>
        <w:tc>
          <w:tcPr>
            <w:tcW w:w="2186"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学号</w:t>
            </w:r>
          </w:p>
        </w:tc>
        <w:tc>
          <w:tcPr>
            <w:tcW w:w="3813" w:type="dxa"/>
            <w:vAlign w:val="center"/>
          </w:tcPr>
          <w:p>
            <w:pPr>
              <w:widowControl/>
              <w:jc w:val="center"/>
              <w:rPr>
                <w:rFonts w:ascii="宋体" w:cs="宋体"/>
                <w:b/>
                <w:bCs/>
                <w:kern w:val="0"/>
                <w:sz w:val="24"/>
                <w:szCs w:val="24"/>
              </w:rPr>
            </w:pPr>
            <w:r>
              <w:rPr>
                <w:rFonts w:hint="eastAsia" w:ascii="宋体" w:hAnsi="宋体" w:cs="宋体"/>
                <w:b/>
                <w:bCs/>
                <w:kern w:val="0"/>
                <w:sz w:val="24"/>
                <w:szCs w:val="24"/>
              </w:rPr>
              <w:t>班级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0" w:hRule="atLeast"/>
        </w:trPr>
        <w:tc>
          <w:tcPr>
            <w:tcW w:w="1440"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陈昊天</w:t>
            </w:r>
          </w:p>
        </w:tc>
        <w:tc>
          <w:tcPr>
            <w:tcW w:w="2186"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2021329600006</w:t>
            </w:r>
          </w:p>
        </w:tc>
        <w:tc>
          <w:tcPr>
            <w:tcW w:w="3813" w:type="dxa"/>
            <w:vAlign w:val="center"/>
          </w:tcPr>
          <w:p>
            <w:pPr>
              <w:widowControl/>
              <w:jc w:val="center"/>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计算机科学与技术21（4）班</w:t>
            </w:r>
          </w:p>
        </w:tc>
      </w:tr>
    </w:tbl>
    <w:p>
      <w:pPr>
        <w:rPr>
          <w:rFonts w:hint="eastAsia" w:ascii="黑体" w:hAnsi="黑体" w:eastAsia="黑体" w:cs="黑体"/>
          <w:b w:val="0"/>
          <w:bCs w:val="0"/>
          <w:sz w:val="28"/>
          <w:szCs w:val="28"/>
        </w:rPr>
      </w:pPr>
      <w:r>
        <w:rPr>
          <w:rFonts w:hint="eastAsia" w:ascii="黑体" w:hAnsi="黑体" w:eastAsia="黑体" w:cs="黑体"/>
          <w:b w:val="0"/>
          <w:bCs w:val="0"/>
          <w:sz w:val="28"/>
          <w:szCs w:val="28"/>
        </w:rPr>
        <w:br w:type="page"/>
      </w:r>
      <w:bookmarkStart w:id="0" w:name="_GoBack"/>
      <w:bookmarkEnd w:id="0"/>
    </w:p>
    <w:p>
      <w:pPr>
        <w:pStyle w:val="3"/>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rPr>
        <w:t>俄乌战争</w:t>
      </w:r>
      <w:r>
        <w:rPr>
          <w:rFonts w:hint="eastAsia" w:ascii="黑体" w:hAnsi="黑体" w:eastAsia="黑体" w:cs="黑体"/>
          <w:b w:val="0"/>
          <w:bCs w:val="0"/>
          <w:sz w:val="28"/>
          <w:szCs w:val="28"/>
          <w:lang w:val="en-US" w:eastAsia="zh-CN"/>
        </w:rPr>
        <w:t>对</w:t>
      </w:r>
      <w:r>
        <w:rPr>
          <w:rFonts w:hint="eastAsia" w:ascii="黑体" w:hAnsi="黑体" w:eastAsia="黑体" w:cs="黑体"/>
          <w:b w:val="0"/>
          <w:bCs w:val="0"/>
          <w:sz w:val="28"/>
          <w:szCs w:val="28"/>
        </w:rPr>
        <w:t>供应链</w:t>
      </w:r>
      <w:r>
        <w:rPr>
          <w:rFonts w:hint="eastAsia" w:ascii="黑体" w:hAnsi="黑体" w:eastAsia="黑体" w:cs="黑体"/>
          <w:b w:val="0"/>
          <w:bCs w:val="0"/>
          <w:sz w:val="28"/>
          <w:szCs w:val="28"/>
          <w:lang w:val="en-US" w:eastAsia="zh-CN"/>
        </w:rPr>
        <w:t>网络</w:t>
      </w:r>
      <w:r>
        <w:rPr>
          <w:rFonts w:hint="eastAsia" w:ascii="黑体" w:hAnsi="黑体" w:eastAsia="黑体" w:cs="黑体"/>
          <w:b w:val="0"/>
          <w:bCs w:val="0"/>
          <w:sz w:val="28"/>
          <w:szCs w:val="28"/>
        </w:rPr>
        <w:t>的</w:t>
      </w:r>
      <w:r>
        <w:rPr>
          <w:rFonts w:hint="eastAsia" w:ascii="黑体" w:hAnsi="黑体" w:eastAsia="黑体" w:cs="黑体"/>
          <w:b w:val="0"/>
          <w:bCs w:val="0"/>
          <w:sz w:val="28"/>
          <w:szCs w:val="28"/>
          <w:lang w:val="en-US" w:eastAsia="zh-CN"/>
        </w:rPr>
        <w:t>风险与压力</w:t>
      </w:r>
    </w:p>
    <w:p>
      <w:pPr>
        <w:pStyle w:val="3"/>
        <w:keepNext w:val="0"/>
        <w:keepLines w:val="0"/>
        <w:widowControl/>
        <w:suppressLineNumbers w:val="0"/>
        <w:spacing w:before="0" w:beforeAutospacing="0" w:after="0" w:afterAutospacing="0"/>
        <w:ind w:left="0" w:right="0" w:firstLine="0"/>
        <w:rPr>
          <w:rFonts w:hint="eastAsia" w:ascii="宋体" w:hAnsi="宋体" w:eastAsia="宋体" w:cs="宋体"/>
          <w:lang w:val="en-US" w:eastAsia="zh-CN"/>
        </w:rPr>
      </w:pPr>
    </w:p>
    <w:p>
      <w:pPr>
        <w:ind w:firstLine="420" w:firstLineChars="200"/>
        <w:jc w:val="left"/>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摘  要:</w:t>
      </w:r>
      <w:r>
        <w:rPr>
          <w:rFonts w:hint="eastAsia" w:ascii="楷体" w:hAnsi="楷体" w:eastAsia="楷体" w:cs="楷体"/>
          <w:sz w:val="21"/>
          <w:szCs w:val="21"/>
        </w:rPr>
        <w:t>供应链是将产品或服务提供给最终消费者的过程和活动</w:t>
      </w:r>
      <w:r>
        <w:rPr>
          <w:rFonts w:hint="eastAsia" w:ascii="楷体" w:hAnsi="楷体" w:eastAsia="楷体" w:cs="楷体"/>
          <w:sz w:val="21"/>
          <w:szCs w:val="21"/>
          <w:lang w:val="en-US" w:eastAsia="zh-CN"/>
        </w:rPr>
        <w:t>中</w:t>
      </w:r>
      <w:r>
        <w:rPr>
          <w:rFonts w:hint="eastAsia" w:ascii="楷体" w:hAnsi="楷体" w:eastAsia="楷体" w:cs="楷体"/>
          <w:sz w:val="21"/>
          <w:szCs w:val="21"/>
        </w:rPr>
        <w:t>上下游</w:t>
      </w:r>
      <w:r>
        <w:rPr>
          <w:rFonts w:hint="eastAsia" w:ascii="楷体" w:hAnsi="楷体" w:eastAsia="楷体" w:cs="楷体"/>
          <w:sz w:val="21"/>
          <w:szCs w:val="21"/>
          <w:lang w:val="en-US" w:eastAsia="zh-CN"/>
        </w:rPr>
        <w:t>成员</w:t>
      </w:r>
      <w:r>
        <w:rPr>
          <w:rFonts w:hint="eastAsia" w:ascii="楷体" w:hAnsi="楷体" w:eastAsia="楷体" w:cs="楷体"/>
          <w:sz w:val="21"/>
          <w:szCs w:val="21"/>
        </w:rPr>
        <w:t>所构成的网络。</w:t>
      </w:r>
      <w:r>
        <w:rPr>
          <w:rFonts w:hint="eastAsia" w:ascii="楷体" w:hAnsi="楷体" w:eastAsia="楷体" w:cs="楷体"/>
          <w:sz w:val="21"/>
          <w:szCs w:val="21"/>
          <w:lang w:val="en-US" w:eastAsia="zh-CN"/>
        </w:rPr>
        <w:t>疫情背景下俄乌战争的爆发和欧美与俄罗斯间的经济制裁使货物的流动和供应遭受严重的影响。本文探讨了战争时期全球供应链的现状，并借此提出管理启示和解决方案。</w:t>
      </w:r>
    </w:p>
    <w:p>
      <w:pPr>
        <w:ind w:firstLine="420" w:firstLineChars="200"/>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关键词:</w:t>
      </w:r>
      <w:r>
        <w:rPr>
          <w:rFonts w:hint="eastAsia" w:ascii="楷体" w:hAnsi="楷体" w:eastAsia="楷体" w:cs="楷体"/>
          <w:lang w:val="en-US" w:eastAsia="zh-CN"/>
        </w:rPr>
        <w:t>物流  供应链  俄乌战争</w:t>
      </w: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1"/>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全球</w:t>
      </w:r>
      <w:r>
        <w:rPr>
          <w:rFonts w:hint="eastAsia" w:ascii="黑体" w:hAnsi="黑体" w:eastAsia="黑体" w:cs="黑体"/>
          <w:sz w:val="24"/>
          <w:szCs w:val="24"/>
        </w:rPr>
        <w:t>物流与</w:t>
      </w:r>
      <w:r>
        <w:rPr>
          <w:rFonts w:hint="eastAsia" w:ascii="黑体" w:hAnsi="黑体" w:eastAsia="黑体" w:cs="黑体"/>
          <w:sz w:val="24"/>
          <w:szCs w:val="24"/>
          <w:lang w:val="en-US" w:eastAsia="zh-CN"/>
        </w:rPr>
        <w:t>供应链情况</w:t>
      </w:r>
    </w:p>
    <w:p>
      <w:pPr>
        <w:widowControl w:val="0"/>
        <w:numPr>
          <w:numId w:val="0"/>
        </w:numPr>
        <w:jc w:val="both"/>
        <w:rPr>
          <w:rFonts w:hint="eastAsia" w:ascii="宋体" w:hAnsi="宋体" w:eastAsia="宋体" w:cs="宋体"/>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俄乌冲突在2022年2月24日升级并迅速发展为二战以来欧洲最大规模的战争，对全球物流与供应链网络造成巨大冲击。供应链问题可能会拖累经济增长并推高通货膨胀。</w:t>
      </w:r>
      <w:r>
        <w:rPr>
          <w:rFonts w:hint="eastAsia" w:ascii="宋体" w:hAnsi="宋体" w:eastAsia="宋体" w:cs="宋体"/>
          <w:color w:val="000000"/>
          <w:kern w:val="0"/>
          <w:sz w:val="24"/>
          <w:szCs w:val="24"/>
          <w:lang w:val="en-US" w:eastAsia="zh-CN" w:bidi="ar"/>
        </w:rPr>
        <w:t>在过去两年中，美国和亚洲间的贸易路线受到疫情的影响最为严重。由于德国严重依赖俄罗斯供应的能源，其物流与供应链也受到不小的影响。</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490470" cy="1628140"/>
            <wp:effectExtent l="0" t="0" r="508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90470" cy="162814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565400" cy="167576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65400" cy="1675765"/>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2022年以来欧洲原油、天然气价格走势图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212121"/>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rPr>
      </w:pPr>
      <w:r>
        <w:rPr>
          <w:rFonts w:hint="eastAsia" w:ascii="宋体" w:hAnsi="宋体" w:eastAsia="宋体" w:cs="宋体"/>
          <w:color w:val="212121"/>
          <w:kern w:val="0"/>
          <w:sz w:val="24"/>
          <w:szCs w:val="24"/>
          <w:lang w:val="en-US" w:eastAsia="zh-CN" w:bidi="ar"/>
        </w:rPr>
        <w:t>欧盟的工厂由于缺乏柴油和零件而产能受限。除了战争造成的阻碍外，</w:t>
      </w:r>
      <w:r>
        <w:rPr>
          <w:rFonts w:hint="eastAsia" w:ascii="宋体" w:hAnsi="宋体" w:eastAsia="宋体" w:cs="宋体"/>
          <w:color w:val="212121"/>
          <w:kern w:val="0"/>
          <w:sz w:val="24"/>
          <w:szCs w:val="24"/>
          <w:lang w:val="en-US" w:eastAsia="zh-CN" w:bidi="ar"/>
        </w:rPr>
        <w:t>中国</w:t>
      </w:r>
      <w:r>
        <w:rPr>
          <w:rFonts w:hint="eastAsia" w:ascii="宋体" w:hAnsi="宋体" w:eastAsia="宋体" w:cs="宋体"/>
          <w:color w:val="212121"/>
          <w:kern w:val="0"/>
          <w:sz w:val="24"/>
          <w:szCs w:val="24"/>
          <w:lang w:val="en-US" w:eastAsia="zh-CN" w:bidi="ar"/>
        </w:rPr>
        <w:t>疫情的又一次高峰影响了包括上海市在内的经济中心被全域静默。10月中旬，苹果最大的iPhone制造商富士康关闭了郑州的主要工厂。</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212121"/>
          <w:kern w:val="0"/>
          <w:sz w:val="24"/>
          <w:szCs w:val="24"/>
          <w:lang w:val="en-US" w:eastAsia="zh-CN" w:bidi="ar"/>
        </w:rPr>
      </w:pPr>
      <w:r>
        <w:rPr>
          <w:rFonts w:hint="eastAsia" w:ascii="宋体" w:hAnsi="宋体" w:eastAsia="宋体" w:cs="宋体"/>
          <w:color w:val="212121"/>
          <w:kern w:val="0"/>
          <w:sz w:val="24"/>
          <w:szCs w:val="24"/>
          <w:lang w:val="en-US" w:eastAsia="zh-CN" w:bidi="ar"/>
        </w:rPr>
        <w:t>据 Statista Research Department发布的全球供应链压力指数显示，自2020年8月起，全球供应链压力指数不断上升，在2021年12月达到顶峰。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212121"/>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212121"/>
          <w:kern w:val="0"/>
          <w:sz w:val="24"/>
          <w:szCs w:val="24"/>
          <w:lang w:val="en-US" w:eastAsia="zh-CN" w:bidi="ar"/>
        </w:rPr>
      </w:pPr>
      <w:r>
        <w:rPr>
          <w:rFonts w:hint="eastAsia" w:ascii="宋体" w:hAnsi="宋体" w:eastAsia="宋体" w:cs="宋体"/>
          <w:sz w:val="24"/>
          <w:szCs w:val="24"/>
        </w:rPr>
        <w:drawing>
          <wp:inline distT="0" distB="0" distL="114300" distR="114300">
            <wp:extent cx="2619375" cy="16408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619375" cy="164084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2020年8月到2022年5月的全球供应链压力指数走势图</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numPr>
          <w:ilvl w:val="0"/>
          <w:numId w:val="1"/>
        </w:num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供应链、供应链管理的作用和特点</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（一）供应链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链是指产品生产和流通过程中所涉及的原材料供应商、生产商、分销商、零售商以及最终消费者等成员通过与上游、下游成员的连接组成的网络结构。也即是由物料获取、物料加工、并将成品送到用户手中这一过程所涉及的企业和企业部门组成的一个网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供应链有效运作，企业将获得竞争优势，在国内外市场站稳脚跟，提高企业的拓展能力。一件产品在到达消费者手中之前，需要经过很多流程。这样的过程可以将原材料转化为成品并将它们发送给分销商。分销商将商品分销到零售点。所有这些过程都是供应链的一部分。因此，供应链在以最便捷、最优的方式将产品和服务带给消费者方面发挥着极其重要的作用。一家产品销量高、利润持续增长的公司，意味着它的供应链做得很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链必须与公司或企业的经营目标和经营战略相一致。有效的供应链需要根据资源、市场和业务优势等因素，与公司在各个时期的战略相结合。在有效的供应链中，企业还需要创造适合其目标市场的优质产品。同时，产品和货物必须及时交付给客户。供应链还需要纳入对公司自身地位的评估。对于每个职位，供应商和客户都会有不同的选择。供应链的变化。在供应链中，公司被迫适应变化，各方将就市场和客户的情况相互交换信息。因此，为了拥有有效的供应链，企业自身必须根据市场、竞争对手、客户的情况，及时做出改变的决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（二）供应链管理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供应链管理作为一个策略概念，以相应的信息系统电脑管理技术，将从原料材料采购直到销售给最终客户民众的全部企业活动集成在一个无缝接续流程中。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链管理包括了对物料流动，信息流动，和资金流动的管理，是企业运营管理中的重要组成成分。供应链管理一般包括：采购、制造、物流和供应链计划，以及相关的信息分析与财务管理。经济全球化的大背景扩充了供应链管理内容和范围：国际物流，生产外包，战略采购，供应链协作等得到了较大发展。</w:t>
      </w:r>
    </w:p>
    <w:p>
      <w:pPr>
        <w:rPr>
          <w:rFonts w:hint="eastAsia" w:ascii="宋体" w:hAnsi="宋体" w:eastAsia="宋体" w:cs="宋体"/>
          <w:lang w:val="en-US" w:eastAsia="zh-CN"/>
        </w:rPr>
      </w:pPr>
    </w:p>
    <w:p>
      <w:pPr>
        <w:numPr>
          <w:ilvl w:val="0"/>
          <w:numId w:val="1"/>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供应链的风险情况分析</w:t>
      </w:r>
    </w:p>
    <w:p>
      <w:pPr>
        <w:numPr>
          <w:numId w:val="0"/>
        </w:numPr>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（一）供应链拥堵增加和成本提高</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乌克兰在 2022 年 3 月 31 日致国际海事组织的第 4544 号通函中声明，由于俄罗斯联邦的侵略和漂流水雷，无法保证通过黑海 “蓝色走廊” 进行的国际航运安全。这导致大量船只等待通过刻赤海峡。</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696210" cy="1311910"/>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696210" cy="131191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377440" cy="1365885"/>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377440" cy="13658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2022年11月的乌克兰-俄罗斯港口情况图     自2015年1月的波罗的海交易所空运指数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乌克兰 70% 的出口产品是通过船舶运输的。黑海和亚速海周边地区目前非常危险或无法通行。直接受到战争威胁的船只来自日本、土耳其、摩尔多瓦和爱沙尼亚的油轮、集装箱船和货船。运输的商品包括柴油、稀土和谷物。供应行业的许多公司已暂停往返俄罗斯和乌克兰的送货服务。货物运输处于停顿状态，因为乌克兰敖德萨市和马里乌波尔市的海港因炮击受损而关闭。集装箱运输业务现在已经停滞，大量货物滞留在这些港口。航空运输的情况也面临许多类似的困难。乌克兰领空禁止民航飞行，航空公司也避免飞越俄罗斯领空，导致空运费率飙升，大大减少了通过这种运输方式运输的货物量。种种情况使乌克兰的出口额大幅下降，从2022年2月的53亿美元减少到3月的26亿美元，截至2022年8月也仅仅恢复至战前的 63%。</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321685" cy="1681480"/>
            <wp:effectExtent l="0" t="0" r="1206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321685" cy="16814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2021年11月至2022年8月的乌克兰出口额走势图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制造业面临的风险</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航班取消可能产生连锁反应并扰乱其他地区的供应。若铂金、铝、葵花籽油、原油和钢铁等原材料和燃料不能及时供应，欧洲、俄罗斯和乌克兰的工厂将面临停产风险。不断升级的紧张局势也导致能源价格飙升，使运输成本升高。乌克兰长期以来向世界供应了约50%的氖气和40%的氪气，是芯片生产不可或缺的原料。当前战争造成的供应中断导致该产品无法到达制造商手中，使他们很难应对组件短缺、交货延迟和原材料成本上涨的问题。这意味着依赖芯片的公司，如汽车制造商，也面临生产延误。</w:t>
      </w:r>
    </w:p>
    <w:p>
      <w:pPr>
        <w:numPr>
          <w:numId w:val="0"/>
        </w:numPr>
        <w:ind w:leftChars="0"/>
        <w:rPr>
          <w:rFonts w:hint="default"/>
          <w:lang w:val="en-US" w:eastAsia="zh-CN"/>
        </w:rPr>
      </w:pPr>
    </w:p>
    <w:p>
      <w:pPr>
        <w:numPr>
          <w:ilvl w:val="0"/>
          <w:numId w:val="3"/>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管理启示和解决方案</w:t>
      </w:r>
    </w:p>
    <w:p>
      <w:pPr>
        <w:numPr>
          <w:numId w:val="0"/>
        </w:numPr>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（一）寻找替代供应来源</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首先，企业需要迅速采取行动，将替代供应来源落实到位。不同供应商将使他们能够确保关键的库存和能力，以便继续维持生产。从长远来看，应该考虑通过使用尽可能多的本地供应商来增加供应链的容错能力。</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（二）确定受影响的产品和服务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决策者要清楚地了解他们的哪些产品和服务会受到供应商价格上涨和供应链中断成本的影响及其程度。这对企业的供应链管理水平要求很高，但将有效地帮助企业应对供应链断裂造成的不利影响。</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优化每项产品或服务的基本成本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企业应尽可能地利用成本工程原则，从产品设计中减少或去除短缺的材料和成本，减少物流成本和制造过程的成本。尽管这应该在产品设计之初就应该被考虑到，但情况的变化或许使再次优化成本成为可能。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p>
    <w:p>
      <w:pPr>
        <w:numPr>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numPr>
          <w:ilvl w:val="0"/>
          <w:numId w:val="4"/>
        </w:numPr>
      </w:pPr>
      <w:r>
        <w:t xml:space="preserve">Trading Economics. </w:t>
      </w:r>
      <w:r>
        <w:rPr>
          <w:rFonts w:hint="eastAsia"/>
        </w:rPr>
        <w:t>Natural Gas EU Dutch TTF</w:t>
      </w:r>
      <w:r>
        <w:rPr>
          <w:rFonts w:hint="eastAsia"/>
          <w:lang w:val="en-US" w:eastAsia="zh-CN"/>
        </w:rPr>
        <w:t xml:space="preserve"> And </w:t>
      </w:r>
      <w:r>
        <w:rPr>
          <w:rFonts w:ascii="Helvetica" w:hAnsi="Helvetica" w:eastAsia="Helvetica" w:cs="Helvetica"/>
          <w:i w:val="0"/>
          <w:iCs w:val="0"/>
          <w:caps w:val="0"/>
          <w:color w:val="333333"/>
          <w:spacing w:val="0"/>
          <w:sz w:val="19"/>
          <w:szCs w:val="19"/>
        </w:rPr>
        <w:t>Crude Oil WTI</w:t>
      </w:r>
      <w:r>
        <w:rPr>
          <w:rFonts w:hint="eastAsia"/>
          <w:lang w:val="en-US" w:eastAsia="zh-CN"/>
        </w:rPr>
        <w:t xml:space="preserve"> Chart</w:t>
      </w:r>
      <w:r>
        <w:t xml:space="preserve">[EB/OL]. [2022]. </w:t>
      </w:r>
      <w:r>
        <w:rPr>
          <w:color w:val="auto"/>
          <w:u w:val="none"/>
        </w:rPr>
        <w:t>https://tradingeconomics.com/commodity/eu-natural-gas.</w:t>
      </w:r>
    </w:p>
    <w:p>
      <w:pPr>
        <w:numPr>
          <w:ilvl w:val="0"/>
          <w:numId w:val="4"/>
        </w:numPr>
        <w:ind w:left="0" w:leftChars="0" w:firstLine="0" w:firstLineChars="0"/>
      </w:pPr>
      <w:r>
        <w:rPr>
          <w:rFonts w:hint="eastAsia"/>
          <w:lang w:val="en-US" w:eastAsia="zh-CN"/>
        </w:rPr>
        <w:t>S</w:t>
      </w:r>
      <w:r>
        <w:t xml:space="preserve">tatista. Global supply chain pressure index[EB/OL]. [2022]. </w:t>
      </w:r>
      <w:r>
        <w:rPr>
          <w:color w:val="auto"/>
          <w:u w:val="none"/>
        </w:rPr>
        <w:t>https://www.statista.com/statistics/1315308/global-supply-chain-pressure-index/.</w:t>
      </w:r>
    </w:p>
    <w:p>
      <w:pPr>
        <w:numPr>
          <w:ilvl w:val="0"/>
          <w:numId w:val="4"/>
        </w:numPr>
        <w:ind w:left="0" w:leftChars="0" w:firstLine="0" w:firstLineChars="0"/>
        <w:rPr>
          <w:rFonts w:hint="default"/>
          <w:lang w:val="en-US" w:eastAsia="zh-CN"/>
        </w:rPr>
      </w:pPr>
      <w:r>
        <w:rPr>
          <w:rFonts w:hint="default"/>
          <w:lang w:val="en-US" w:eastAsia="zh-CN"/>
        </w:rPr>
        <w:t xml:space="preserve">Wilhelmsen. Ukraine-Russia Port Situation Map[EB/OL]. [2022]. </w:t>
      </w:r>
      <w:r>
        <w:rPr>
          <w:rFonts w:hint="default"/>
          <w:color w:val="auto"/>
          <w:u w:val="none"/>
          <w:lang w:val="en-US" w:eastAsia="zh-CN"/>
        </w:rPr>
        <w:t>https://www.wilhelmsen.com/port-services/ships-agency/campaigns/ukraine-russia/ukraine-russia-port-situation-map/.</w:t>
      </w:r>
    </w:p>
    <w:p>
      <w:pPr>
        <w:numPr>
          <w:ilvl w:val="0"/>
          <w:numId w:val="4"/>
        </w:numPr>
        <w:ind w:left="0" w:leftChars="0" w:firstLine="0" w:firstLineChars="0"/>
        <w:rPr>
          <w:rFonts w:hint="default"/>
          <w:lang w:val="en-US" w:eastAsia="zh-CN"/>
        </w:rPr>
      </w:pPr>
      <w:r>
        <w:rPr>
          <w:rFonts w:hint="default"/>
          <w:lang w:val="en-US" w:eastAsia="zh-CN"/>
        </w:rPr>
        <w:t>Air Cargo. AIRFREIGHT RATES – BALTIC EXCHANGE AIRFREIGHT INDEX[EB/OL]. [2022].https://www.aircargonews.net/data-hub/airfreight-rates-tac-index/ .</w:t>
      </w:r>
    </w:p>
    <w:p>
      <w:pPr>
        <w:numPr>
          <w:ilvl w:val="0"/>
          <w:numId w:val="4"/>
        </w:numPr>
        <w:ind w:left="0" w:leftChars="0" w:firstLine="0" w:firstLineChars="0"/>
        <w:rPr>
          <w:rFonts w:hint="default"/>
          <w:lang w:val="en-US" w:eastAsia="zh-CN"/>
        </w:rPr>
      </w:pPr>
      <w:r>
        <w:rPr>
          <w:rFonts w:hint="default"/>
          <w:lang w:val="en-US" w:eastAsia="zh-CN"/>
        </w:rPr>
        <w:t xml:space="preserve">Trading Economics. Ukraine Exports Historical Data Chart[EB/OL]. [2022]. </w:t>
      </w:r>
      <w:r>
        <w:rPr>
          <w:rFonts w:hint="default"/>
          <w:color w:val="auto"/>
          <w:u w:val="none"/>
          <w:lang w:val="en-US" w:eastAsia="zh-CN"/>
        </w:rPr>
        <w:t>https://tradingeconomics.com/ukraine/exports.</w:t>
      </w:r>
    </w:p>
    <w:p>
      <w:pPr>
        <w:numPr>
          <w:ilvl w:val="0"/>
          <w:numId w:val="4"/>
        </w:numPr>
        <w:ind w:left="0" w:leftChars="0" w:firstLine="0" w:firstLineChars="0"/>
        <w:rPr>
          <w:rFonts w:hint="default"/>
          <w:lang w:val="en-US" w:eastAsia="zh-CN"/>
        </w:rPr>
      </w:pPr>
      <w:r>
        <w:rPr>
          <w:rFonts w:hint="default"/>
          <w:lang w:val="en-US" w:eastAsia="zh-CN"/>
        </w:rPr>
        <w:t xml:space="preserve">Roy Williams. Ukraine war: battling with supply chain disruption[EB/OL]. [2022]. </w:t>
      </w:r>
      <w:r>
        <w:rPr>
          <w:rFonts w:hint="default"/>
          <w:color w:val="auto"/>
          <w:u w:val="none"/>
          <w:lang w:val="en-US" w:eastAsia="zh-CN"/>
        </w:rPr>
        <w:t>https://www.cips.org/supply-management/opinion/2022/july/ukraine-war-battling-with-supply-chain-disruption/.</w:t>
      </w:r>
    </w:p>
    <w:p>
      <w:pPr>
        <w:numPr>
          <w:ilvl w:val="0"/>
          <w:numId w:val="4"/>
        </w:numPr>
        <w:ind w:left="0" w:leftChars="0" w:firstLine="0" w:firstLineChars="0"/>
        <w:rPr>
          <w:rFonts w:hint="default"/>
          <w:lang w:val="en-US" w:eastAsia="zh-CN"/>
        </w:rPr>
      </w:pPr>
      <w:r>
        <w:rPr>
          <w:rFonts w:hint="default"/>
          <w:lang w:val="en-US" w:eastAsia="zh-CN"/>
        </w:rPr>
        <w:t xml:space="preserve">Wikipedia contributors. Russo-Ukrainian War[EB/OL]. [2022]. </w:t>
      </w:r>
      <w:r>
        <w:rPr>
          <w:rFonts w:hint="default"/>
          <w:color w:val="auto"/>
          <w:u w:val="none"/>
          <w:lang w:val="en-US" w:eastAsia="zh-CN"/>
        </w:rPr>
        <w:t>https://wikipedia.org/wiki/Russo-Ukrainian_War.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MS PGothic">
    <w:panose1 w:val="020B0600070205080204"/>
    <w:charset w:val="80"/>
    <w:family w:val="auto"/>
    <w:pitch w:val="default"/>
    <w:sig w:usb0="E00002FF" w:usb1="6AC7FDFB" w:usb2="08000012" w:usb3="00000000" w:csb0="4002009F" w:csb1="DFD70000"/>
  </w:font>
  <w:font w:name="NotoSansSC-Regular">
    <w:altName w:val="Euphorigenic"/>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PT Sans">
    <w:altName w:val="Euphorigenic"/>
    <w:panose1 w:val="00000000000000000000"/>
    <w:charset w:val="00"/>
    <w:family w:val="auto"/>
    <w:pitch w:val="default"/>
    <w:sig w:usb0="00000000" w:usb1="00000000" w:usb2="00000000" w:usb3="00000000" w:csb0="00000000" w:csb1="00000000"/>
  </w:font>
  <w:font w:name="思源黑体 CN Normal">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1F051"/>
    <w:multiLevelType w:val="singleLevel"/>
    <w:tmpl w:val="CE11F051"/>
    <w:lvl w:ilvl="0" w:tentative="0">
      <w:start w:val="1"/>
      <w:numFmt w:val="decimal"/>
      <w:lvlText w:val="[%1]"/>
      <w:lvlJc w:val="left"/>
      <w:pPr>
        <w:tabs>
          <w:tab w:val="left" w:pos="312"/>
        </w:tabs>
      </w:pPr>
    </w:lvl>
  </w:abstractNum>
  <w:abstractNum w:abstractNumId="1">
    <w:nsid w:val="15B43CB3"/>
    <w:multiLevelType w:val="singleLevel"/>
    <w:tmpl w:val="15B43CB3"/>
    <w:lvl w:ilvl="0" w:tentative="0">
      <w:start w:val="4"/>
      <w:numFmt w:val="chineseCounting"/>
      <w:suff w:val="nothing"/>
      <w:lvlText w:val="%1、"/>
      <w:lvlJc w:val="left"/>
      <w:rPr>
        <w:rFonts w:hint="eastAsia"/>
      </w:rPr>
    </w:lvl>
  </w:abstractNum>
  <w:abstractNum w:abstractNumId="2">
    <w:nsid w:val="1EF70BAD"/>
    <w:multiLevelType w:val="singleLevel"/>
    <w:tmpl w:val="1EF70BAD"/>
    <w:lvl w:ilvl="0" w:tentative="0">
      <w:start w:val="2"/>
      <w:numFmt w:val="chineseCounting"/>
      <w:suff w:val="nothing"/>
      <w:lvlText w:val="（%1）"/>
      <w:lvlJc w:val="left"/>
      <w:rPr>
        <w:rFonts w:hint="eastAsia"/>
      </w:rPr>
    </w:lvl>
  </w:abstractNum>
  <w:abstractNum w:abstractNumId="3">
    <w:nsid w:val="503CE27D"/>
    <w:multiLevelType w:val="singleLevel"/>
    <w:tmpl w:val="503CE27D"/>
    <w:lvl w:ilvl="0" w:tentative="0">
      <w:start w:val="1"/>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0FC81E9D"/>
    <w:rsid w:val="14577F04"/>
    <w:rsid w:val="2FC17D04"/>
    <w:rsid w:val="47D112E0"/>
    <w:rsid w:val="50D23644"/>
    <w:rsid w:val="69BD4C13"/>
    <w:rsid w:val="6AD4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2343</Words>
  <Characters>3318</Characters>
  <Lines>0</Lines>
  <Paragraphs>0</Paragraphs>
  <TotalTime>0</TotalTime>
  <ScaleCrop>false</ScaleCrop>
  <LinksUpToDate>false</LinksUpToDate>
  <CharactersWithSpaces>3404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2022-11-17T08:54:13Z</dcterms:created>
  <dc:creator>Qwer-laptop</dc:creator>
  <cp:lastModifiedBy>追殇</cp:lastModifiedBy>
  <dcterms:modified xsi:type="dcterms:W3CDTF">2022-11-18T13:16:08Z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938206A70D8940F4A36FD26AA615ED56</vt:lpwstr>
  </property>
</Properties>
</file>