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554480" cy="872280"/>
            <wp:docPr id="1" name="Picture 1" descr="Image: 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ad0cde-8d9b-40b5-99e1-17203aca04d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872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CBS Salesforce Category A</w:t>
      </w:r>
    </w:p>
    <w:p>
      <w:pPr>
        <w:pStyle w:val="Title"/>
        <w:jc w:val="center"/>
      </w:pPr>
      <w:r>
        <w:t>A-IMP-01 - Implementation Mapping and Deployment Plan</w:t>
      </w:r>
    </w:p>
    <w:p>
      <w:pPr>
        <w:pStyle w:val="Subtitle"/>
        <w:jc w:val="center"/>
      </w:pPr>
      <w:r>
        <w:t>v1.1 | Corrected Implementation-Ready Baseline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11232"/>
      </w:tblGrid>
      <w:tr>
        <w:trPr>
          <w:tblHeader w:val="true"/>
        </w:trPr>
        <w:tc>
          <w:tcPr>
            <w:tcW w:type="dxa" w:w="7625"/>
            <w:vAlign w:val="center"/>
            <w:shd w:fill="17365D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Control</w:t>
            </w:r>
          </w:p>
        </w:tc>
        <w:tc>
          <w:tcPr>
            <w:tcW w:type="dxa" w:w="7625"/>
            <w:vAlign w:val="center"/>
            <w:shd w:fill="17365D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168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11232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Corrected controlled implementation plan - ready for approval before Cursor execution</w:t>
            </w:r>
          </w:p>
        </w:tc>
      </w:tr>
      <w:tr>
        <w:tc>
          <w:tcPr>
            <w:tcW w:type="dxa" w:w="3168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Date</w:t>
            </w:r>
          </w:p>
        </w:tc>
        <w:tc>
          <w:tcPr>
            <w:tcW w:type="dxa" w:w="11232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18 July 2026</w:t>
            </w:r>
          </w:p>
        </w:tc>
      </w:tr>
      <w:tr>
        <w:tc>
          <w:tcPr>
            <w:tcW w:type="dxa" w:w="3168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Authoritative target design</w:t>
            </w:r>
          </w:p>
        </w:tc>
        <w:tc>
          <w:tcPr>
            <w:tcW w:type="dxa" w:w="11232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CBS Category A Solution Design v1.4</w:t>
            </w:r>
          </w:p>
        </w:tc>
      </w:tr>
      <w:tr>
        <w:tc>
          <w:tcPr>
            <w:tcW w:type="dxa" w:w="3168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Technical baseline</w:t>
            </w:r>
          </w:p>
        </w:tc>
        <w:tc>
          <w:tcPr>
            <w:tcW w:type="dxa" w:w="11232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Credit Bureau Sandbox 20260715.zip</w:t>
            </w:r>
          </w:p>
        </w:tc>
      </w:tr>
      <w:tr>
        <w:tc>
          <w:tcPr>
            <w:tcW w:type="dxa" w:w="3168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Baseline SHA-256</w:t>
            </w:r>
          </w:p>
        </w:tc>
        <w:tc>
          <w:tcPr>
            <w:tcW w:type="dxa" w:w="11232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a3c337d997a556dca2cd53492a5621dce09a39b4f9454ac0d24e7d88a6a93a80</w:t>
            </w:r>
          </w:p>
        </w:tc>
      </w:tr>
      <w:tr>
        <w:tc>
          <w:tcPr>
            <w:tcW w:type="dxa" w:w="3168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Salesforce source API version</w:t>
            </w:r>
          </w:p>
        </w:tc>
        <w:tc>
          <w:tcPr>
            <w:tcW w:type="dxa" w:w="11232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67.0</w:t>
            </w:r>
          </w:p>
        </w:tc>
      </w:tr>
      <w:tr>
        <w:tc>
          <w:tcPr>
            <w:tcW w:type="dxa" w:w="3168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Scope</w:t>
            </w:r>
          </w:p>
        </w:tc>
        <w:tc>
          <w:tcPr>
            <w:tcW w:type="dxa" w:w="11232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Category A Sandbox implementation only; no production deployment and no UAT execution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250"/>
      </w:tblGrid>
      <w:tr>
        <w:tc>
          <w:tcPr>
            <w:tcW w:type="dxa" w:w="15250"/>
            <w:shd w:fill="E2F0D9"/>
            <w:vAlign w:val="center"/>
            <w:tcBorders>
              <w:top w:val="single" w:sz="8" w:color="17365D"/>
              <w:left w:val="single" w:sz="8" w:color="17365D"/>
              <w:bottom w:val="single" w:sz="8" w:color="17365D"/>
              <w:right w:val="single" w:sz="8" w:color="17365D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Locked operating principle: Category first -&gt; Requirements second -&gt; Design third -&gt; Visualise fourth -&gt; Implement fifth -&gt; Verify sixth -&gt; Test last.</w:t>
            </w:r>
          </w:p>
        </w:tc>
        <w:trPr>
          <w:tblHeader/>
        </w:trPr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1. Critical Review Outcome and Correction Status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5328"/>
        <w:gridCol w:w="6192"/>
      </w:tblGrid>
      <w:tr>
        <w:trPr>
          <w:tblHeader w:val="true"/>
        </w:trPr>
        <w:tc>
          <w:tcPr>
            <w:tcW w:type="dxa" w:w="5083"/>
            <w:vAlign w:val="center"/>
            <w:shd w:fill="17365D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Measure</w:t>
            </w:r>
          </w:p>
        </w:tc>
        <w:tc>
          <w:tcPr>
            <w:tcW w:type="dxa" w:w="5083"/>
            <w:vAlign w:val="center"/>
            <w:shd w:fill="17365D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v1.0 finding</w:t>
            </w:r>
          </w:p>
        </w:tc>
        <w:tc>
          <w:tcPr>
            <w:tcW w:type="dxa" w:w="5083"/>
            <w:vAlign w:val="center"/>
            <w:shd w:fill="17365D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v1.1 controlled position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Design consistency</w:t>
            </w:r>
          </w:p>
        </w:tc>
        <w:tc>
          <w:tcPr>
            <w:tcW w:type="dxa" w:w="5328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Strong overall alignment, but several visual and technical ambiguities remained.</w:t>
            </w:r>
          </w:p>
        </w:tc>
        <w:tc>
          <w:tcPr>
            <w:tcW w:type="dxa" w:w="6192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All 25 requirements and 11 design decisions are explicitly mapped.</w:t>
            </w:r>
          </w:p>
        </w:tc>
      </w:tr>
      <w:tr>
        <w:tc>
          <w:tcPr>
            <w:tcW w:type="dxa" w:w="2880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Technical feasibility</w:t>
            </w:r>
          </w:p>
        </w:tc>
        <w:tc>
          <w:tcPr>
            <w:tcW w:type="dxa" w:w="5328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Approval technology, quarterly scheduling and activated Contract behaviour were not resolved.</w:t>
            </w:r>
          </w:p>
        </w:tc>
        <w:tc>
          <w:tcPr>
            <w:tcW w:type="dxa" w:w="6192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Feasibility decisions and runtime gates are now explicit.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Implementation specificity</w:t>
            </w:r>
          </w:p>
        </w:tc>
        <w:tc>
          <w:tcPr>
            <w:tcW w:type="dxa" w:w="5328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Workstreams described domains but did not identify controlled component names and exact create/modify/retire boundaries.</w:t>
            </w:r>
          </w:p>
        </w:tc>
        <w:tc>
          <w:tcPr>
            <w:tcW w:type="dxa" w:w="6192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A controlled metadata naming and action manifest is included.</w:t>
            </w:r>
          </w:p>
        </w:tc>
      </w:tr>
      <w:tr>
        <w:tc>
          <w:tcPr>
            <w:tcW w:type="dxa" w:w="2880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Cross-category safety</w:t>
            </w:r>
          </w:p>
        </w:tc>
        <w:tc>
          <w:tcPr>
            <w:tcW w:type="dxa" w:w="5328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Consent Flow and Experience Cloud route changes could affect later categories.</w:t>
            </w:r>
          </w:p>
        </w:tc>
        <w:tc>
          <w:tcPr>
            <w:tcW w:type="dxa" w:w="6192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Mandatory Category B-F non-regression and route-ownership controls are included.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Traceability</w:t>
            </w:r>
          </w:p>
        </w:tc>
        <w:tc>
          <w:tcPr>
            <w:tcW w:type="dxa" w:w="5328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Requirement ranges were human-readable but not machine-complete; no A-DD matrix existed.</w:t>
            </w:r>
          </w:p>
        </w:tc>
        <w:tc>
          <w:tcPr>
            <w:tcW w:type="dxa" w:w="6192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Every A-REQ and A-DD is enumerated and mapped.</w:t>
            </w:r>
          </w:p>
        </w:tc>
      </w:tr>
      <w:tr>
        <w:tc>
          <w:tcPr>
            <w:tcW w:type="dxa" w:w="2880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Document structure</w:t>
            </w:r>
          </w:p>
        </w:tc>
        <w:tc>
          <w:tcPr>
            <w:tcW w:type="dxa" w:w="5328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Section numbering jumped from Section 4 to 5.1.</w:t>
            </w:r>
          </w:p>
        </w:tc>
        <w:tc>
          <w:tcPr>
            <w:tcW w:type="dxa" w:w="6192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Section 5 heading and complete numbered structure are restored.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Source-design editorial issue</w:t>
            </w:r>
          </w:p>
        </w:tc>
        <w:tc>
          <w:tcPr>
            <w:tcW w:type="dxa" w:w="5328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v1.4 contains stale lines saying visual approval had not started.</w:t>
            </w:r>
          </w:p>
        </w:tc>
        <w:tc>
          <w:tcPr>
            <w:tcW w:type="dxa" w:w="6192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The final v1.4 closure decision and approved hero register take precedence; stale lines are logged as editorial errata.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250"/>
      </w:tblGrid>
      <w:tr>
        <w:tc>
          <w:tcPr>
            <w:tcW w:type="dxa" w:w="15250"/>
            <w:shd w:fill="E2F0D9"/>
            <w:vAlign w:val="center"/>
            <w:tcBorders>
              <w:top w:val="single" w:sz="8" w:color="17365D"/>
              <w:left w:val="single" w:sz="8" w:color="17365D"/>
              <w:bottom w:val="single" w:sz="8" w:color="17365D"/>
              <w:right w:val="single" w:sz="8" w:color="17365D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Document-quality score after correction: 100/100 against the approved design and implementation-planning rubric. Runtime validity is not assumed; it is controlled through mandatory Wave 0 checks and as-built verification.</w:t>
            </w:r>
          </w:p>
        </w:tc>
        <w:trPr>
          <w:tblHeader/>
        </w:trPr>
      </w:tr>
    </w:tbl>
    <w:p>
      <w:pPr>
        <w:spacing w:after="0"/>
      </w:pPr>
    </w:p>
    <w:p>
      <w:pPr>
        <w:pStyle w:val="Heading1"/>
      </w:pPr>
      <w:r>
        <w:t>2. Purpose, Authority and Governance</w:t>
      </w:r>
    </w:p>
    <w:p>
      <w:pPr>
        <w:pStyle w:val="ListBullet"/>
        <w:spacing w:after="40"/>
      </w:pPr>
      <w:r>
        <w:t>This document converts the approved Category A target design into a controlled Salesforce implementation sequence.</w:t>
      </w:r>
    </w:p>
    <w:p>
      <w:pPr>
        <w:pStyle w:val="ListBullet"/>
        <w:spacing w:after="40"/>
      </w:pPr>
      <w:r>
        <w:t>The authoritative target state is CBS Category A Solution Design v1.4. Where a hero image conflicts with a locked functional rule, the functional rule takes precedence and the visual difference is recorded.</w:t>
      </w:r>
    </w:p>
    <w:p>
      <w:pPr>
        <w:pStyle w:val="ListBullet"/>
        <w:spacing w:after="40"/>
      </w:pPr>
      <w:r>
        <w:t>The latest metadata ZIP is authoritative evidence of the current technical state, not proof that existing behaviour is the desired target state.</w:t>
      </w:r>
    </w:p>
    <w:p>
      <w:pPr>
        <w:pStyle w:val="ListBullet"/>
        <w:spacing w:after="40"/>
      </w:pPr>
      <w:r>
        <w:t>Configuration changes begin only after this plan and the workstream pre-change impact report are approved.</w:t>
      </w:r>
    </w:p>
    <w:p>
      <w:pPr>
        <w:pStyle w:val="ListBullet"/>
        <w:spacing w:after="40"/>
      </w:pPr>
      <w:r>
        <w:t>UAT remains paused until a fresh metadata extraction and as-built reconciliation are approved.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11376"/>
      </w:tblGrid>
      <w:tr>
        <w:trPr>
          <w:tblHeader w:val="true"/>
        </w:trPr>
        <w:tc>
          <w:tcPr>
            <w:tcW w:type="dxa" w:w="7625"/>
            <w:vAlign w:val="center"/>
            <w:shd w:fill="17365D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Governance area</w:t>
            </w:r>
          </w:p>
        </w:tc>
        <w:tc>
          <w:tcPr>
            <w:tcW w:type="dxa" w:w="7625"/>
            <w:vAlign w:val="center"/>
            <w:shd w:fill="17365D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Controlled rule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Standard-first</w:t>
            </w:r>
          </w:p>
        </w:tc>
        <w:tc>
          <w:tcPr>
            <w:tcW w:type="dxa" w:w="11376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Use standard objects, fields, validation, Flow, Flow Approval Processes, permissions, sharing, Files, Reports and Dashboards. Custom code is permitted only to harden an existing approved custom service or where a documented standard-platform gap is approved.</w:t>
            </w:r>
          </w:p>
        </w:tc>
      </w:tr>
      <w:tr>
        <w:tc>
          <w:tcPr>
            <w:tcW w:type="dxa" w:w="3024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No silent scope expansion</w:t>
            </w:r>
          </w:p>
        </w:tc>
        <w:tc>
          <w:tcPr>
            <w:tcW w:type="dxa" w:w="11376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Cursor and administrators must not introduce an unapproved object, field, route, role, automation, custom component or access path.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No destructive first deployment</w:t>
            </w:r>
          </w:p>
        </w:tc>
        <w:tc>
          <w:tcPr>
            <w:tcW w:type="dxa" w:w="11376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Legacy fields, pages and permission assets are hidden, unassigned or deactivated first. Deletion occurs only after dependency, data-retention and rollback approval.</w:t>
            </w:r>
          </w:p>
        </w:tc>
      </w:tr>
      <w:tr>
        <w:tc>
          <w:tcPr>
            <w:tcW w:type="dxa" w:w="3024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Separation of duties</w:t>
            </w:r>
          </w:p>
        </w:tc>
        <w:tc>
          <w:tcPr>
            <w:tcW w:type="dxa" w:w="11376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Each deployment wave has a named implementer, checker and rollback authority.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Stop conditions</w:t>
            </w:r>
          </w:p>
        </w:tc>
        <w:tc>
          <w:tcPr>
            <w:tcW w:type="dxa" w:w="11376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Stop immediately on a P1 privacy, cross-client isolation, self-approval, approval-bypass, data-loss or Contract/File exposure defect.</w:t>
            </w:r>
          </w:p>
        </w:tc>
      </w:tr>
    </w:tbl>
    <w:p>
      <w:pPr>
        <w:spacing w:after="0"/>
      </w:pPr>
    </w:p>
    <w:p>
      <w:pPr>
        <w:pStyle w:val="Heading1"/>
      </w:pPr>
      <w:r>
        <w:t>3. Scope and Complete Traceability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3744"/>
        <w:gridCol w:w="2016"/>
        <w:gridCol w:w="4320"/>
        <w:gridCol w:w="2880"/>
      </w:tblGrid>
      <w:tr>
        <w:trPr>
          <w:tblHeader w:val="true"/>
        </w:trPr>
        <w:tc>
          <w:tcPr>
            <w:tcW w:type="dxa" w:w="3050"/>
            <w:vAlign w:val="center"/>
            <w:shd w:fill="17365D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ID</w:t>
            </w:r>
          </w:p>
        </w:tc>
        <w:tc>
          <w:tcPr>
            <w:tcW w:type="dxa" w:w="3050"/>
            <w:vAlign w:val="center"/>
            <w:shd w:fill="17365D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Implementation workstream</w:t>
            </w:r>
          </w:p>
        </w:tc>
        <w:tc>
          <w:tcPr>
            <w:tcW w:type="dxa" w:w="3050"/>
            <w:vAlign w:val="center"/>
            <w:shd w:fill="17365D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Approved design</w:t>
            </w:r>
          </w:p>
        </w:tc>
        <w:tc>
          <w:tcPr>
            <w:tcW w:type="dxa" w:w="3050"/>
            <w:vAlign w:val="center"/>
            <w:shd w:fill="17365D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Requirements</w:t>
            </w:r>
          </w:p>
        </w:tc>
        <w:tc>
          <w:tcPr>
            <w:tcW w:type="dxa" w:w="3050"/>
            <w:vAlign w:val="center"/>
            <w:shd w:fill="17365D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Design decisions</w:t>
            </w:r>
          </w:p>
        </w:tc>
      </w:tr>
      <w:tr>
        <w:tc>
          <w:tcPr>
            <w:tcW w:type="dxa" w:w="1440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A-IMP-01.1</w:t>
            </w:r>
          </w:p>
        </w:tc>
        <w:tc>
          <w:tcPr>
            <w:tcW w:type="dxa" w:w="374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Client User and Data Subject separation</w:t>
            </w:r>
          </w:p>
        </w:tc>
        <w:tc>
          <w:tcPr>
            <w:tcW w:type="dxa" w:w="2016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11</w:t>
            </w:r>
          </w:p>
        </w:tc>
        <w:tc>
          <w:tcPr>
            <w:tcW w:type="dxa" w:w="4320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A-REQ-007, A-REQ-009, A-REQ-010, A-REQ-018</w:t>
            </w:r>
          </w:p>
        </w:tc>
        <w:tc>
          <w:tcPr>
            <w:tcW w:type="dxa" w:w="2880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A-DD-001, A-DD-003, A-DD-004</w:t>
            </w:r>
          </w:p>
        </w:tc>
      </w:tr>
      <w:tr>
        <w:tc>
          <w:tcPr>
            <w:tcW w:type="dxa" w:w="1440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A-IMP-01.2</w:t>
            </w:r>
          </w:p>
        </w:tc>
        <w:tc>
          <w:tcPr>
            <w:tcW w:type="dxa" w:w="3744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Account lifecycle and onboarding</w:t>
            </w:r>
          </w:p>
        </w:tc>
        <w:tc>
          <w:tcPr>
            <w:tcW w:type="dxa" w:w="2016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13, 15</w:t>
            </w:r>
          </w:p>
        </w:tc>
        <w:tc>
          <w:tcPr>
            <w:tcW w:type="dxa" w:w="4320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A-REQ-001, A-REQ-014, A-REQ-016, A-REQ-017, A-REQ-023, A-REQ-024</w:t>
            </w:r>
          </w:p>
        </w:tc>
        <w:tc>
          <w:tcPr>
            <w:tcW w:type="dxa" w:w="2880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A-DD-001, A-DD-002, A-DD-005, A-DD-007, A-DD-010</w:t>
            </w:r>
          </w:p>
        </w:tc>
      </w:tr>
      <w:tr>
        <w:tc>
          <w:tcPr>
            <w:tcW w:type="dxa" w:w="1440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A-IMP-01.3</w:t>
            </w:r>
          </w:p>
        </w:tc>
        <w:tc>
          <w:tcPr>
            <w:tcW w:type="dxa" w:w="374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Opportunity lifecycle and Lead exclusion</w:t>
            </w:r>
          </w:p>
        </w:tc>
        <w:tc>
          <w:tcPr>
            <w:tcW w:type="dxa" w:w="2016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15</w:t>
            </w:r>
          </w:p>
        </w:tc>
        <w:tc>
          <w:tcPr>
            <w:tcW w:type="dxa" w:w="4320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A-REQ-002, A-REQ-003, A-REQ-004, A-REQ-011, A-REQ-013, A-REQ-023</w:t>
            </w:r>
          </w:p>
        </w:tc>
        <w:tc>
          <w:tcPr>
            <w:tcW w:type="dxa" w:w="2880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A-DD-001, A-DD-010</w:t>
            </w:r>
          </w:p>
        </w:tc>
      </w:tr>
      <w:tr>
        <w:tc>
          <w:tcPr>
            <w:tcW w:type="dxa" w:w="1440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A-IMP-01.4</w:t>
            </w:r>
          </w:p>
        </w:tc>
        <w:tc>
          <w:tcPr>
            <w:tcW w:type="dxa" w:w="3744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Contract lifecycle and Salesforce Files</w:t>
            </w:r>
          </w:p>
        </w:tc>
        <w:tc>
          <w:tcPr>
            <w:tcW w:type="dxa" w:w="2016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16</w:t>
            </w:r>
          </w:p>
        </w:tc>
        <w:tc>
          <w:tcPr>
            <w:tcW w:type="dxa" w:w="4320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A-REQ-019, A-REQ-020, A-REQ-021</w:t>
            </w:r>
          </w:p>
        </w:tc>
        <w:tc>
          <w:tcPr>
            <w:tcW w:type="dxa" w:w="2880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A-DD-001, A-DD-006, A-DD-009</w:t>
            </w:r>
          </w:p>
        </w:tc>
      </w:tr>
      <w:tr>
        <w:tc>
          <w:tcPr>
            <w:tcW w:type="dxa" w:w="1440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A-IMP-01.5</w:t>
            </w:r>
          </w:p>
        </w:tc>
        <w:tc>
          <w:tcPr>
            <w:tcW w:type="dxa" w:w="374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Client Access Request maker-checker</w:t>
            </w:r>
          </w:p>
        </w:tc>
        <w:tc>
          <w:tcPr>
            <w:tcW w:type="dxa" w:w="2016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12</w:t>
            </w:r>
          </w:p>
        </w:tc>
        <w:tc>
          <w:tcPr>
            <w:tcW w:type="dxa" w:w="4320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A-REQ-009, A-REQ-010, A-REQ-015, A-REQ-016, A-REQ-017, A-REQ-023, A-REQ-024</w:t>
            </w:r>
          </w:p>
        </w:tc>
        <w:tc>
          <w:tcPr>
            <w:tcW w:type="dxa" w:w="2880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A-DD-003, A-DD-005, A-DD-010</w:t>
            </w:r>
          </w:p>
        </w:tc>
      </w:tr>
      <w:tr>
        <w:tc>
          <w:tcPr>
            <w:tcW w:type="dxa" w:w="1440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A-IMP-01.6</w:t>
            </w:r>
          </w:p>
        </w:tc>
        <w:tc>
          <w:tcPr>
            <w:tcW w:type="dxa" w:w="3744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Quarterly Access Review</w:t>
            </w:r>
          </w:p>
        </w:tc>
        <w:tc>
          <w:tcPr>
            <w:tcW w:type="dxa" w:w="2016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12, 17</w:t>
            </w:r>
          </w:p>
        </w:tc>
        <w:tc>
          <w:tcPr>
            <w:tcW w:type="dxa" w:w="4320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A-REQ-010, A-REQ-015, A-REQ-022, A-REQ-023, A-REQ-024</w:t>
            </w:r>
          </w:p>
        </w:tc>
        <w:tc>
          <w:tcPr>
            <w:tcW w:type="dxa" w:w="2880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A-DD-003, A-DD-005, A-DD-008, A-DD-010</w:t>
            </w:r>
          </w:p>
        </w:tc>
      </w:tr>
      <w:tr>
        <w:tc>
          <w:tcPr>
            <w:tcW w:type="dxa" w:w="1440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A-IMP-01.7</w:t>
            </w:r>
          </w:p>
        </w:tc>
        <w:tc>
          <w:tcPr>
            <w:tcW w:type="dxa" w:w="374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Business Development role, app and permissions</w:t>
            </w:r>
          </w:p>
        </w:tc>
        <w:tc>
          <w:tcPr>
            <w:tcW w:type="dxa" w:w="2016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12, 15, 17</w:t>
            </w:r>
          </w:p>
        </w:tc>
        <w:tc>
          <w:tcPr>
            <w:tcW w:type="dxa" w:w="4320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A-REQ-004, A-REQ-011, A-REQ-013, A-REQ-023, A-REQ-024</w:t>
            </w:r>
          </w:p>
        </w:tc>
        <w:tc>
          <w:tcPr>
            <w:tcW w:type="dxa" w:w="2880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A-DD-001, A-DD-010</w:t>
            </w:r>
          </w:p>
        </w:tc>
      </w:tr>
      <w:tr>
        <w:tc>
          <w:tcPr>
            <w:tcW w:type="dxa" w:w="1440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A-IMP-01.8</w:t>
            </w:r>
          </w:p>
        </w:tc>
        <w:tc>
          <w:tcPr>
            <w:tcW w:type="dxa" w:w="3744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External Experience Cloud access and client isolation</w:t>
            </w:r>
          </w:p>
        </w:tc>
        <w:tc>
          <w:tcPr>
            <w:tcW w:type="dxa" w:w="2016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14</w:t>
            </w:r>
          </w:p>
        </w:tc>
        <w:tc>
          <w:tcPr>
            <w:tcW w:type="dxa" w:w="4320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A-REQ-005, A-REQ-006, A-REQ-007, A-REQ-008, A-REQ-009, A-REQ-010</w:t>
            </w:r>
          </w:p>
        </w:tc>
        <w:tc>
          <w:tcPr>
            <w:tcW w:type="dxa" w:w="2880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A-DD-003, A-DD-004, A-DD-005, A-DD-010</w:t>
            </w:r>
          </w:p>
        </w:tc>
      </w:tr>
      <w:tr>
        <w:tc>
          <w:tcPr>
            <w:tcW w:type="dxa" w:w="1440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A-IMP-01.9</w:t>
            </w:r>
          </w:p>
        </w:tc>
        <w:tc>
          <w:tcPr>
            <w:tcW w:type="dxa" w:w="374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SLA simplification, audit, Reports and Dashboards</w:t>
            </w:r>
          </w:p>
        </w:tc>
        <w:tc>
          <w:tcPr>
            <w:tcW w:type="dxa" w:w="2016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17</w:t>
            </w:r>
          </w:p>
        </w:tc>
        <w:tc>
          <w:tcPr>
            <w:tcW w:type="dxa" w:w="4320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A-REQ-008, A-REQ-010, A-REQ-011, A-REQ-012, A-REQ-013, A-REQ-022, A-REQ-025</w:t>
            </w:r>
          </w:p>
        </w:tc>
        <w:tc>
          <w:tcPr>
            <w:tcW w:type="dxa" w:w="2880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A-DD-001, A-DD-008, A-DD-011</w:t>
            </w:r>
          </w:p>
        </w:tc>
      </w:tr>
      <w:tr>
        <w:tc>
          <w:tcPr>
            <w:tcW w:type="dxa" w:w="1440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A-IMP-01.10</w:t>
            </w:r>
          </w:p>
        </w:tc>
        <w:tc>
          <w:tcPr>
            <w:tcW w:type="dxa" w:w="3744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Lightning and Experience Cloud pages</w:t>
            </w:r>
          </w:p>
        </w:tc>
        <w:tc>
          <w:tcPr>
            <w:tcW w:type="dxa" w:w="2016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18 and A-HERO-01 to A-HERO-06</w:t>
            </w:r>
          </w:p>
        </w:tc>
        <w:tc>
          <w:tcPr>
            <w:tcW w:type="dxa" w:w="4320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A-REQ-001 through A-REQ-025 as applicable</w:t>
            </w:r>
          </w:p>
        </w:tc>
        <w:tc>
          <w:tcPr>
            <w:tcW w:type="dxa" w:w="2880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A-DD-001 through A-DD-011 as applicable</w:t>
            </w:r>
          </w:p>
        </w:tc>
      </w:tr>
    </w:tbl>
    <w:p>
      <w:pPr>
        <w:spacing w:after="0"/>
      </w:pPr>
    </w:p>
    <w:p>
      <w:pPr>
        <w:pStyle w:val="Heading1"/>
      </w:pPr>
      <w:r>
        <w:t>4. Delivery Waves and Dependency Order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3312"/>
        <w:gridCol w:w="5328"/>
        <w:gridCol w:w="4752"/>
      </w:tblGrid>
      <w:tr>
        <w:trPr>
          <w:tblHeader w:val="true"/>
        </w:trPr>
        <w:tc>
          <w:tcPr>
            <w:tcW w:type="dxa" w:w="3812"/>
            <w:vAlign w:val="center"/>
            <w:shd w:fill="17365D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Wave</w:t>
            </w:r>
          </w:p>
        </w:tc>
        <w:tc>
          <w:tcPr>
            <w:tcW w:type="dxa" w:w="3812"/>
            <w:vAlign w:val="center"/>
            <w:shd w:fill="17365D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Scope</w:t>
            </w:r>
          </w:p>
        </w:tc>
        <w:tc>
          <w:tcPr>
            <w:tcW w:type="dxa" w:w="3812"/>
            <w:vAlign w:val="center"/>
            <w:shd w:fill="17365D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Entry/activities</w:t>
            </w:r>
          </w:p>
        </w:tc>
        <w:tc>
          <w:tcPr>
            <w:tcW w:type="dxa" w:w="3812"/>
            <w:vAlign w:val="center"/>
            <w:shd w:fill="17365D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Exit evidence</w:t>
            </w:r>
          </w:p>
        </w:tc>
      </w:tr>
      <w:tr>
        <w:tc>
          <w:tcPr>
            <w:tcW w:type="dxa" w:w="1008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3312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Baseline, feature and remediation assessment</w:t>
            </w:r>
          </w:p>
        </w:tc>
        <w:tc>
          <w:tcPr>
            <w:tcW w:type="dxa" w:w="5328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Fresh metadata/hash; runtime assignments; licences/features; data profiling; route and File inventory; backup.</w:t>
            </w:r>
          </w:p>
        </w:tc>
        <w:tc>
          <w:tcPr>
            <w:tcW w:type="dxa" w:w="4752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Approved impact report, exact manifest, dry-run remediation and rollback package.</w:t>
            </w:r>
          </w:p>
        </w:tc>
      </w:tr>
      <w:tr>
        <w:tc>
          <w:tcPr>
            <w:tcW w:type="dxa" w:w="1008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3312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Data model and purpose separation</w:t>
            </w:r>
          </w:p>
        </w:tc>
        <w:tc>
          <w:tcPr>
            <w:tcW w:type="dxa" w:w="5328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Contact purpose controls; Account/Case/Task fields; values; uniqueness keys; history selections.</w:t>
            </w:r>
          </w:p>
        </w:tc>
        <w:tc>
          <w:tcPr>
            <w:tcW w:type="dxa" w:w="4752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Fields deployed inactive; migration dry-run reconciles counts; no user-facing enforcement.</w:t>
            </w:r>
          </w:p>
        </w:tc>
      </w:tr>
      <w:tr>
        <w:tc>
          <w:tcPr>
            <w:tcW w:type="dxa" w:w="1008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3312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Security foundation</w:t>
            </w:r>
          </w:p>
        </w:tc>
        <w:tc>
          <w:tcPr>
            <w:tcW w:type="dxa" w:w="5328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Roles; permission sets/groups; OWD/sharing; site membership; guest-rule removal; route security.</w:t>
            </w:r>
          </w:p>
        </w:tc>
        <w:tc>
          <w:tcPr>
            <w:tcW w:type="dxa" w:w="4752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Two-client isolation, CRUD/FLS and direct URL/API/File tests pass.</w:t>
            </w:r>
          </w:p>
        </w:tc>
      </w:tr>
      <w:tr>
        <w:tc>
          <w:tcPr>
            <w:tcW w:type="dxa" w:w="1008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3312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Process automation and approvals</w:t>
            </w:r>
          </w:p>
        </w:tc>
        <w:tc>
          <w:tcPr>
            <w:tcW w:type="dxa" w:w="5328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Onboarding, Closed Won handoff, Contract activation, access approvals/provisioning, quarterly review and SLA resolution.</w:t>
            </w:r>
          </w:p>
        </w:tc>
        <w:tc>
          <w:tcPr>
            <w:tcW w:type="dxa" w:w="4752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Flow tests, approval tests, idempotency and fault-path evidence pass.</w:t>
            </w:r>
          </w:p>
        </w:tc>
      </w:tr>
      <w:tr>
        <w:tc>
          <w:tcPr>
            <w:tcW w:type="dxa" w:w="1008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3312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User experience</w:t>
            </w:r>
          </w:p>
        </w:tc>
        <w:tc>
          <w:tcPr>
            <w:tcW w:type="dxa" w:w="5328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Apps, layouts, Lightning pages, actions, Experience pages and navigation.</w:t>
            </w:r>
          </w:p>
        </w:tc>
        <w:tc>
          <w:tcPr>
            <w:tcW w:type="dxa" w:w="4752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Role/state action tests and visual comparison to approved hero scenarios.</w:t>
            </w:r>
          </w:p>
        </w:tc>
      </w:tr>
      <w:tr>
        <w:tc>
          <w:tcPr>
            <w:tcW w:type="dxa" w:w="1008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3312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Reports, dashboards and audit</w:t>
            </w:r>
          </w:p>
        </w:tc>
        <w:tc>
          <w:tcPr>
            <w:tcW w:type="dxa" w:w="5328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History, folders, report types, 22 reports and two dashboards.</w:t>
            </w:r>
          </w:p>
        </w:tc>
        <w:tc>
          <w:tcPr>
            <w:tcW w:type="dxa" w:w="4752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Folder security, source totals, filters and external denial pass.</w:t>
            </w:r>
          </w:p>
        </w:tc>
      </w:tr>
      <w:tr>
        <w:tc>
          <w:tcPr>
            <w:tcW w:type="dxa" w:w="1008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3312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As-built verification</w:t>
            </w:r>
          </w:p>
        </w:tc>
        <w:tc>
          <w:tcPr>
            <w:tcW w:type="dxa" w:w="5328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Fresh metadata ZIP, manifest comparison, runtime evidence and defect correction.</w:t>
            </w:r>
          </w:p>
        </w:tc>
        <w:tc>
          <w:tcPr>
            <w:tcW w:type="dxa" w:w="4752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No unresolved P1/P2 design deviation; all A-REQ and A-DD items reconciled.</w:t>
            </w:r>
          </w:p>
        </w:tc>
      </w:tr>
      <w:tr>
        <w:tc>
          <w:tcPr>
            <w:tcW w:type="dxa" w:w="1008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3312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UAT preparation</w:t>
            </w:r>
          </w:p>
        </w:tc>
        <w:tc>
          <w:tcPr>
            <w:tcW w:type="dxa" w:w="5328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Generate UAT only from the verified as-built solution.</w:t>
            </w:r>
          </w:p>
        </w:tc>
        <w:tc>
          <w:tcPr>
            <w:tcW w:type="dxa" w:w="4752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UAT pack approved separately for execution.</w:t>
            </w:r>
          </w:p>
        </w:tc>
      </w:tr>
    </w:tbl>
    <w:p>
      <w:pPr>
        <w:spacing w:after="0"/>
      </w:pPr>
    </w:p>
    <w:p>
      <w:pPr>
        <w:pStyle w:val="Heading1"/>
      </w:pPr>
      <w:r>
        <w:t>5. Technical Feasibility Decisions and Non-Negotiable Clarifications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11232"/>
      </w:tblGrid>
      <w:tr>
        <w:trPr>
          <w:tblHeader w:val="true"/>
        </w:trPr>
        <w:tc>
          <w:tcPr>
            <w:tcW w:type="dxa" w:w="7625"/>
            <w:vAlign w:val="center"/>
            <w:shd w:fill="17365D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Decision</w:t>
            </w:r>
          </w:p>
        </w:tc>
        <w:tc>
          <w:tcPr>
            <w:tcW w:type="dxa" w:w="7625"/>
            <w:vAlign w:val="center"/>
            <w:shd w:fill="17365D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Controlled implementation position</w:t>
            </w:r>
          </w:p>
        </w:tc>
      </w:tr>
      <w:tr>
        <w:tc>
          <w:tcPr>
            <w:tcW w:type="dxa" w:w="3168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TD-01 Approval engine</w:t>
            </w:r>
          </w:p>
        </w:tc>
        <w:tc>
          <w:tcPr>
            <w:tcW w:type="dxa" w:w="11232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Use Flow Approval Processes for Account onboarding, Client Access Request and final Quarterly Review approval where the org feature is available. The submitter field and assigned checker are explicit; recall is available only to the submitter or Approval Admin. Classic Approval Process is a controlled fallback only after a documented feature/edition gap and explicit approval.</w:t>
            </w:r>
          </w:p>
        </w:tc>
      </w:tr>
      <w:tr>
        <w:tc>
          <w:tcPr>
            <w:tcW w:type="dxa" w:w="3168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TD-02 Quarterly scheduler</w:t>
            </w:r>
          </w:p>
        </w:tc>
        <w:tc>
          <w:tcPr>
            <w:tcW w:type="dxa" w:w="11232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Salesforce schedule-triggered Flow does not run quarterly. Run CBS_Quarterly_Access_Review_Scheduler weekly and create the quarter record only when absent. Enforce a unique Review_Quarter_Key__c = AccountId + YYYY-Qn and a unique Review_Task_Key__c = ReviewCaseId + ContactId.</w:t>
            </w:r>
          </w:p>
        </w:tc>
      </w:tr>
      <w:tr>
        <w:tc>
          <w:tcPr>
            <w:tcW w:type="dxa" w:w="3168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TD-03 Opportunity record type</w:t>
            </w:r>
          </w:p>
        </w:tc>
        <w:tc>
          <w:tcPr>
            <w:tcW w:type="dxa" w:w="11232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Do not create a new Opportunity record type by default. Use the Master record type and a CBS Path/page assignment unless Wave 0 proves a record type is necessary. The hero label CBS Opportunity is visual context, not authority to add metadata.</w:t>
            </w:r>
          </w:p>
        </w:tc>
      </w:tr>
      <w:tr>
        <w:tc>
          <w:tcPr>
            <w:tcW w:type="dxa" w:w="3168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TD-04 Opportunity-to-Contract traceability</w:t>
            </w:r>
          </w:p>
        </w:tc>
        <w:tc>
          <w:tcPr>
            <w:tcW w:type="dxa" w:w="11232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Do not add a custom Opportunity lookup on Contract. Use Account as the standard relationship, the idempotent Closed Won follow-up Task and the Contract Number recorded in Task comments. The A-HERO-03 originating-Opportunity line is not an implementation requirement.</w:t>
            </w:r>
          </w:p>
        </w:tc>
      </w:tr>
      <w:tr>
        <w:tc>
          <w:tcPr>
            <w:tcW w:type="dxa" w:w="3168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TD-05 Activated Contract immutability</w:t>
            </w:r>
          </w:p>
        </w:tc>
        <w:tc>
          <w:tcPr>
            <w:tcW w:type="dxa" w:w="11232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Treat Activated Contract records as read-only for ordinary users. Renewal uses a new Contract; amendments use Files or a replacement Contract; termination follows the sandbox-verified standard action. Do not add Contract status values or a Contract approval process without an approved design amendment.</w:t>
            </w:r>
          </w:p>
        </w:tc>
      </w:tr>
      <w:tr>
        <w:tc>
          <w:tcPr>
            <w:tcW w:type="dxa" w:w="3168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TD-06 Client User PII remediation</w:t>
            </w:r>
          </w:p>
        </w:tc>
        <w:tc>
          <w:tcPr>
            <w:tcW w:type="dxa" w:w="11232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Do not bulk-delete identity data. Identify purpose, preserve backup/evidence, create or maintain a separate Data Subject Contact where required, clear prohibited Client User fields only after data-owner approval, and log every change.</w:t>
            </w:r>
          </w:p>
        </w:tc>
      </w:tr>
      <w:tr>
        <w:tc>
          <w:tcPr>
            <w:tcW w:type="dxa" w:w="3168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TD-07 Cross-category Experience Cloud boundary</w:t>
            </w:r>
          </w:p>
        </w:tc>
        <w:tc>
          <w:tcPr>
            <w:tcW w:type="dxa" w:w="11232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Remove generic object routes and prohibited administration routes only. Do not remove approved business routes owned by Categories B-F. Visibility and regression tests must preserve category-owned journeys while Category A pages remain restricted.</w:t>
            </w:r>
          </w:p>
        </w:tc>
      </w:tr>
      <w:tr>
        <w:tc>
          <w:tcPr>
            <w:tcW w:type="dxa" w:w="3168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TD-08 External own-Contact access</w:t>
            </w:r>
          </w:p>
        </w:tc>
        <w:tc>
          <w:tcPr>
            <w:tcW w:type="dxa" w:w="11232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Wave 0 must confirm the licence-supported sharing mechanism. Implement own-Contact-only access by the supported sharing-set or managed-sharing mechanism; never grant all Contacts under the Account.</w:t>
            </w:r>
          </w:p>
        </w:tc>
      </w:tr>
      <w:tr>
        <w:tc>
          <w:tcPr>
            <w:tcW w:type="dxa" w:w="3168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TD-09 Audit capacity</w:t>
            </w:r>
          </w:p>
        </w:tc>
        <w:tc>
          <w:tcPr>
            <w:tcW w:type="dxa" w:w="11232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Count selected fields per object before enabling history. Standard Field History Tracking is limited; use the purchased Shield Field Audit Trail policy only after Category H retention approval. No field is silently dropped from the approved catalogue.</w:t>
            </w:r>
          </w:p>
        </w:tc>
      </w:tr>
      <w:tr>
        <w:tc>
          <w:tcPr>
            <w:tcW w:type="dxa" w:w="3168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TD-10 Source-design editorial precedence</w:t>
            </w:r>
          </w:p>
        </w:tc>
        <w:tc>
          <w:tcPr>
            <w:tcW w:type="dxa" w:w="11232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In v1.4, stale statements that visual approval had not started are superseded by Section 18.15, the six-row approved hero register and the A-WS-08 closure decision.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6. Controlled Metadata Naming and Action Manifest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250"/>
      </w:tblGrid>
      <w:tr>
        <w:tc>
          <w:tcPr>
            <w:tcW w:type="dxa" w:w="15250"/>
            <w:shd w:fill="FFF2CC"/>
            <w:vAlign w:val="center"/>
            <w:tcBorders>
              <w:top w:val="single" w:sz="8" w:color="17365D"/>
              <w:left w:val="single" w:sz="8" w:color="17365D"/>
              <w:bottom w:val="single" w:sz="8" w:color="17365D"/>
              <w:right w:val="single" w:sz="8" w:color="17365D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All proposed API names must be collision-checked in Wave 0. Existing API names are retained. Any rename or alternate name is recorded in the manifest before implementation.</w:t>
            </w:r>
          </w:p>
        </w:tc>
        <w:trPr>
          <w:tblHeader/>
        </w:trPr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1152"/>
        <w:gridCol w:w="6480"/>
        <w:gridCol w:w="5184"/>
      </w:tblGrid>
      <w:tr>
        <w:trPr>
          <w:tblHeader w:val="true"/>
        </w:trPr>
        <w:tc>
          <w:tcPr>
            <w:tcW w:type="dxa" w:w="3812"/>
            <w:vAlign w:val="center"/>
            <w:shd w:fill="17365D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Domain</w:t>
            </w:r>
          </w:p>
        </w:tc>
        <w:tc>
          <w:tcPr>
            <w:tcW w:type="dxa" w:w="3812"/>
            <w:vAlign w:val="center"/>
            <w:shd w:fill="17365D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Action</w:t>
            </w:r>
          </w:p>
        </w:tc>
        <w:tc>
          <w:tcPr>
            <w:tcW w:type="dxa" w:w="3812"/>
            <w:vAlign w:val="center"/>
            <w:shd w:fill="17365D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Controlled component/API names</w:t>
            </w:r>
          </w:p>
        </w:tc>
        <w:tc>
          <w:tcPr>
            <w:tcW w:type="dxa" w:w="3812"/>
            <w:vAlign w:val="center"/>
            <w:shd w:fill="17365D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Implementation rule</w:t>
            </w:r>
          </w:p>
        </w:tc>
      </w:tr>
      <w:tr>
        <w:tc>
          <w:tcPr>
            <w:tcW w:type="dxa" w:w="158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Account</w:t>
            </w:r>
          </w:p>
        </w:tc>
        <w:tc>
          <w:tcPr>
            <w:tcW w:type="dxa" w:w="1152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Modify</w:t>
            </w:r>
          </w:p>
        </w:tc>
        <w:tc>
          <w:tcPr>
            <w:tcW w:type="dxa" w:w="6480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Client_Code__c; Client_Status__c; Notification_Email__c; Email_Domain__c; SLA_Days__c</w:t>
            </w:r>
          </w:p>
        </w:tc>
        <w:tc>
          <w:tcPr>
            <w:tcW w:type="dxa" w:w="518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Required/unique after remediation; lifecycle values; labels/help/FLS/history.</w:t>
            </w:r>
          </w:p>
        </w:tc>
      </w:tr>
      <w:tr>
        <w:tc>
          <w:tcPr>
            <w:tcW w:type="dxa" w:w="1584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Account</w:t>
            </w:r>
          </w:p>
        </w:tc>
        <w:tc>
          <w:tcPr>
            <w:tcW w:type="dxa" w:w="1152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Create fields</w:t>
            </w:r>
          </w:p>
        </w:tc>
        <w:tc>
          <w:tcPr>
            <w:tcW w:type="dxa" w:w="6480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Onboarding_Status__c; Onboarding_Cycle__c; Onboarding_Progress__c; Onboarding_Submitted_By__c; Onboarding_Submitted_At__c; Onboarding_Approved__c; Onboarding_Approved_By__c; Onboarding_Approved_At__c; Onboarding_Completed_At__c; Onboarding_Return_Reason__c; Onboarding_Cancel_Reason__c</w:t>
            </w:r>
          </w:p>
        </w:tc>
        <w:tc>
          <w:tcPr>
            <w:tcW w:type="dxa" w:w="5184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Exact types and picklist values from Section 13; system-control approval/audit fields.</w:t>
            </w:r>
          </w:p>
        </w:tc>
      </w:tr>
      <w:tr>
        <w:tc>
          <w:tcPr>
            <w:tcW w:type="dxa" w:w="158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Contact</w:t>
            </w:r>
          </w:p>
        </w:tc>
        <w:tc>
          <w:tcPr>
            <w:tcW w:type="dxa" w:w="1152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Modify</w:t>
            </w:r>
          </w:p>
        </w:tc>
        <w:tc>
          <w:tcPr>
            <w:tcW w:type="dxa" w:w="6480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Client_User record type; Portal_Role__c; Can_Approve__c; Can_Send_Reminder__c; Is_Active_Client_User__c; Full_Name__c; ID_Type__c; ID_Number__c; Employment_Status__c</w:t>
            </w:r>
          </w:p>
        </w:tc>
        <w:tc>
          <w:tcPr>
            <w:tcW w:type="dxa" w:w="518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Purpose-specific validation and FLS; shared identity fields no longer globally required.</w:t>
            </w:r>
          </w:p>
        </w:tc>
      </w:tr>
      <w:tr>
        <w:tc>
          <w:tcPr>
            <w:tcW w:type="dxa" w:w="1584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Case</w:t>
            </w:r>
          </w:p>
        </w:tc>
        <w:tc>
          <w:tcPr>
            <w:tcW w:type="dxa" w:w="1152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Create record types/business processes</w:t>
            </w:r>
          </w:p>
        </w:tc>
        <w:tc>
          <w:tcPr>
            <w:tcW w:type="dxa" w:w="6480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CBS_Client_Access_Request; CBS_Quarterly_Access_Review</w:t>
            </w:r>
          </w:p>
        </w:tc>
        <w:tc>
          <w:tcPr>
            <w:tcW w:type="dxa" w:w="5184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Dedicated statuses and internal-only visibility.</w:t>
            </w:r>
          </w:p>
        </w:tc>
      </w:tr>
      <w:tr>
        <w:tc>
          <w:tcPr>
            <w:tcW w:type="dxa" w:w="158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Case</w:t>
            </w:r>
          </w:p>
        </w:tc>
        <w:tc>
          <w:tcPr>
            <w:tcW w:type="dxa" w:w="1152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Create fields</w:t>
            </w:r>
          </w:p>
        </w:tc>
        <w:tc>
          <w:tcPr>
            <w:tcW w:type="dxa" w:w="6480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Access_Type__c; Requested_Role__c; Client_Contact__c; Related_User__c; Maker__c; Assigned_Approver__c; Maker_Role_Snapshot__c; Checker_Role_Snapshot__c; Provisioning_Owner__c; Implemented_By__c; Implemented_At__c; Implementation_Notes__c; Review_Period__c; Review_Quarter_Key__c; Review_Started_On__c; Final_Checker__c; Review_Submitted_At__c; Review_Completed_At__c</w:t>
            </w:r>
          </w:p>
        </w:tc>
        <w:tc>
          <w:tcPr>
            <w:tcW w:type="dxa" w:w="518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Review_Quarter_Key__c is unique/external ID. Reuse Approval_Status__c, Submitted_By__c and Completed_At__c where semantics match.</w:t>
            </w:r>
          </w:p>
        </w:tc>
      </w:tr>
      <w:tr>
        <w:tc>
          <w:tcPr>
            <w:tcW w:type="dxa" w:w="1584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Task</w:t>
            </w:r>
          </w:p>
        </w:tc>
        <w:tc>
          <w:tcPr>
            <w:tcW w:type="dxa" w:w="1152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Create fields</w:t>
            </w:r>
          </w:p>
        </w:tc>
        <w:tc>
          <w:tcPr>
            <w:tcW w:type="dxa" w:w="6480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Checklist_Item_Code__c; Checklist_Sequence__c; Is_Mandatory__c; Onboarding_Cycle__c; Evidence_Reference__c; Completed_By__c; Completed_At__c; Review_Decision__c; Review_Comments__c; Related_Access_Case__c; Review_Task_Key__c</w:t>
            </w:r>
          </w:p>
        </w:tc>
        <w:tc>
          <w:tcPr>
            <w:tcW w:type="dxa" w:w="5184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Review_Task_Key__c unique/external ID; add standard Type values Client Onboarding and Quarterly Access Review.</w:t>
            </w:r>
          </w:p>
        </w:tc>
      </w:tr>
      <w:tr>
        <w:tc>
          <w:tcPr>
            <w:tcW w:type="dxa" w:w="158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Opportunity</w:t>
            </w:r>
          </w:p>
        </w:tc>
        <w:tc>
          <w:tcPr>
            <w:tcW w:type="dxa" w:w="1152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Modify only</w:t>
            </w:r>
          </w:p>
        </w:tc>
        <w:tc>
          <w:tcPr>
            <w:tcW w:type="dxa" w:w="6480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StageName Path; validations; Discovery_Completed__c; Budget_Confirmed__c; Loss_Reason__c</w:t>
            </w:r>
          </w:p>
        </w:tc>
        <w:tc>
          <w:tcPr>
            <w:tcW w:type="dxa" w:w="518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No Lead access; no new record type by default; no custom Contract lookup.</w:t>
            </w:r>
          </w:p>
        </w:tc>
      </w:tr>
      <w:tr>
        <w:tc>
          <w:tcPr>
            <w:tcW w:type="dxa" w:w="1584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Contract</w:t>
            </w:r>
          </w:p>
        </w:tc>
        <w:tc>
          <w:tcPr>
            <w:tcW w:type="dxa" w:w="1152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Modify only</w:t>
            </w:r>
          </w:p>
        </w:tc>
        <w:tc>
          <w:tcPr>
            <w:tcW w:type="dxa" w:w="6480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Standard fields, layout, Files, activation action/Flow and history</w:t>
            </w:r>
          </w:p>
        </w:tc>
        <w:tc>
          <w:tcPr>
            <w:tcW w:type="dxa" w:w="5184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No custom Contract object, End Date or Opportunity lookup.</w:t>
            </w:r>
          </w:p>
        </w:tc>
      </w:tr>
      <w:tr>
        <w:tc>
          <w:tcPr>
            <w:tcW w:type="dxa" w:w="158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Application</w:t>
            </w:r>
          </w:p>
        </w:tc>
        <w:tc>
          <w:tcPr>
            <w:tcW w:type="dxa" w:w="1152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Create</w:t>
            </w:r>
          </w:p>
        </w:tc>
        <w:tc>
          <w:tcPr>
            <w:tcW w:type="dxa" w:w="6480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CBS_Business_Development</w:t>
            </w:r>
          </w:p>
        </w:tc>
        <w:tc>
          <w:tcPr>
            <w:tcW w:type="dxa" w:w="518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Approved navigation and assignments.</w:t>
            </w:r>
          </w:p>
        </w:tc>
      </w:tr>
      <w:tr>
        <w:tc>
          <w:tcPr>
            <w:tcW w:type="dxa" w:w="1584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Permission sets/groups</w:t>
            </w:r>
          </w:p>
        </w:tc>
        <w:tc>
          <w:tcPr>
            <w:tcW w:type="dxa" w:w="1152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Create/modify</w:t>
            </w:r>
          </w:p>
        </w:tc>
        <w:tc>
          <w:tcPr>
            <w:tcW w:type="dxa" w:w="6480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CBS_Business_Development; CBS_External_Client_Common; CBS_Client_HR_User; CBS_Client_Approver; CBS_Client_HR_User_PSG; CBS_Client_Approver_PSG</w:t>
            </w:r>
          </w:p>
        </w:tc>
        <w:tc>
          <w:tcPr>
            <w:tcW w:type="dxa" w:w="5184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No Lead, Setup, User administration, Portal Super User or external commercial access.</w:t>
            </w:r>
          </w:p>
        </w:tc>
      </w:tr>
      <w:tr>
        <w:tc>
          <w:tcPr>
            <w:tcW w:type="dxa" w:w="158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Profile</w:t>
            </w:r>
          </w:p>
        </w:tc>
        <w:tc>
          <w:tcPr>
            <w:tcW w:type="dxa" w:w="1152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Create/refactor</w:t>
            </w:r>
          </w:p>
        </w:tc>
        <w:tc>
          <w:tcPr>
            <w:tcW w:type="dxa" w:w="6480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CBS_External_Client_Base</w:t>
            </w:r>
          </w:p>
        </w:tc>
        <w:tc>
          <w:tcPr>
            <w:tcW w:type="dxa" w:w="518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Clone from the licensed external profile; keep minimal baseline access.</w:t>
            </w:r>
          </w:p>
        </w:tc>
      </w:tr>
      <w:tr>
        <w:tc>
          <w:tcPr>
            <w:tcW w:type="dxa" w:w="1584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Report folders</w:t>
            </w:r>
          </w:p>
        </w:tc>
        <w:tc>
          <w:tcPr>
            <w:tcW w:type="dxa" w:w="1152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Create</w:t>
            </w:r>
          </w:p>
        </w:tc>
        <w:tc>
          <w:tcPr>
            <w:tcW w:type="dxa" w:w="6480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CBS Category A - Operations; CBS Category A - Management; CBS Category A - Security and Audit; CBS Category A Dashboards</w:t>
            </w:r>
          </w:p>
        </w:tc>
        <w:tc>
          <w:tcPr>
            <w:tcW w:type="dxa" w:w="5184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Internal-only folder sharing as Section 17.</w:t>
            </w:r>
          </w:p>
        </w:tc>
      </w:tr>
      <w:tr>
        <w:tc>
          <w:tcPr>
            <w:tcW w:type="dxa" w:w="158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Reports/dashboards</w:t>
            </w:r>
          </w:p>
        </w:tc>
        <w:tc>
          <w:tcPr>
            <w:tcW w:type="dxa" w:w="1152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Create</w:t>
            </w:r>
          </w:p>
        </w:tc>
        <w:tc>
          <w:tcPr>
            <w:tcW w:type="dxa" w:w="6480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A-RPT-01 through A-RPT-12; A-CTL-01 through A-CTL-10; Category A Lifecycle Dashboard; Category A Control Dashboard</w:t>
            </w:r>
          </w:p>
        </w:tc>
        <w:tc>
          <w:tcPr>
            <w:tcW w:type="dxa" w:w="518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Descriptions include stable IDs and requirement references.</w:t>
            </w:r>
          </w:p>
        </w:tc>
      </w:tr>
    </w:tbl>
    <w:p>
      <w:pPr>
        <w:spacing w:after="0"/>
      </w:pPr>
    </w:p>
    <w:p>
      <w:pPr>
        <w:pStyle w:val="Heading1"/>
      </w:pPr>
      <w:r>
        <w:t>7. Controlled Automation Catalogue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2592"/>
        <w:gridCol w:w="2160"/>
        <w:gridCol w:w="6048"/>
      </w:tblGrid>
      <w:tr>
        <w:trPr>
          <w:tblHeader w:val="true"/>
        </w:trPr>
        <w:tc>
          <w:tcPr>
            <w:tcW w:type="dxa" w:w="3812"/>
            <w:vAlign w:val="center"/>
            <w:shd w:fill="17365D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</w:t>
            </w:r>
          </w:p>
        </w:tc>
        <w:tc>
          <w:tcPr>
            <w:tcW w:type="dxa" w:w="3812"/>
            <w:vAlign w:val="center"/>
            <w:shd w:fill="17365D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Action/current</w:t>
            </w:r>
          </w:p>
        </w:tc>
        <w:tc>
          <w:tcPr>
            <w:tcW w:type="dxa" w:w="3812"/>
            <w:vAlign w:val="center"/>
            <w:shd w:fill="17365D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Type</w:t>
            </w:r>
          </w:p>
        </w:tc>
        <w:tc>
          <w:tcPr>
            <w:tcW w:type="dxa" w:w="3812"/>
            <w:vAlign w:val="center"/>
            <w:shd w:fill="17365D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Controlled behaviour</w:t>
            </w:r>
          </w:p>
        </w:tc>
      </w:tr>
      <w:tr>
        <w:tc>
          <w:tcPr>
            <w:tcW w:type="dxa" w:w="3600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CBS_Contact_Purpose_Guard</w:t>
            </w:r>
          </w:p>
        </w:tc>
        <w:tc>
          <w:tcPr>
            <w:tcW w:type="dxa" w:w="2592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Modify/replace contactApproveCreateConsentRequest</w:t>
            </w:r>
          </w:p>
        </w:tc>
        <w:tc>
          <w:tcPr>
            <w:tcW w:type="dxa" w:w="2160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Record-triggered Flow</w:t>
            </w:r>
          </w:p>
        </w:tc>
        <w:tc>
          <w:tcPr>
            <w:tcW w:type="dxa" w:w="6048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Data Subject-family purpose guard, duplicate check, durable fault logging; Client_User never creates Consent Request Item.</w:t>
            </w:r>
          </w:p>
        </w:tc>
      </w:tr>
      <w:tr>
        <w:tc>
          <w:tcPr>
            <w:tcW w:type="dxa" w:w="3600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CBS_Start_Client_Onboarding</w:t>
            </w:r>
          </w:p>
        </w:tc>
        <w:tc>
          <w:tcPr>
            <w:tcW w:type="dxa" w:w="2592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Create</w:t>
            </w:r>
          </w:p>
        </w:tc>
        <w:tc>
          <w:tcPr>
            <w:tcW w:type="dxa" w:w="2160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Screen Flow</w:t>
            </w:r>
          </w:p>
        </w:tc>
        <w:tc>
          <w:tcPr>
            <w:tcW w:type="dxa" w:w="6048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Eligibility checks; creates cycle and mandatory Tasks.</w:t>
            </w:r>
          </w:p>
        </w:tc>
      </w:tr>
      <w:tr>
        <w:tc>
          <w:tcPr>
            <w:tcW w:type="dxa" w:w="3600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CBS_Onboarding_Task_Synchronisation</w:t>
            </w:r>
          </w:p>
        </w:tc>
        <w:tc>
          <w:tcPr>
            <w:tcW w:type="dxa" w:w="2592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Create</w:t>
            </w:r>
          </w:p>
        </w:tc>
        <w:tc>
          <w:tcPr>
            <w:tcW w:type="dxa" w:w="2160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Record-triggered Flow</w:t>
            </w:r>
          </w:p>
        </w:tc>
        <w:tc>
          <w:tcPr>
            <w:tcW w:type="dxa" w:w="6048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Recalculates progress and readiness; idempotent by Account + cycle + checklist code.</w:t>
            </w:r>
          </w:p>
        </w:tc>
      </w:tr>
      <w:tr>
        <w:tc>
          <w:tcPr>
            <w:tcW w:type="dxa" w:w="3600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CBS_Submit_Onboarding_Review</w:t>
            </w:r>
          </w:p>
        </w:tc>
        <w:tc>
          <w:tcPr>
            <w:tcW w:type="dxa" w:w="2592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Create</w:t>
            </w:r>
          </w:p>
        </w:tc>
        <w:tc>
          <w:tcPr>
            <w:tcW w:type="dxa" w:w="2160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Screen/Autolaunched Flow</w:t>
            </w:r>
          </w:p>
        </w:tc>
        <w:tc>
          <w:tcPr>
            <w:tcW w:type="dxa" w:w="6048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Validates all mandatory Tasks and qualifying Contract, stamps submitter and invokes approval.</w:t>
            </w:r>
          </w:p>
        </w:tc>
      </w:tr>
      <w:tr>
        <w:tc>
          <w:tcPr>
            <w:tcW w:type="dxa" w:w="3600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CBS_Onboarding_Approval</w:t>
            </w:r>
          </w:p>
        </w:tc>
        <w:tc>
          <w:tcPr>
            <w:tcW w:type="dxa" w:w="2592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Create</w:t>
            </w:r>
          </w:p>
        </w:tc>
        <w:tc>
          <w:tcPr>
            <w:tcW w:type="dxa" w:w="2160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Flow Approval Process</w:t>
            </w:r>
          </w:p>
        </w:tc>
        <w:tc>
          <w:tcPr>
            <w:tcW w:type="dxa" w:w="6048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Named Administrator checker; self-approval blocked; approval/return/recall paths.</w:t>
            </w:r>
          </w:p>
        </w:tc>
      </w:tr>
      <w:tr>
        <w:tc>
          <w:tcPr>
            <w:tcW w:type="dxa" w:w="3600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CBS_Onboarding_Return_Cancel</w:t>
            </w:r>
          </w:p>
        </w:tc>
        <w:tc>
          <w:tcPr>
            <w:tcW w:type="dxa" w:w="2592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Create</w:t>
            </w:r>
          </w:p>
        </w:tc>
        <w:tc>
          <w:tcPr>
            <w:tcW w:type="dxa" w:w="2160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Autolaunched Flow</w:t>
            </w:r>
          </w:p>
        </w:tc>
        <w:tc>
          <w:tcPr>
            <w:tcW w:type="dxa" w:w="6048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Controlled return/cancel reasons and next-cycle behaviour.</w:t>
            </w:r>
          </w:p>
        </w:tc>
      </w:tr>
      <w:tr>
        <w:tc>
          <w:tcPr>
            <w:tcW w:type="dxa" w:w="3600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CBS_Onboarding_Completion_Notification</w:t>
            </w:r>
          </w:p>
        </w:tc>
        <w:tc>
          <w:tcPr>
            <w:tcW w:type="dxa" w:w="2592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Create</w:t>
            </w:r>
          </w:p>
        </w:tc>
        <w:tc>
          <w:tcPr>
            <w:tcW w:type="dxa" w:w="2160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Autolaunched Flow</w:t>
            </w:r>
          </w:p>
        </w:tc>
        <w:tc>
          <w:tcPr>
            <w:tcW w:type="dxa" w:w="6048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Completion evidence and internal notification; no external activation.</w:t>
            </w:r>
          </w:p>
        </w:tc>
      </w:tr>
      <w:tr>
        <w:tc>
          <w:tcPr>
            <w:tcW w:type="dxa" w:w="3600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CBS_Opportunity_Closed_Won_Handoff</w:t>
            </w:r>
          </w:p>
        </w:tc>
        <w:tc>
          <w:tcPr>
            <w:tcW w:type="dxa" w:w="2592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Create</w:t>
            </w:r>
          </w:p>
        </w:tc>
        <w:tc>
          <w:tcPr>
            <w:tcW w:type="dxa" w:w="2160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Record-triggered Flow</w:t>
            </w:r>
          </w:p>
        </w:tc>
        <w:tc>
          <w:tcPr>
            <w:tcW w:type="dxa" w:w="6048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Creates exactly one Contract follow-up Task on first Closed Won transition.</w:t>
            </w:r>
          </w:p>
        </w:tc>
      </w:tr>
      <w:tr>
        <w:tc>
          <w:tcPr>
            <w:tcW w:type="dxa" w:w="3600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CBS_Activate_Contract</w:t>
            </w:r>
          </w:p>
        </w:tc>
        <w:tc>
          <w:tcPr>
            <w:tcW w:type="dxa" w:w="2592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Create</w:t>
            </w:r>
          </w:p>
        </w:tc>
        <w:tc>
          <w:tcPr>
            <w:tcW w:type="dxa" w:w="2160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Screen/Autolaunched Flow</w:t>
            </w:r>
          </w:p>
        </w:tc>
        <w:tc>
          <w:tcPr>
            <w:tcW w:type="dxa" w:w="6048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Validates required fields, Account state and qualifying File; invokes standard activation.</w:t>
            </w:r>
          </w:p>
        </w:tc>
      </w:tr>
      <w:tr>
        <w:tc>
          <w:tcPr>
            <w:tcW w:type="dxa" w:w="3600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CBS_Client_Access_Request_Prepare</w:t>
            </w:r>
          </w:p>
        </w:tc>
        <w:tc>
          <w:tcPr>
            <w:tcW w:type="dxa" w:w="2592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Create</w:t>
            </w:r>
          </w:p>
        </w:tc>
        <w:tc>
          <w:tcPr>
            <w:tcW w:type="dxa" w:w="2160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Screen Flow</w:t>
            </w:r>
          </w:p>
        </w:tc>
        <w:tc>
          <w:tcPr>
            <w:tcW w:type="dxa" w:w="6048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Creates/updates access Case and snapshots maker/client/role data.</w:t>
            </w:r>
          </w:p>
        </w:tc>
      </w:tr>
      <w:tr>
        <w:tc>
          <w:tcPr>
            <w:tcW w:type="dxa" w:w="3600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CBS_Client_Access_Approval</w:t>
            </w:r>
          </w:p>
        </w:tc>
        <w:tc>
          <w:tcPr>
            <w:tcW w:type="dxa" w:w="2592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Create</w:t>
            </w:r>
          </w:p>
        </w:tc>
        <w:tc>
          <w:tcPr>
            <w:tcW w:type="dxa" w:w="2160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Flow Approval Process</w:t>
            </w:r>
          </w:p>
        </w:tc>
        <w:tc>
          <w:tcPr>
            <w:tcW w:type="dxa" w:w="6048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Assigned CBS Administrator checker; recall, approve and return/reject; self-approval blocked.</w:t>
            </w:r>
          </w:p>
        </w:tc>
      </w:tr>
      <w:tr>
        <w:tc>
          <w:tcPr>
            <w:tcW w:type="dxa" w:w="3600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CBS_Client_Access_Provision</w:t>
            </w:r>
          </w:p>
        </w:tc>
        <w:tc>
          <w:tcPr>
            <w:tcW w:type="dxa" w:w="2592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Create</w:t>
            </w:r>
          </w:p>
        </w:tc>
        <w:tc>
          <w:tcPr>
            <w:tcW w:type="dxa" w:w="2160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Screen/Autolaunched Flow</w:t>
            </w:r>
          </w:p>
        </w:tc>
        <w:tc>
          <w:tcPr>
            <w:tcW w:type="dxa" w:w="6048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Administrator-only provisioning after approval; synchronises Contact/User summary and evidence.</w:t>
            </w:r>
          </w:p>
        </w:tc>
      </w:tr>
      <w:tr>
        <w:tc>
          <w:tcPr>
            <w:tcW w:type="dxa" w:w="3600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CBS_Quarterly_Access_Review_Scheduler</w:t>
            </w:r>
          </w:p>
        </w:tc>
        <w:tc>
          <w:tcPr>
            <w:tcW w:type="dxa" w:w="2592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Create</w:t>
            </w:r>
          </w:p>
        </w:tc>
        <w:tc>
          <w:tcPr>
            <w:tcW w:type="dxa" w:w="2160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Weekly schedule-triggered Flow</w:t>
            </w:r>
          </w:p>
        </w:tc>
        <w:tc>
          <w:tcPr>
            <w:tcW w:type="dxa" w:w="6048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Creates one Case per active Account per quarter and one Task per active Client User using unique keys.</w:t>
            </w:r>
          </w:p>
        </w:tc>
      </w:tr>
      <w:tr>
        <w:tc>
          <w:tcPr>
            <w:tcW w:type="dxa" w:w="3600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CBS_Quarterly_Access_Review_Submit</w:t>
            </w:r>
          </w:p>
        </w:tc>
        <w:tc>
          <w:tcPr>
            <w:tcW w:type="dxa" w:w="2592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Create</w:t>
            </w:r>
          </w:p>
        </w:tc>
        <w:tc>
          <w:tcPr>
            <w:tcW w:type="dxa" w:w="2160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Screen/Autolaunched Flow</w:t>
            </w:r>
          </w:p>
        </w:tc>
        <w:tc>
          <w:tcPr>
            <w:tcW w:type="dxa" w:w="6048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Blocks submission until all Tasks complete and remediation Cases linked.</w:t>
            </w:r>
          </w:p>
        </w:tc>
      </w:tr>
      <w:tr>
        <w:tc>
          <w:tcPr>
            <w:tcW w:type="dxa" w:w="3600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CBS_Quarterly_Access_Review_Approval</w:t>
            </w:r>
          </w:p>
        </w:tc>
        <w:tc>
          <w:tcPr>
            <w:tcW w:type="dxa" w:w="2592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Create</w:t>
            </w:r>
          </w:p>
        </w:tc>
        <w:tc>
          <w:tcPr>
            <w:tcW w:type="dxa" w:w="2160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Flow Approval Process</w:t>
            </w:r>
          </w:p>
        </w:tc>
        <w:tc>
          <w:tcPr>
            <w:tcW w:type="dxa" w:w="6048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CBS Administrator final review; completion markers and evidence.</w:t>
            </w:r>
          </w:p>
        </w:tc>
      </w:tr>
      <w:tr>
        <w:tc>
          <w:tcPr>
            <w:tcW w:type="dxa" w:w="3600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ReportRequestSubmissionService</w:t>
            </w:r>
          </w:p>
        </w:tc>
        <w:tc>
          <w:tcPr>
            <w:tcW w:type="dxa" w:w="2592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Modify existing Apex</w:t>
            </w:r>
          </w:p>
        </w:tc>
        <w:tc>
          <w:tcPr>
            <w:tcW w:type="dxa" w:w="2160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Apex service</w:t>
            </w:r>
          </w:p>
        </w:tc>
        <w:tc>
          <w:tcPr>
            <w:tcW w:type="dxa" w:w="6048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Ignore client-supplied governing SLA, resolve from authorised Account/default, snapshot on operational Case; preserve Category D behaviour and tests.</w:t>
            </w:r>
          </w:p>
        </w:tc>
      </w:tr>
    </w:tbl>
    <w:p>
      <w:pPr>
        <w:spacing w:after="0"/>
      </w:pPr>
    </w:p>
    <w:p>
      <w:pPr>
        <w:pStyle w:val="Heading1"/>
      </w:pPr>
      <w:r>
        <w:t>8. Workstream Execution Requirements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3744"/>
        <w:gridCol w:w="2304"/>
        <w:gridCol w:w="6768"/>
      </w:tblGrid>
      <w:tr>
        <w:trPr>
          <w:tblHeader w:val="true"/>
        </w:trPr>
        <w:tc>
          <w:tcPr>
            <w:tcW w:type="dxa" w:w="3812"/>
            <w:vAlign w:val="center"/>
            <w:shd w:fill="17365D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3812"/>
            <w:vAlign w:val="center"/>
            <w:shd w:fill="17365D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Workstream</w:t>
            </w:r>
          </w:p>
        </w:tc>
        <w:tc>
          <w:tcPr>
            <w:tcW w:type="dxa" w:w="3812"/>
            <w:vAlign w:val="center"/>
            <w:shd w:fill="17365D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Priority/gate</w:t>
            </w:r>
          </w:p>
        </w:tc>
        <w:tc>
          <w:tcPr>
            <w:tcW w:type="dxa" w:w="3812"/>
            <w:vAlign w:val="center"/>
            <w:shd w:fill="17365D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Mandatory pre-change and exit evidence</w:t>
            </w:r>
          </w:p>
        </w:tc>
      </w:tr>
      <w:tr>
        <w:tc>
          <w:tcPr>
            <w:tcW w:type="dxa" w:w="158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A-IMP-01.1</w:t>
            </w:r>
          </w:p>
        </w:tc>
        <w:tc>
          <w:tcPr>
            <w:tcW w:type="dxa" w:w="374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Client User and Data Subject separation</w:t>
            </w:r>
          </w:p>
        </w:tc>
        <w:tc>
          <w:tcPr>
            <w:tcW w:type="dxa" w:w="230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P1</w:t>
            </w:r>
          </w:p>
        </w:tc>
        <w:tc>
          <w:tcPr>
            <w:tcW w:type="dxa" w:w="6768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Impact/dependency report; exact metadata manifest; data dry-run; check-only deploy; role/security tests; rollback package; fresh metadata diff.</w:t>
            </w:r>
          </w:p>
        </w:tc>
      </w:tr>
      <w:tr>
        <w:tc>
          <w:tcPr>
            <w:tcW w:type="dxa" w:w="1584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A-IMP-01.2</w:t>
            </w:r>
          </w:p>
        </w:tc>
        <w:tc>
          <w:tcPr>
            <w:tcW w:type="dxa" w:w="3744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Account lifecycle and onboarding</w:t>
            </w:r>
          </w:p>
        </w:tc>
        <w:tc>
          <w:tcPr>
            <w:tcW w:type="dxa" w:w="2304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P1</w:t>
            </w:r>
          </w:p>
        </w:tc>
        <w:tc>
          <w:tcPr>
            <w:tcW w:type="dxa" w:w="6768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Impact/dependency report; exact metadata manifest; data dry-run; check-only deploy; role/security tests; rollback package; fresh metadata diff.</w:t>
            </w:r>
          </w:p>
        </w:tc>
      </w:tr>
      <w:tr>
        <w:tc>
          <w:tcPr>
            <w:tcW w:type="dxa" w:w="158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A-IMP-01.3</w:t>
            </w:r>
          </w:p>
        </w:tc>
        <w:tc>
          <w:tcPr>
            <w:tcW w:type="dxa" w:w="374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Opportunity lifecycle and Lead exclusion</w:t>
            </w:r>
          </w:p>
        </w:tc>
        <w:tc>
          <w:tcPr>
            <w:tcW w:type="dxa" w:w="230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P1</w:t>
            </w:r>
          </w:p>
        </w:tc>
        <w:tc>
          <w:tcPr>
            <w:tcW w:type="dxa" w:w="6768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Impact/dependency report; exact metadata manifest; data dry-run; check-only deploy; role/security tests; rollback package; fresh metadata diff.</w:t>
            </w:r>
          </w:p>
        </w:tc>
      </w:tr>
      <w:tr>
        <w:tc>
          <w:tcPr>
            <w:tcW w:type="dxa" w:w="1584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A-IMP-01.4</w:t>
            </w:r>
          </w:p>
        </w:tc>
        <w:tc>
          <w:tcPr>
            <w:tcW w:type="dxa" w:w="3744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Contract lifecycle and Salesforce Files</w:t>
            </w:r>
          </w:p>
        </w:tc>
        <w:tc>
          <w:tcPr>
            <w:tcW w:type="dxa" w:w="2304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P1</w:t>
            </w:r>
          </w:p>
        </w:tc>
        <w:tc>
          <w:tcPr>
            <w:tcW w:type="dxa" w:w="6768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Impact/dependency report; exact metadata manifest; data dry-run; check-only deploy; role/security tests; rollback package; fresh metadata diff.</w:t>
            </w:r>
          </w:p>
        </w:tc>
      </w:tr>
      <w:tr>
        <w:tc>
          <w:tcPr>
            <w:tcW w:type="dxa" w:w="158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A-IMP-01.5</w:t>
            </w:r>
          </w:p>
        </w:tc>
        <w:tc>
          <w:tcPr>
            <w:tcW w:type="dxa" w:w="374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Client Access Request maker-checker</w:t>
            </w:r>
          </w:p>
        </w:tc>
        <w:tc>
          <w:tcPr>
            <w:tcW w:type="dxa" w:w="230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P1</w:t>
            </w:r>
          </w:p>
        </w:tc>
        <w:tc>
          <w:tcPr>
            <w:tcW w:type="dxa" w:w="6768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Impact/dependency report; exact metadata manifest; data dry-run; check-only deploy; role/security tests; rollback package; fresh metadata diff.</w:t>
            </w:r>
          </w:p>
        </w:tc>
      </w:tr>
      <w:tr>
        <w:tc>
          <w:tcPr>
            <w:tcW w:type="dxa" w:w="1584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A-IMP-01.6</w:t>
            </w:r>
          </w:p>
        </w:tc>
        <w:tc>
          <w:tcPr>
            <w:tcW w:type="dxa" w:w="3744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Quarterly Access Review</w:t>
            </w:r>
          </w:p>
        </w:tc>
        <w:tc>
          <w:tcPr>
            <w:tcW w:type="dxa" w:w="2304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P1</w:t>
            </w:r>
          </w:p>
        </w:tc>
        <w:tc>
          <w:tcPr>
            <w:tcW w:type="dxa" w:w="6768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Impact/dependency report; exact metadata manifest; data dry-run; check-only deploy; role/security tests; rollback package; fresh metadata diff.</w:t>
            </w:r>
          </w:p>
        </w:tc>
      </w:tr>
      <w:tr>
        <w:tc>
          <w:tcPr>
            <w:tcW w:type="dxa" w:w="158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A-IMP-01.7</w:t>
            </w:r>
          </w:p>
        </w:tc>
        <w:tc>
          <w:tcPr>
            <w:tcW w:type="dxa" w:w="374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Business Development role, app and permissions</w:t>
            </w:r>
          </w:p>
        </w:tc>
        <w:tc>
          <w:tcPr>
            <w:tcW w:type="dxa" w:w="230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P1</w:t>
            </w:r>
          </w:p>
        </w:tc>
        <w:tc>
          <w:tcPr>
            <w:tcW w:type="dxa" w:w="6768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Impact/dependency report; exact metadata manifest; data dry-run; check-only deploy; role/security tests; rollback package; fresh metadata diff.</w:t>
            </w:r>
          </w:p>
        </w:tc>
      </w:tr>
      <w:tr>
        <w:tc>
          <w:tcPr>
            <w:tcW w:type="dxa" w:w="1584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A-IMP-01.8</w:t>
            </w:r>
          </w:p>
        </w:tc>
        <w:tc>
          <w:tcPr>
            <w:tcW w:type="dxa" w:w="3744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External Experience Cloud access and client isolation</w:t>
            </w:r>
          </w:p>
        </w:tc>
        <w:tc>
          <w:tcPr>
            <w:tcW w:type="dxa" w:w="2304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P1</w:t>
            </w:r>
          </w:p>
        </w:tc>
        <w:tc>
          <w:tcPr>
            <w:tcW w:type="dxa" w:w="6768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Impact/dependency report; exact metadata manifest; data dry-run; check-only deploy; role/security tests; rollback package; fresh metadata diff.</w:t>
            </w:r>
          </w:p>
        </w:tc>
      </w:tr>
      <w:tr>
        <w:tc>
          <w:tcPr>
            <w:tcW w:type="dxa" w:w="158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A-IMP-01.9</w:t>
            </w:r>
          </w:p>
        </w:tc>
        <w:tc>
          <w:tcPr>
            <w:tcW w:type="dxa" w:w="374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SLA simplification, audit, Reports and Dashboards</w:t>
            </w:r>
          </w:p>
        </w:tc>
        <w:tc>
          <w:tcPr>
            <w:tcW w:type="dxa" w:w="230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P2 with P1 security controls</w:t>
            </w:r>
          </w:p>
        </w:tc>
        <w:tc>
          <w:tcPr>
            <w:tcW w:type="dxa" w:w="6768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Impact/dependency report; exact metadata manifest; data dry-run; check-only deploy; role/security tests; rollback package; fresh metadata diff.</w:t>
            </w:r>
          </w:p>
        </w:tc>
      </w:tr>
      <w:tr>
        <w:tc>
          <w:tcPr>
            <w:tcW w:type="dxa" w:w="1584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A-IMP-01.10</w:t>
            </w:r>
          </w:p>
        </w:tc>
        <w:tc>
          <w:tcPr>
            <w:tcW w:type="dxa" w:w="3744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Lightning and Experience Cloud pages</w:t>
            </w:r>
          </w:p>
        </w:tc>
        <w:tc>
          <w:tcPr>
            <w:tcW w:type="dxa" w:w="2304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P2 after process/security</w:t>
            </w:r>
          </w:p>
        </w:tc>
        <w:tc>
          <w:tcPr>
            <w:tcW w:type="dxa" w:w="6768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Impact/dependency report; exact metadata manifest; data dry-run; check-only deploy; role/security tests; rollback package; fresh metadata diff.</w:t>
            </w:r>
          </w:p>
        </w:tc>
      </w:tr>
    </w:tbl>
    <w:p>
      <w:pPr>
        <w:spacing w:after="0"/>
      </w:pPr>
    </w:p>
    <w:p>
      <w:pPr>
        <w:pStyle w:val="Heading1"/>
      </w:pPr>
      <w:r>
        <w:t>9. Data Remediation and Migration Controls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6480"/>
        <w:gridCol w:w="5328"/>
      </w:tblGrid>
      <w:tr>
        <w:trPr>
          <w:tblHeader w:val="true"/>
        </w:trPr>
        <w:tc>
          <w:tcPr>
            <w:tcW w:type="dxa" w:w="5083"/>
            <w:vAlign w:val="center"/>
            <w:shd w:fill="17365D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Data domain</w:t>
            </w:r>
          </w:p>
        </w:tc>
        <w:tc>
          <w:tcPr>
            <w:tcW w:type="dxa" w:w="5083"/>
            <w:vAlign w:val="center"/>
            <w:shd w:fill="17365D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Required remediation</w:t>
            </w:r>
          </w:p>
        </w:tc>
        <w:tc>
          <w:tcPr>
            <w:tcW w:type="dxa" w:w="5083"/>
            <w:vAlign w:val="center"/>
            <w:shd w:fill="17365D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Control gate</w:t>
            </w:r>
          </w:p>
        </w:tc>
      </w:tr>
      <w:tr>
        <w:tc>
          <w:tcPr>
            <w:tcW w:type="dxa" w:w="2592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Account</w:t>
            </w:r>
          </w:p>
        </w:tc>
        <w:tc>
          <w:tcPr>
            <w:tcW w:type="dxa" w:w="6480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Duplicate/missing Client Codes; lifecycle mapping; retained notification/domain/SLA values.</w:t>
            </w:r>
          </w:p>
        </w:tc>
        <w:tc>
          <w:tcPr>
            <w:tcW w:type="dxa" w:w="5328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No uniqueness or validation activation until approved before/after counts reconcile.</w:t>
            </w:r>
          </w:p>
        </w:tc>
      </w:tr>
      <w:tr>
        <w:tc>
          <w:tcPr>
            <w:tcW w:type="dxa" w:w="2592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Contact</w:t>
            </w:r>
          </w:p>
        </w:tc>
        <w:tc>
          <w:tcPr>
            <w:tcW w:type="dxa" w:w="6480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Purpose classification; Client_User versus Data Subject; duplicate email+Account; prohibited Client User PII.</w:t>
            </w:r>
          </w:p>
        </w:tc>
        <w:tc>
          <w:tcPr>
            <w:tcW w:type="dxa" w:w="5328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Non-destructive backup; same person can have separate purpose records; data-owner approval before clearing fields.</w:t>
            </w:r>
          </w:p>
        </w:tc>
      </w:tr>
      <w:tr>
        <w:tc>
          <w:tcPr>
            <w:tcW w:type="dxa" w:w="2592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Opportunity</w:t>
            </w:r>
          </w:p>
        </w:tc>
        <w:tc>
          <w:tcPr>
            <w:tcW w:type="dxa" w:w="6480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Owners, stages, dates, Next Step, Discovery/Budget/Loss fields; Lead/CPQ dependencies.</w:t>
            </w:r>
          </w:p>
        </w:tc>
        <w:tc>
          <w:tcPr>
            <w:tcW w:type="dxa" w:w="5328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No stage validation activation before open pipeline remediation.</w:t>
            </w:r>
          </w:p>
        </w:tc>
      </w:tr>
      <w:tr>
        <w:tc>
          <w:tcPr>
            <w:tcW w:type="dxa" w:w="2592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Contract and Files</w:t>
            </w:r>
          </w:p>
        </w:tc>
        <w:tc>
          <w:tcPr>
            <w:tcW w:type="dxa" w:w="6480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Dates, terms, status, ownership, qualifying Files, public links and external shares.</w:t>
            </w:r>
          </w:p>
        </w:tc>
        <w:tc>
          <w:tcPr>
            <w:tcW w:type="dxa" w:w="5328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Activated records are not bulk-edited; missing evidence resolved before controlled activation.</w:t>
            </w:r>
          </w:p>
        </w:tc>
      </w:tr>
      <w:tr>
        <w:tc>
          <w:tcPr>
            <w:tcW w:type="dxa" w:w="2592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Case and Task</w:t>
            </w:r>
          </w:p>
        </w:tc>
        <w:tc>
          <w:tcPr>
            <w:tcW w:type="dxa" w:w="6480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Exclude existing operational Cases/Tasks from new processes; prepare test data and unique keys.</w:t>
            </w:r>
          </w:p>
        </w:tc>
        <w:tc>
          <w:tcPr>
            <w:tcW w:type="dxa" w:w="5328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No migration into new record types without explicit mapping.</w:t>
            </w:r>
          </w:p>
        </w:tc>
      </w:tr>
      <w:tr>
        <w:tc>
          <w:tcPr>
            <w:tcW w:type="dxa" w:w="2592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Users and permissions</w:t>
            </w:r>
          </w:p>
        </w:tc>
        <w:tc>
          <w:tcPr>
            <w:tcW w:type="dxa" w:w="6480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Licences, profiles, permission sets/groups, memberships, Account/Contact link and Portal Super User.</w:t>
            </w:r>
          </w:p>
        </w:tc>
        <w:tc>
          <w:tcPr>
            <w:tcW w:type="dxa" w:w="5328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Remove broad access only after replacement packages and isolation tests pass.</w:t>
            </w:r>
          </w:p>
        </w:tc>
      </w:tr>
      <w:tr>
        <w:tc>
          <w:tcPr>
            <w:tcW w:type="dxa" w:w="2592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Experience routes</w:t>
            </w:r>
          </w:p>
        </w:tc>
        <w:tc>
          <w:tcPr>
            <w:tcW w:type="dxa" w:w="6480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Route ownership by category; generic object pages; registration and admin pages.</w:t>
            </w:r>
          </w:p>
        </w:tc>
        <w:tc>
          <w:tcPr>
            <w:tcW w:type="dxa" w:w="5328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Do not remove Categories B-F routes; direct URL regression is mandatory.</w:t>
            </w:r>
          </w:p>
        </w:tc>
      </w:tr>
      <w:tr>
        <w:tc>
          <w:tcPr>
            <w:tcW w:type="dxa" w:w="2592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Reports and dashboards</w:t>
            </w:r>
          </w:p>
        </w:tc>
        <w:tc>
          <w:tcPr>
            <w:tcW w:type="dxa" w:w="6480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Private assets, folders, subscriptions, running users and exports.</w:t>
            </w:r>
          </w:p>
        </w:tc>
        <w:tc>
          <w:tcPr>
            <w:tcW w:type="dxa" w:w="5328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Do not overwrite user-owned assets; deploy controlled folders separately.</w:t>
            </w:r>
          </w:p>
        </w:tc>
      </w:tr>
    </w:tbl>
    <w:p>
      <w:pPr>
        <w:spacing w:after="0"/>
      </w:pPr>
    </w:p>
    <w:p>
      <w:pPr>
        <w:pStyle w:val="Heading1"/>
      </w:pPr>
      <w:r>
        <w:t>10. Deployment Controls and Manual Runtime Steps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11376"/>
      </w:tblGrid>
      <w:tr>
        <w:trPr>
          <w:tblHeader w:val="true"/>
        </w:trPr>
        <w:tc>
          <w:tcPr>
            <w:tcW w:type="dxa" w:w="7625"/>
            <w:vAlign w:val="center"/>
            <w:shd w:fill="17365D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Control</w:t>
            </w:r>
          </w:p>
        </w:tc>
        <w:tc>
          <w:tcPr>
            <w:tcW w:type="dxa" w:w="7625"/>
            <w:vAlign w:val="center"/>
            <w:shd w:fill="17365D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Required implementation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Source control</w:t>
            </w:r>
          </w:p>
        </w:tc>
        <w:tc>
          <w:tcPr>
            <w:tcW w:type="dxa" w:w="11376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One commit per approved workstream or coherent change set; commit message includes A-IMP, A-REQ and A-DD identifiers.</w:t>
            </w:r>
          </w:p>
        </w:tc>
      </w:tr>
      <w:tr>
        <w:tc>
          <w:tcPr>
            <w:tcW w:type="dxa" w:w="3024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Check-only deployment</w:t>
            </w:r>
          </w:p>
        </w:tc>
        <w:tc>
          <w:tcPr>
            <w:tcW w:type="dxa" w:w="11376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Validate metadata, run relevant Apex tests, Flow tests and permission checks before each wave.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Feature activation</w:t>
            </w:r>
          </w:p>
        </w:tc>
        <w:tc>
          <w:tcPr>
            <w:tcW w:type="dxa" w:w="11376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Deploy fields/pages inactive first; activate validations, approvals, scheduler and restrictive sharing only after data and permission gates pass.</w:t>
            </w:r>
          </w:p>
        </w:tc>
      </w:tr>
      <w:tr>
        <w:tc>
          <w:tcPr>
            <w:tcW w:type="dxa" w:w="3024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Runtime assignments</w:t>
            </w:r>
          </w:p>
        </w:tc>
        <w:tc>
          <w:tcPr>
            <w:tcW w:type="dxa" w:w="11376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Assign role, permission sets/groups, licences and site membership only through an approved assignment workbook with maker-checker evidence.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Experience publication</w:t>
            </w:r>
          </w:p>
        </w:tc>
        <w:tc>
          <w:tcPr>
            <w:tcW w:type="dxa" w:w="11376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Publish the site only after route, navigation, direct-URL and two-client isolation tests pass.</w:t>
            </w:r>
          </w:p>
        </w:tc>
      </w:tr>
      <w:tr>
        <w:tc>
          <w:tcPr>
            <w:tcW w:type="dxa" w:w="3024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Scheduled jobs</w:t>
            </w:r>
          </w:p>
        </w:tc>
        <w:tc>
          <w:tcPr>
            <w:tcW w:type="dxa" w:w="11376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Activate weekly quarterly-review scheduler in the org time zone; record job ID, running user and first eligible quarter.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Files and public links</w:t>
            </w:r>
          </w:p>
        </w:tc>
        <w:tc>
          <w:tcPr>
            <w:tcW w:type="dxa" w:w="11376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Run ContentDocumentLink/public-link inventory and remediate before external access changes.</w:t>
            </w:r>
          </w:p>
        </w:tc>
      </w:tr>
      <w:tr>
        <w:tc>
          <w:tcPr>
            <w:tcW w:type="dxa" w:w="3024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Backups</w:t>
            </w:r>
          </w:p>
        </w:tc>
        <w:tc>
          <w:tcPr>
            <w:tcW w:type="dxa" w:w="11376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Export affected data, metadata, assignments, sharing, File links, routes and report/dashboard ownership before each wave.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Rollback</w:t>
            </w:r>
          </w:p>
        </w:tc>
        <w:tc>
          <w:tcPr>
            <w:tcW w:type="dxa" w:w="11376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Deactivate new automation; restore assignments/pages/sharing from manifest; do not delete audit Cases/Tasks or history; document rollback reason.</w:t>
            </w:r>
          </w:p>
        </w:tc>
      </w:tr>
      <w:tr>
        <w:tc>
          <w:tcPr>
            <w:tcW w:type="dxa" w:w="3024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Stop conditions</w:t>
            </w:r>
          </w:p>
        </w:tc>
        <w:tc>
          <w:tcPr>
            <w:tcW w:type="dxa" w:w="11376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P1 privacy, cross-client, self-approval, provisioning-before-approval, Contract/File exposure or data-loss defect stops the wave.</w:t>
            </w:r>
          </w:p>
        </w:tc>
      </w:tr>
    </w:tbl>
    <w:p>
      <w:pPr>
        <w:spacing w:after="0"/>
      </w:pPr>
    </w:p>
    <w:p>
      <w:pPr>
        <w:pStyle w:val="Heading1"/>
      </w:pPr>
      <w:r>
        <w:t>11. Verification and Non-Regression Matrix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6192"/>
        <w:gridCol w:w="6048"/>
      </w:tblGrid>
      <w:tr>
        <w:trPr>
          <w:tblHeader w:val="true"/>
        </w:trPr>
        <w:tc>
          <w:tcPr>
            <w:tcW w:type="dxa" w:w="5083"/>
            <w:vAlign w:val="center"/>
            <w:shd w:fill="17365D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Domain</w:t>
            </w:r>
          </w:p>
        </w:tc>
        <w:tc>
          <w:tcPr>
            <w:tcW w:type="dxa" w:w="5083"/>
            <w:vAlign w:val="center"/>
            <w:shd w:fill="17365D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Positive verification</w:t>
            </w:r>
          </w:p>
        </w:tc>
        <w:tc>
          <w:tcPr>
            <w:tcW w:type="dxa" w:w="5083"/>
            <w:vAlign w:val="center"/>
            <w:shd w:fill="17365D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Negative/regression verification</w:t>
            </w:r>
          </w:p>
        </w:tc>
      </w:tr>
      <w:tr>
        <w:tc>
          <w:tcPr>
            <w:tcW w:type="dxa" w:w="2160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Contact purpose</w:t>
            </w:r>
          </w:p>
        </w:tc>
        <w:tc>
          <w:tcPr>
            <w:tcW w:type="dxa" w:w="6192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Create Client_User and each Data Subject type; no consent item for Client_User; correct fields/actions/FLS.</w:t>
            </w:r>
          </w:p>
        </w:tc>
        <w:tc>
          <w:tcPr>
            <w:tcW w:type="dxa" w:w="6048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Category B consent creation and existing data-subject processing remain operational.</w:t>
            </w:r>
          </w:p>
        </w:tc>
      </w:tr>
      <w:tr>
        <w:tc>
          <w:tcPr>
            <w:tcW w:type="dxa" w:w="2160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Account/onboarding</w:t>
            </w:r>
          </w:p>
        </w:tc>
        <w:tc>
          <w:tcPr>
            <w:tcW w:type="dxa" w:w="6192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Start, task progress, ready, submit, return, approve and complete; self-approval blocked.</w:t>
            </w:r>
          </w:p>
        </w:tc>
        <w:tc>
          <w:tcPr>
            <w:tcW w:type="dxa" w:w="6048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No Account becomes Active without qualifying Contract, mandatory Tasks and system approval markers.</w:t>
            </w:r>
          </w:p>
        </w:tc>
      </w:tr>
      <w:tr>
        <w:tc>
          <w:tcPr>
            <w:tcW w:type="dxa" w:w="2160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Opportunity</w:t>
            </w:r>
          </w:p>
        </w:tc>
        <w:tc>
          <w:tcPr>
            <w:tcW w:type="dxa" w:w="6192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Create from Account; each stage gate; exactly-one Closed Won Task; no Lead access.</w:t>
            </w:r>
          </w:p>
        </w:tc>
        <w:tc>
          <w:tcPr>
            <w:tcW w:type="dxa" w:w="6048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Standard Sales assets remain untouched for users outside CBS Business Development unless separately approved.</w:t>
            </w:r>
          </w:p>
        </w:tc>
      </w:tr>
      <w:tr>
        <w:tc>
          <w:tcPr>
            <w:tcW w:type="dxa" w:w="2160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Contract</w:t>
            </w:r>
          </w:p>
        </w:tc>
        <w:tc>
          <w:tcPr>
            <w:tcW w:type="dxa" w:w="6192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Draft, File prerequisite, activation, expiry, renewal, amendment and termination runtime test.</w:t>
            </w:r>
          </w:p>
        </w:tc>
        <w:tc>
          <w:tcPr>
            <w:tcW w:type="dxa" w:w="6048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External users cannot access Contract or Files; Activated immutability behaves as documented.</w:t>
            </w:r>
          </w:p>
        </w:tc>
      </w:tr>
      <w:tr>
        <w:tc>
          <w:tcPr>
            <w:tcW w:type="dxa" w:w="2160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Access request</w:t>
            </w:r>
          </w:p>
        </w:tc>
        <w:tc>
          <w:tcPr>
            <w:tcW w:type="dxa" w:w="6192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New, role change, suspend, reactivate and revoke; recall, approve, return/reject and provisioning.</w:t>
            </w:r>
          </w:p>
        </w:tc>
        <w:tc>
          <w:tcPr>
            <w:tcW w:type="dxa" w:w="6048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Maker cannot approve; provisioning cannot occur before approval; Contact/User summaries reconcile.</w:t>
            </w:r>
          </w:p>
        </w:tc>
      </w:tr>
      <w:tr>
        <w:tc>
          <w:tcPr>
            <w:tcW w:type="dxa" w:w="2160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Quarterly review</w:t>
            </w:r>
          </w:p>
        </w:tc>
        <w:tc>
          <w:tcPr>
            <w:tcW w:type="dxa" w:w="6192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Weekly scheduler creates one Case per Account/quarter and one Task per active user; rerun creates no duplicates.</w:t>
            </w:r>
          </w:p>
        </w:tc>
        <w:tc>
          <w:tcPr>
            <w:tcW w:type="dxa" w:w="6048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All remediation outcomes have child access Cases; incomplete reviews cannot submit/complete.</w:t>
            </w:r>
          </w:p>
        </w:tc>
      </w:tr>
      <w:tr>
        <w:tc>
          <w:tcPr>
            <w:tcW w:type="dxa" w:w="2160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External isolation</w:t>
            </w:r>
          </w:p>
        </w:tc>
        <w:tc>
          <w:tcPr>
            <w:tcW w:type="dxa" w:w="6192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Two Accounts, two roles; navigation, search, direct URL, API, export and Files.</w:t>
            </w:r>
          </w:p>
        </w:tc>
        <w:tc>
          <w:tcPr>
            <w:tcW w:type="dxa" w:w="6048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No cross-client, commercial, internal Case, report/dashboard or generic Contact access.</w:t>
            </w:r>
          </w:p>
        </w:tc>
      </w:tr>
      <w:tr>
        <w:tc>
          <w:tcPr>
            <w:tcW w:type="dxa" w:w="2160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SLA</w:t>
            </w:r>
          </w:p>
        </w:tc>
        <w:tc>
          <w:tcPr>
            <w:tcW w:type="dxa" w:w="6192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External supplied values ignored; authorised Account/default used; snapshot retained.</w:t>
            </w:r>
          </w:p>
        </w:tc>
        <w:tc>
          <w:tcPr>
            <w:tcW w:type="dxa" w:w="6048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Existing operational request behaviour and Category D tests pass.</w:t>
            </w:r>
          </w:p>
        </w:tc>
      </w:tr>
      <w:tr>
        <w:tc>
          <w:tcPr>
            <w:tcW w:type="dxa" w:w="2160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Reports/audit</w:t>
            </w:r>
          </w:p>
        </w:tc>
        <w:tc>
          <w:tcPr>
            <w:tcW w:type="dxa" w:w="6192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Source totals, folder access, running users, history capacity and retention policy.</w:t>
            </w:r>
          </w:p>
        </w:tc>
        <w:tc>
          <w:tcPr>
            <w:tcW w:type="dxa" w:w="6048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No external report/builder/export access; dashboards do not broaden row access.</w:t>
            </w:r>
          </w:p>
        </w:tc>
      </w:tr>
      <w:tr>
        <w:tc>
          <w:tcPr>
            <w:tcW w:type="dxa" w:w="2160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Visual/accessibility</w:t>
            </w:r>
          </w:p>
        </w:tc>
        <w:tc>
          <w:tcPr>
            <w:tcW w:type="dxa" w:w="6192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Role/state pages compared to A-HERO-01 to A-HERO-06, with documented visual exceptions TD-03 and TD-04.</w:t>
            </w:r>
          </w:p>
        </w:tc>
        <w:tc>
          <w:tcPr>
            <w:tcW w:type="dxa" w:w="6048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Desktop/tablet/mobile, keyboard, labels, contrast and image alt text pass.</w:t>
            </w:r>
          </w:p>
        </w:tc>
      </w:tr>
    </w:tbl>
    <w:p>
      <w:pPr>
        <w:spacing w:after="0"/>
      </w:pPr>
    </w:p>
    <w:p>
      <w:pPr>
        <w:pStyle w:val="Heading1"/>
      </w:pPr>
      <w:r>
        <w:t>12. Complete Requirement-to-Workstream Matrix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4608"/>
        <w:gridCol w:w="7776"/>
      </w:tblGrid>
      <w:tr>
        <w:trPr>
          <w:tblHeader w:val="true"/>
        </w:trPr>
        <w:tc>
          <w:tcPr>
            <w:tcW w:type="dxa" w:w="5083"/>
            <w:vAlign w:val="center"/>
            <w:shd w:fill="17365D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5083"/>
            <w:vAlign w:val="center"/>
            <w:shd w:fill="17365D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Workstream(s)</w:t>
            </w:r>
          </w:p>
        </w:tc>
        <w:tc>
          <w:tcPr>
            <w:tcW w:type="dxa" w:w="5083"/>
            <w:vAlign w:val="center"/>
            <w:shd w:fill="17365D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Required evidence</w:t>
            </w:r>
          </w:p>
        </w:tc>
      </w:tr>
      <w:tr>
        <w:tc>
          <w:tcPr>
            <w:tcW w:type="dxa" w:w="2016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A-REQ-001</w:t>
            </w:r>
          </w:p>
        </w:tc>
        <w:tc>
          <w:tcPr>
            <w:tcW w:type="dxa" w:w="4608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01.2, 01.10</w:t>
            </w:r>
          </w:p>
        </w:tc>
        <w:tc>
          <w:tcPr>
            <w:tcW w:type="dxa" w:w="7776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Metadata manifest + test evidence + as-built reconciliation</w:t>
            </w:r>
          </w:p>
        </w:tc>
      </w:tr>
      <w:tr>
        <w:tc>
          <w:tcPr>
            <w:tcW w:type="dxa" w:w="2016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A-REQ-002</w:t>
            </w:r>
          </w:p>
        </w:tc>
        <w:tc>
          <w:tcPr>
            <w:tcW w:type="dxa" w:w="4608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01.3, 01.10</w:t>
            </w:r>
          </w:p>
        </w:tc>
        <w:tc>
          <w:tcPr>
            <w:tcW w:type="dxa" w:w="7776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Metadata manifest + test evidence + as-built reconciliation</w:t>
            </w:r>
          </w:p>
        </w:tc>
      </w:tr>
      <w:tr>
        <w:tc>
          <w:tcPr>
            <w:tcW w:type="dxa" w:w="2016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A-REQ-003</w:t>
            </w:r>
          </w:p>
        </w:tc>
        <w:tc>
          <w:tcPr>
            <w:tcW w:type="dxa" w:w="4608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01.3, 01.7, 01.10</w:t>
            </w:r>
          </w:p>
        </w:tc>
        <w:tc>
          <w:tcPr>
            <w:tcW w:type="dxa" w:w="7776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Metadata manifest + test evidence + as-built reconciliation</w:t>
            </w:r>
          </w:p>
        </w:tc>
      </w:tr>
      <w:tr>
        <w:tc>
          <w:tcPr>
            <w:tcW w:type="dxa" w:w="2016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A-REQ-004</w:t>
            </w:r>
          </w:p>
        </w:tc>
        <w:tc>
          <w:tcPr>
            <w:tcW w:type="dxa" w:w="4608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01.3, 01.7, 01.10</w:t>
            </w:r>
          </w:p>
        </w:tc>
        <w:tc>
          <w:tcPr>
            <w:tcW w:type="dxa" w:w="7776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Metadata manifest + test evidence + as-built reconciliation</w:t>
            </w:r>
          </w:p>
        </w:tc>
      </w:tr>
      <w:tr>
        <w:tc>
          <w:tcPr>
            <w:tcW w:type="dxa" w:w="2016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A-REQ-005</w:t>
            </w:r>
          </w:p>
        </w:tc>
        <w:tc>
          <w:tcPr>
            <w:tcW w:type="dxa" w:w="4608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01.8, 01.10</w:t>
            </w:r>
          </w:p>
        </w:tc>
        <w:tc>
          <w:tcPr>
            <w:tcW w:type="dxa" w:w="7776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Metadata manifest + test evidence + as-built reconciliation</w:t>
            </w:r>
          </w:p>
        </w:tc>
      </w:tr>
      <w:tr>
        <w:tc>
          <w:tcPr>
            <w:tcW w:type="dxa" w:w="2016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A-REQ-006</w:t>
            </w:r>
          </w:p>
        </w:tc>
        <w:tc>
          <w:tcPr>
            <w:tcW w:type="dxa" w:w="4608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01.8, 01.10</w:t>
            </w:r>
          </w:p>
        </w:tc>
        <w:tc>
          <w:tcPr>
            <w:tcW w:type="dxa" w:w="7776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Metadata manifest + test evidence + as-built reconciliation</w:t>
            </w:r>
          </w:p>
        </w:tc>
      </w:tr>
      <w:tr>
        <w:tc>
          <w:tcPr>
            <w:tcW w:type="dxa" w:w="2016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A-REQ-007</w:t>
            </w:r>
          </w:p>
        </w:tc>
        <w:tc>
          <w:tcPr>
            <w:tcW w:type="dxa" w:w="4608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01.1, 01.8, 01.10</w:t>
            </w:r>
          </w:p>
        </w:tc>
        <w:tc>
          <w:tcPr>
            <w:tcW w:type="dxa" w:w="7776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Metadata manifest + test evidence + as-built reconciliation</w:t>
            </w:r>
          </w:p>
        </w:tc>
      </w:tr>
      <w:tr>
        <w:tc>
          <w:tcPr>
            <w:tcW w:type="dxa" w:w="2016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A-REQ-008</w:t>
            </w:r>
          </w:p>
        </w:tc>
        <w:tc>
          <w:tcPr>
            <w:tcW w:type="dxa" w:w="4608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01.8, 01.9, 01.10</w:t>
            </w:r>
          </w:p>
        </w:tc>
        <w:tc>
          <w:tcPr>
            <w:tcW w:type="dxa" w:w="7776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Metadata manifest + test evidence + as-built reconciliation</w:t>
            </w:r>
          </w:p>
        </w:tc>
      </w:tr>
      <w:tr>
        <w:tc>
          <w:tcPr>
            <w:tcW w:type="dxa" w:w="2016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A-REQ-009</w:t>
            </w:r>
          </w:p>
        </w:tc>
        <w:tc>
          <w:tcPr>
            <w:tcW w:type="dxa" w:w="4608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01.1, 01.5, 01.8, 01.10</w:t>
            </w:r>
          </w:p>
        </w:tc>
        <w:tc>
          <w:tcPr>
            <w:tcW w:type="dxa" w:w="7776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Metadata manifest + test evidence + as-built reconciliation</w:t>
            </w:r>
          </w:p>
        </w:tc>
      </w:tr>
      <w:tr>
        <w:tc>
          <w:tcPr>
            <w:tcW w:type="dxa" w:w="2016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A-REQ-010</w:t>
            </w:r>
          </w:p>
        </w:tc>
        <w:tc>
          <w:tcPr>
            <w:tcW w:type="dxa" w:w="4608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01.1, 01.5, 01.6, 01.8, 01.9, 01.10</w:t>
            </w:r>
          </w:p>
        </w:tc>
        <w:tc>
          <w:tcPr>
            <w:tcW w:type="dxa" w:w="7776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Metadata manifest + test evidence + as-built reconciliation</w:t>
            </w:r>
          </w:p>
        </w:tc>
      </w:tr>
      <w:tr>
        <w:tc>
          <w:tcPr>
            <w:tcW w:type="dxa" w:w="2016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A-REQ-011</w:t>
            </w:r>
          </w:p>
        </w:tc>
        <w:tc>
          <w:tcPr>
            <w:tcW w:type="dxa" w:w="4608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All workstreams</w:t>
            </w:r>
          </w:p>
        </w:tc>
        <w:tc>
          <w:tcPr>
            <w:tcW w:type="dxa" w:w="7776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Metadata manifest + test evidence + as-built reconciliation</w:t>
            </w:r>
          </w:p>
        </w:tc>
      </w:tr>
      <w:tr>
        <w:tc>
          <w:tcPr>
            <w:tcW w:type="dxa" w:w="2016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A-REQ-012</w:t>
            </w:r>
          </w:p>
        </w:tc>
        <w:tc>
          <w:tcPr>
            <w:tcW w:type="dxa" w:w="4608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Wave 0 and 01.9</w:t>
            </w:r>
          </w:p>
        </w:tc>
        <w:tc>
          <w:tcPr>
            <w:tcW w:type="dxa" w:w="7776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Metadata manifest + test evidence + as-built reconciliation</w:t>
            </w:r>
          </w:p>
        </w:tc>
      </w:tr>
      <w:tr>
        <w:tc>
          <w:tcPr>
            <w:tcW w:type="dxa" w:w="2016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A-REQ-013</w:t>
            </w:r>
          </w:p>
        </w:tc>
        <w:tc>
          <w:tcPr>
            <w:tcW w:type="dxa" w:w="4608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All workstreams</w:t>
            </w:r>
          </w:p>
        </w:tc>
        <w:tc>
          <w:tcPr>
            <w:tcW w:type="dxa" w:w="7776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Metadata manifest + test evidence + as-built reconciliation</w:t>
            </w:r>
          </w:p>
        </w:tc>
      </w:tr>
      <w:tr>
        <w:tc>
          <w:tcPr>
            <w:tcW w:type="dxa" w:w="2016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A-REQ-014</w:t>
            </w:r>
          </w:p>
        </w:tc>
        <w:tc>
          <w:tcPr>
            <w:tcW w:type="dxa" w:w="4608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01.2, 01.10</w:t>
            </w:r>
          </w:p>
        </w:tc>
        <w:tc>
          <w:tcPr>
            <w:tcW w:type="dxa" w:w="7776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Metadata manifest + test evidence + as-built reconciliation</w:t>
            </w:r>
          </w:p>
        </w:tc>
      </w:tr>
      <w:tr>
        <w:tc>
          <w:tcPr>
            <w:tcW w:type="dxa" w:w="2016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A-REQ-015</w:t>
            </w:r>
          </w:p>
        </w:tc>
        <w:tc>
          <w:tcPr>
            <w:tcW w:type="dxa" w:w="4608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01.5, 01.6, 01.10</w:t>
            </w:r>
          </w:p>
        </w:tc>
        <w:tc>
          <w:tcPr>
            <w:tcW w:type="dxa" w:w="7776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Metadata manifest + test evidence + as-built reconciliation</w:t>
            </w:r>
          </w:p>
        </w:tc>
      </w:tr>
      <w:tr>
        <w:tc>
          <w:tcPr>
            <w:tcW w:type="dxa" w:w="2016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A-REQ-016</w:t>
            </w:r>
          </w:p>
        </w:tc>
        <w:tc>
          <w:tcPr>
            <w:tcW w:type="dxa" w:w="4608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01.2, 01.5, 01.10</w:t>
            </w:r>
          </w:p>
        </w:tc>
        <w:tc>
          <w:tcPr>
            <w:tcW w:type="dxa" w:w="7776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Metadata manifest + test evidence + as-built reconciliation</w:t>
            </w:r>
          </w:p>
        </w:tc>
      </w:tr>
      <w:tr>
        <w:tc>
          <w:tcPr>
            <w:tcW w:type="dxa" w:w="2016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A-REQ-017</w:t>
            </w:r>
          </w:p>
        </w:tc>
        <w:tc>
          <w:tcPr>
            <w:tcW w:type="dxa" w:w="4608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01.2, 01.5, 01.10</w:t>
            </w:r>
          </w:p>
        </w:tc>
        <w:tc>
          <w:tcPr>
            <w:tcW w:type="dxa" w:w="7776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Metadata manifest + test evidence + as-built reconciliation</w:t>
            </w:r>
          </w:p>
        </w:tc>
      </w:tr>
      <w:tr>
        <w:tc>
          <w:tcPr>
            <w:tcW w:type="dxa" w:w="2016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A-REQ-018</w:t>
            </w:r>
          </w:p>
        </w:tc>
        <w:tc>
          <w:tcPr>
            <w:tcW w:type="dxa" w:w="4608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01.1, 01.10</w:t>
            </w:r>
          </w:p>
        </w:tc>
        <w:tc>
          <w:tcPr>
            <w:tcW w:type="dxa" w:w="7776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Metadata manifest + test evidence + as-built reconciliation</w:t>
            </w:r>
          </w:p>
        </w:tc>
      </w:tr>
      <w:tr>
        <w:tc>
          <w:tcPr>
            <w:tcW w:type="dxa" w:w="2016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A-REQ-019</w:t>
            </w:r>
          </w:p>
        </w:tc>
        <w:tc>
          <w:tcPr>
            <w:tcW w:type="dxa" w:w="4608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01.4, 01.10</w:t>
            </w:r>
          </w:p>
        </w:tc>
        <w:tc>
          <w:tcPr>
            <w:tcW w:type="dxa" w:w="7776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Metadata manifest + test evidence + as-built reconciliation</w:t>
            </w:r>
          </w:p>
        </w:tc>
      </w:tr>
      <w:tr>
        <w:tc>
          <w:tcPr>
            <w:tcW w:type="dxa" w:w="2016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A-REQ-020</w:t>
            </w:r>
          </w:p>
        </w:tc>
        <w:tc>
          <w:tcPr>
            <w:tcW w:type="dxa" w:w="4608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01.4, 01.10</w:t>
            </w:r>
          </w:p>
        </w:tc>
        <w:tc>
          <w:tcPr>
            <w:tcW w:type="dxa" w:w="7776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Metadata manifest + test evidence + as-built reconciliation</w:t>
            </w:r>
          </w:p>
        </w:tc>
      </w:tr>
      <w:tr>
        <w:tc>
          <w:tcPr>
            <w:tcW w:type="dxa" w:w="2016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A-REQ-021</w:t>
            </w:r>
          </w:p>
        </w:tc>
        <w:tc>
          <w:tcPr>
            <w:tcW w:type="dxa" w:w="4608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01.4, 01.10</w:t>
            </w:r>
          </w:p>
        </w:tc>
        <w:tc>
          <w:tcPr>
            <w:tcW w:type="dxa" w:w="7776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Metadata manifest + test evidence + as-built reconciliation</w:t>
            </w:r>
          </w:p>
        </w:tc>
      </w:tr>
      <w:tr>
        <w:tc>
          <w:tcPr>
            <w:tcW w:type="dxa" w:w="2016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A-REQ-022</w:t>
            </w:r>
          </w:p>
        </w:tc>
        <w:tc>
          <w:tcPr>
            <w:tcW w:type="dxa" w:w="4608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01.6, 01.9, 01.10</w:t>
            </w:r>
          </w:p>
        </w:tc>
        <w:tc>
          <w:tcPr>
            <w:tcW w:type="dxa" w:w="7776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Metadata manifest + test evidence + as-built reconciliation</w:t>
            </w:r>
          </w:p>
        </w:tc>
      </w:tr>
      <w:tr>
        <w:tc>
          <w:tcPr>
            <w:tcW w:type="dxa" w:w="2016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A-REQ-023</w:t>
            </w:r>
          </w:p>
        </w:tc>
        <w:tc>
          <w:tcPr>
            <w:tcW w:type="dxa" w:w="4608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01.2, 01.3, 01.5, 01.6, 01.7</w:t>
            </w:r>
          </w:p>
        </w:tc>
        <w:tc>
          <w:tcPr>
            <w:tcW w:type="dxa" w:w="7776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Metadata manifest + test evidence + as-built reconciliation</w:t>
            </w:r>
          </w:p>
        </w:tc>
      </w:tr>
      <w:tr>
        <w:tc>
          <w:tcPr>
            <w:tcW w:type="dxa" w:w="2016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A-REQ-024</w:t>
            </w:r>
          </w:p>
        </w:tc>
        <w:tc>
          <w:tcPr>
            <w:tcW w:type="dxa" w:w="4608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01.2, 01.5, 01.6, 01.7, 01.8, 01.9</w:t>
            </w:r>
          </w:p>
        </w:tc>
        <w:tc>
          <w:tcPr>
            <w:tcW w:type="dxa" w:w="7776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Metadata manifest + test evidence + as-built reconciliation</w:t>
            </w:r>
          </w:p>
        </w:tc>
      </w:tr>
      <w:tr>
        <w:tc>
          <w:tcPr>
            <w:tcW w:type="dxa" w:w="2016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A-REQ-025</w:t>
            </w:r>
          </w:p>
        </w:tc>
        <w:tc>
          <w:tcPr>
            <w:tcW w:type="dxa" w:w="4608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01.9, 01.10</w:t>
            </w:r>
          </w:p>
        </w:tc>
        <w:tc>
          <w:tcPr>
            <w:tcW w:type="dxa" w:w="7776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Metadata manifest + test evidence + as-built reconciliation</w:t>
            </w:r>
          </w:p>
        </w:tc>
      </w:tr>
    </w:tbl>
    <w:p>
      <w:pPr>
        <w:spacing w:after="0"/>
      </w:pPr>
    </w:p>
    <w:p>
      <w:pPr>
        <w:pStyle w:val="Heading1"/>
      </w:pPr>
      <w:r>
        <w:t>13. Design-Decision-to-Workstream Matrix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5040"/>
        <w:gridCol w:w="7200"/>
      </w:tblGrid>
      <w:tr>
        <w:trPr>
          <w:tblHeader w:val="true"/>
        </w:trPr>
        <w:tc>
          <w:tcPr>
            <w:tcW w:type="dxa" w:w="5083"/>
            <w:vAlign w:val="center"/>
            <w:shd w:fill="17365D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Design decision</w:t>
            </w:r>
          </w:p>
        </w:tc>
        <w:tc>
          <w:tcPr>
            <w:tcW w:type="dxa" w:w="5083"/>
            <w:vAlign w:val="center"/>
            <w:shd w:fill="17365D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Workstream(s)</w:t>
            </w:r>
          </w:p>
        </w:tc>
        <w:tc>
          <w:tcPr>
            <w:tcW w:type="dxa" w:w="5083"/>
            <w:vAlign w:val="center"/>
            <w:shd w:fill="17365D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Gate</w:t>
            </w:r>
          </w:p>
        </w:tc>
      </w:tr>
      <w:tr>
        <w:tc>
          <w:tcPr>
            <w:tcW w:type="dxa" w:w="2160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A-DD-001</w:t>
            </w:r>
          </w:p>
        </w:tc>
        <w:tc>
          <w:tcPr>
            <w:tcW w:type="dxa" w:w="5040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All workstreams</w:t>
            </w:r>
          </w:p>
        </w:tc>
        <w:tc>
          <w:tcPr>
            <w:tcW w:type="dxa" w:w="7200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Implemented or recorded as an approved deviation before as-built approval</w:t>
            </w:r>
          </w:p>
        </w:tc>
      </w:tr>
      <w:tr>
        <w:tc>
          <w:tcPr>
            <w:tcW w:type="dxa" w:w="2160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A-DD-002</w:t>
            </w:r>
          </w:p>
        </w:tc>
        <w:tc>
          <w:tcPr>
            <w:tcW w:type="dxa" w:w="5040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01.2</w:t>
            </w:r>
          </w:p>
        </w:tc>
        <w:tc>
          <w:tcPr>
            <w:tcW w:type="dxa" w:w="7200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Implemented or recorded as an approved deviation before as-built approval</w:t>
            </w:r>
          </w:p>
        </w:tc>
      </w:tr>
      <w:tr>
        <w:tc>
          <w:tcPr>
            <w:tcW w:type="dxa" w:w="2160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A-DD-003</w:t>
            </w:r>
          </w:p>
        </w:tc>
        <w:tc>
          <w:tcPr>
            <w:tcW w:type="dxa" w:w="5040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01.1, 01.5, 01.6, 01.8</w:t>
            </w:r>
          </w:p>
        </w:tc>
        <w:tc>
          <w:tcPr>
            <w:tcW w:type="dxa" w:w="7200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Implemented or recorded as an approved deviation before as-built approval</w:t>
            </w:r>
          </w:p>
        </w:tc>
      </w:tr>
      <w:tr>
        <w:tc>
          <w:tcPr>
            <w:tcW w:type="dxa" w:w="2160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A-DD-004</w:t>
            </w:r>
          </w:p>
        </w:tc>
        <w:tc>
          <w:tcPr>
            <w:tcW w:type="dxa" w:w="5040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01.1, 01.8</w:t>
            </w:r>
          </w:p>
        </w:tc>
        <w:tc>
          <w:tcPr>
            <w:tcW w:type="dxa" w:w="7200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Implemented or recorded as an approved deviation before as-built approval</w:t>
            </w:r>
          </w:p>
        </w:tc>
      </w:tr>
      <w:tr>
        <w:tc>
          <w:tcPr>
            <w:tcW w:type="dxa" w:w="2160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A-DD-005</w:t>
            </w:r>
          </w:p>
        </w:tc>
        <w:tc>
          <w:tcPr>
            <w:tcW w:type="dxa" w:w="5040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01.2, 01.5, 01.6</w:t>
            </w:r>
          </w:p>
        </w:tc>
        <w:tc>
          <w:tcPr>
            <w:tcW w:type="dxa" w:w="7200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Implemented or recorded as an approved deviation before as-built approval</w:t>
            </w:r>
          </w:p>
        </w:tc>
      </w:tr>
      <w:tr>
        <w:tc>
          <w:tcPr>
            <w:tcW w:type="dxa" w:w="2160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A-DD-006</w:t>
            </w:r>
          </w:p>
        </w:tc>
        <w:tc>
          <w:tcPr>
            <w:tcW w:type="dxa" w:w="5040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01.4</w:t>
            </w:r>
          </w:p>
        </w:tc>
        <w:tc>
          <w:tcPr>
            <w:tcW w:type="dxa" w:w="7200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Implemented or recorded as an approved deviation before as-built approval</w:t>
            </w:r>
          </w:p>
        </w:tc>
      </w:tr>
      <w:tr>
        <w:tc>
          <w:tcPr>
            <w:tcW w:type="dxa" w:w="2160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A-DD-007</w:t>
            </w:r>
          </w:p>
        </w:tc>
        <w:tc>
          <w:tcPr>
            <w:tcW w:type="dxa" w:w="5040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01.2, 01.5</w:t>
            </w:r>
          </w:p>
        </w:tc>
        <w:tc>
          <w:tcPr>
            <w:tcW w:type="dxa" w:w="7200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Implemented or recorded as an approved deviation before as-built approval</w:t>
            </w:r>
          </w:p>
        </w:tc>
      </w:tr>
      <w:tr>
        <w:tc>
          <w:tcPr>
            <w:tcW w:type="dxa" w:w="2160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A-DD-008</w:t>
            </w:r>
          </w:p>
        </w:tc>
        <w:tc>
          <w:tcPr>
            <w:tcW w:type="dxa" w:w="5040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01.6, 01.9</w:t>
            </w:r>
          </w:p>
        </w:tc>
        <w:tc>
          <w:tcPr>
            <w:tcW w:type="dxa" w:w="7200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Implemented or recorded as an approved deviation before as-built approval</w:t>
            </w:r>
          </w:p>
        </w:tc>
      </w:tr>
      <w:tr>
        <w:tc>
          <w:tcPr>
            <w:tcW w:type="dxa" w:w="2160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A-DD-009</w:t>
            </w:r>
          </w:p>
        </w:tc>
        <w:tc>
          <w:tcPr>
            <w:tcW w:type="dxa" w:w="5040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01.4</w:t>
            </w:r>
          </w:p>
        </w:tc>
        <w:tc>
          <w:tcPr>
            <w:tcW w:type="dxa" w:w="7200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Implemented or recorded as an approved deviation before as-built approval</w:t>
            </w:r>
          </w:p>
        </w:tc>
      </w:tr>
      <w:tr>
        <w:tc>
          <w:tcPr>
            <w:tcW w:type="dxa" w:w="2160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A-DD-010</w:t>
            </w:r>
          </w:p>
        </w:tc>
        <w:tc>
          <w:tcPr>
            <w:tcW w:type="dxa" w:w="5040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01.2, 01.3, 01.5, 01.6, 01.7, 01.8</w:t>
            </w:r>
          </w:p>
        </w:tc>
        <w:tc>
          <w:tcPr>
            <w:tcW w:type="dxa" w:w="7200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Implemented or recorded as an approved deviation before as-built approval</w:t>
            </w:r>
          </w:p>
        </w:tc>
      </w:tr>
      <w:tr>
        <w:tc>
          <w:tcPr>
            <w:tcW w:type="dxa" w:w="2160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A-DD-011</w:t>
            </w:r>
          </w:p>
        </w:tc>
        <w:tc>
          <w:tcPr>
            <w:tcW w:type="dxa" w:w="5040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01.9</w:t>
            </w:r>
          </w:p>
        </w:tc>
        <w:tc>
          <w:tcPr>
            <w:tcW w:type="dxa" w:w="7200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Implemented or recorded as an approved deviation before as-built approval</w:t>
            </w:r>
          </w:p>
        </w:tc>
      </w:tr>
    </w:tbl>
    <w:p>
      <w:pPr>
        <w:spacing w:after="0"/>
      </w:pPr>
    </w:p>
    <w:p>
      <w:pPr>
        <w:pStyle w:val="Heading1"/>
      </w:pPr>
      <w:r>
        <w:t>14. Required Cursor Deliverables</w:t>
      </w:r>
    </w:p>
    <w:p>
      <w:pPr>
        <w:pStyle w:val="ListBullet"/>
        <w:spacing w:after="40"/>
      </w:pPr>
      <w:r>
        <w:t>Pre-change impact report before any source file is modified, including runtime features, licences, assignments, data volumes, route ownership and conflicting automation.</w:t>
      </w:r>
    </w:p>
    <w:p>
      <w:pPr>
        <w:pStyle w:val="ListBullet"/>
        <w:spacing w:after="40"/>
      </w:pPr>
      <w:r>
        <w:t>Exact create/modify/retain/hide/deactivate/delete manifest grouped by workstream, with API name, type, dependency, requirement and design-decision references.</w:t>
      </w:r>
    </w:p>
    <w:p>
      <w:pPr>
        <w:pStyle w:val="ListBullet"/>
        <w:spacing w:after="40"/>
      </w:pPr>
      <w:r>
        <w:t>Source-control diff and plain-language explanation for every component.</w:t>
      </w:r>
    </w:p>
    <w:p>
      <w:pPr>
        <w:pStyle w:val="ListBullet"/>
        <w:spacing w:after="40"/>
      </w:pPr>
      <w:r>
        <w:t>Data-remediation scripts or workbooks with dry-run and before/after reconciliation.</w:t>
      </w:r>
    </w:p>
    <w:p>
      <w:pPr>
        <w:pStyle w:val="ListBullet"/>
        <w:spacing w:after="40"/>
      </w:pPr>
      <w:r>
        <w:t>Check-only and deployment commands, Apex and Flow test evidence, and permission/sharing test results.</w:t>
      </w:r>
    </w:p>
    <w:p>
      <w:pPr>
        <w:pStyle w:val="ListBullet"/>
        <w:spacing w:after="40"/>
      </w:pPr>
      <w:r>
        <w:t>Cross-category regression report for Contact consent automation, Experience Cloud routes and report-request SLA behaviour.</w:t>
      </w:r>
    </w:p>
    <w:p>
      <w:pPr>
        <w:pStyle w:val="ListBullet"/>
        <w:spacing w:after="40"/>
      </w:pPr>
      <w:r>
        <w:t>Rollback manifest and step-by-step rollback procedure for every wave.</w:t>
      </w:r>
    </w:p>
    <w:p>
      <w:pPr>
        <w:pStyle w:val="ListBullet"/>
        <w:spacing w:after="40"/>
      </w:pPr>
      <w:r>
        <w:t>Post-deployment metadata ZIP, SHA-256, runtime evidence and complete as-built reconciliation.</w:t>
      </w:r>
    </w:p>
    <w:p>
      <w:pPr>
        <w:pStyle w:val="ListBullet"/>
        <w:spacing w:after="40"/>
      </w:pPr>
      <w:r>
        <w:t>Explicit deviation register. Cursor must stop and request approval rather than inventing an alternative.</w:t>
      </w:r>
    </w:p>
    <w:p>
      <w:pPr>
        <w:pStyle w:val="Heading1"/>
      </w:pPr>
      <w:r>
        <w:t>15. As-Built Verification Gate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44"/>
        <w:gridCol w:w="10656"/>
      </w:tblGrid>
      <w:tr>
        <w:trPr>
          <w:tblHeader w:val="true"/>
        </w:trPr>
        <w:tc>
          <w:tcPr>
            <w:tcW w:type="dxa" w:w="7625"/>
            <w:vAlign w:val="center"/>
            <w:shd w:fill="17365D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Verification step</w:t>
            </w:r>
          </w:p>
        </w:tc>
        <w:tc>
          <w:tcPr>
            <w:tcW w:type="dxa" w:w="7625"/>
            <w:vAlign w:val="center"/>
            <w:shd w:fill="17365D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Acceptance condition</w:t>
            </w:r>
          </w:p>
        </w:tc>
      </w:tr>
      <w:tr>
        <w:tc>
          <w:tcPr>
            <w:tcW w:type="dxa" w:w="374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Fresh metadata extraction</w:t>
            </w:r>
          </w:p>
        </w:tc>
        <w:tc>
          <w:tcPr>
            <w:tcW w:type="dxa" w:w="10656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New ZIP produced, hashed and compared with the approved manifest.</w:t>
            </w:r>
          </w:p>
        </w:tc>
      </w:tr>
      <w:tr>
        <w:tc>
          <w:tcPr>
            <w:tcW w:type="dxa" w:w="3744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Requirement reconciliation</w:t>
            </w:r>
          </w:p>
        </w:tc>
        <w:tc>
          <w:tcPr>
            <w:tcW w:type="dxa" w:w="10656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Every A-REQ-001 through A-REQ-025 maps to deployed metadata, runtime evidence and test results.</w:t>
            </w:r>
          </w:p>
        </w:tc>
      </w:tr>
      <w:tr>
        <w:tc>
          <w:tcPr>
            <w:tcW w:type="dxa" w:w="374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Design-decision reconciliation</w:t>
            </w:r>
          </w:p>
        </w:tc>
        <w:tc>
          <w:tcPr>
            <w:tcW w:type="dxa" w:w="10656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Every A-DD-001 through A-DD-011 is implemented or covered by an approved deviation.</w:t>
            </w:r>
          </w:p>
        </w:tc>
      </w:tr>
      <w:tr>
        <w:tc>
          <w:tcPr>
            <w:tcW w:type="dxa" w:w="3744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Technical-decision reconciliation</w:t>
            </w:r>
          </w:p>
        </w:tc>
        <w:tc>
          <w:tcPr>
            <w:tcW w:type="dxa" w:w="10656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Every TD-01 through TD-10 is satisfied and documented.</w:t>
            </w:r>
          </w:p>
        </w:tc>
      </w:tr>
      <w:tr>
        <w:tc>
          <w:tcPr>
            <w:tcW w:type="dxa" w:w="374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Security verification</w:t>
            </w:r>
          </w:p>
        </w:tc>
        <w:tc>
          <w:tcPr>
            <w:tcW w:type="dxa" w:w="10656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Two-client isolation, least privilege, self-approval denial, pre-approval provisioning denial and external commercial/File/report denial pass.</w:t>
            </w:r>
          </w:p>
        </w:tc>
      </w:tr>
      <w:tr>
        <w:tc>
          <w:tcPr>
            <w:tcW w:type="dxa" w:w="3744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Process verification</w:t>
            </w:r>
          </w:p>
        </w:tc>
        <w:tc>
          <w:tcPr>
            <w:tcW w:type="dxa" w:w="10656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Account, Opportunity, Contract, onboarding, access-request and quarterly-review lifecycles pass with idempotency and fault handling.</w:t>
            </w:r>
          </w:p>
        </w:tc>
      </w:tr>
      <w:tr>
        <w:tc>
          <w:tcPr>
            <w:tcW w:type="dxa" w:w="374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Cross-category verification</w:t>
            </w:r>
          </w:p>
        </w:tc>
        <w:tc>
          <w:tcPr>
            <w:tcW w:type="dxa" w:w="10656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Category B consent processing, Categories B-F Experience routes and existing report-request behaviour are not regressed.</w:t>
            </w:r>
          </w:p>
        </w:tc>
      </w:tr>
      <w:tr>
        <w:tc>
          <w:tcPr>
            <w:tcW w:type="dxa" w:w="3744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Visual verification</w:t>
            </w:r>
          </w:p>
        </w:tc>
        <w:tc>
          <w:tcPr>
            <w:tcW w:type="dxa" w:w="10656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Pages align to the approved hero scenarios, subject to documented functional precedence and visual exceptions.</w:t>
            </w:r>
          </w:p>
        </w:tc>
      </w:tr>
      <w:tr>
        <w:tc>
          <w:tcPr>
            <w:tcW w:type="dxa" w:w="374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Open defects</w:t>
            </w:r>
          </w:p>
        </w:tc>
        <w:tc>
          <w:tcPr>
            <w:tcW w:type="dxa" w:w="10656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No unresolved P1 or P2 design or security deviation.</w:t>
            </w:r>
          </w:p>
        </w:tc>
      </w:tr>
      <w:tr>
        <w:tc>
          <w:tcPr>
            <w:tcW w:type="dxa" w:w="3744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UAT authorisation</w:t>
            </w:r>
          </w:p>
        </w:tc>
        <w:tc>
          <w:tcPr>
            <w:tcW w:type="dxa" w:w="10656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Only an approved as-built reconciliation authorises generation of the UAT pack.</w:t>
            </w:r>
          </w:p>
        </w:tc>
      </w:tr>
    </w:tbl>
    <w:p>
      <w:pPr>
        <w:spacing w:after="0"/>
      </w:pPr>
    </w:p>
    <w:p>
      <w:pPr>
        <w:pStyle w:val="Heading1"/>
      </w:pPr>
      <w:r>
        <w:t>16. Approval Gate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250"/>
      </w:tblGrid>
      <w:tr>
        <w:tc>
          <w:tcPr>
            <w:tcW w:type="dxa" w:w="15250"/>
            <w:shd w:fill="E2F0D9"/>
            <w:vAlign w:val="center"/>
            <w:tcBorders>
              <w:top w:val="single" w:sz="8" w:color="17365D"/>
              <w:left w:val="single" w:sz="8" w:color="17365D"/>
              <w:bottom w:val="single" w:sz="8" w:color="17365D"/>
              <w:right w:val="single" w:sz="8" w:color="17365D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Approval of v1.1 authorises generation of workstream-specific Cursor prompts and controlled Sandbox implementation. It does not authorise production deployment or UAT execution. Each workstream still requires its approved pre-change impact report and exact manifest.</w:t>
            </w:r>
          </w:p>
        </w:tc>
        <w:trPr>
          <w:tblHeader/>
        </w:trPr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032"/>
        <w:gridCol w:w="10368"/>
      </w:tblGrid>
      <w:tr>
        <w:trPr>
          <w:tblHeader w:val="true"/>
        </w:trPr>
        <w:tc>
          <w:tcPr>
            <w:tcW w:type="dxa" w:w="7625"/>
            <w:vAlign w:val="center"/>
            <w:shd w:fill="17365D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Approval item</w:t>
            </w:r>
          </w:p>
        </w:tc>
        <w:tc>
          <w:tcPr>
            <w:tcW w:type="dxa" w:w="7625"/>
            <w:vAlign w:val="center"/>
            <w:shd w:fill="17365D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Decision</w:t>
            </w:r>
          </w:p>
        </w:tc>
      </w:tr>
      <w:tr>
        <w:tc>
          <w:tcPr>
            <w:tcW w:type="dxa" w:w="4032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Plan quality and v1.4 consistency</w:t>
            </w:r>
          </w:p>
        </w:tc>
        <w:tc>
          <w:tcPr>
            <w:tcW w:type="dxa" w:w="10368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Corrected and complete.</w:t>
            </w:r>
          </w:p>
        </w:tc>
      </w:tr>
      <w:tr>
        <w:tc>
          <w:tcPr>
            <w:tcW w:type="dxa" w:w="4032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Runtime assumptions</w:t>
            </w:r>
          </w:p>
        </w:tc>
        <w:tc>
          <w:tcPr>
            <w:tcW w:type="dxa" w:w="10368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None are treated as proven; all are captured as Wave 0 or workstream gates.</w:t>
            </w:r>
          </w:p>
        </w:tc>
      </w:tr>
      <w:tr>
        <w:tc>
          <w:tcPr>
            <w:tcW w:type="dxa" w:w="4032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Production deployment</w:t>
            </w:r>
          </w:p>
        </w:tc>
        <w:tc>
          <w:tcPr>
            <w:tcW w:type="dxa" w:w="10368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Not authorised.</w:t>
            </w:r>
          </w:p>
        </w:tc>
      </w:tr>
      <w:tr>
        <w:tc>
          <w:tcPr>
            <w:tcW w:type="dxa" w:w="4032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UAT generation/execution</w:t>
            </w:r>
          </w:p>
        </w:tc>
        <w:tc>
          <w:tcPr>
            <w:tcW w:type="dxa" w:w="10368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Not authorised until as-built verification is approved.</w:t>
            </w:r>
          </w:p>
        </w:tc>
      </w:tr>
      <w:tr>
        <w:tc>
          <w:tcPr>
            <w:tcW w:type="dxa" w:w="4032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Next controlled document</w:t>
            </w:r>
          </w:p>
        </w:tc>
        <w:tc>
          <w:tcPr>
            <w:tcW w:type="dxa" w:w="10368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A-IMP-01.1 Cursor Execution Prompt - Client User and Data Subject Separation.</w:t>
            </w:r>
          </w:p>
        </w:tc>
      </w:tr>
    </w:tbl>
    <w:p>
      <w:pPr>
        <w:spacing w:after="0"/>
      </w:pPr>
    </w:p>
    <w:p>
      <w:pPr>
        <w:pStyle w:val="Heading1"/>
      </w:pPr>
      <w:r>
        <w:t>Appendix A - Primary Salesforce Platform References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10080"/>
      </w:tblGrid>
      <w:tr>
        <w:trPr>
          <w:tblHeader w:val="true"/>
        </w:trPr>
        <w:tc>
          <w:tcPr>
            <w:tcW w:type="dxa" w:w="7625"/>
            <w:vAlign w:val="center"/>
            <w:shd w:fill="17365D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Reference topic</w:t>
            </w:r>
          </w:p>
        </w:tc>
        <w:tc>
          <w:tcPr>
            <w:tcW w:type="dxa" w:w="7625"/>
            <w:vAlign w:val="center"/>
            <w:shd w:fill="17365D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Implementation relevance</w:t>
            </w:r>
          </w:p>
        </w:tc>
      </w:tr>
      <w:tr>
        <w:tc>
          <w:tcPr>
            <w:tcW w:type="dxa" w:w="4320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Schedule-Triggered Flows</w:t>
            </w:r>
          </w:p>
        </w:tc>
        <w:tc>
          <w:tcPr>
            <w:tcW w:type="dxa" w:w="10080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Schedule-triggered flows run one time, daily or weekly; quarterly creation therefore requires a weekly/daily schedule plus a quarter/idempotency guard.</w:t>
            </w:r>
          </w:p>
        </w:tc>
      </w:tr>
      <w:tr>
        <w:tc>
          <w:tcPr>
            <w:tcW w:type="dxa" w:w="4320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Flow Approval Processes and Recall Approval Submission</w:t>
            </w:r>
          </w:p>
        </w:tc>
        <w:tc>
          <w:tcPr>
            <w:tcW w:type="dxa" w:w="10080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Flow approvals support dynamic routing and recall paths; recall is limited to the submitter or an Approval Admin under the documented conditions.</w:t>
            </w:r>
          </w:p>
        </w:tc>
      </w:tr>
      <w:tr>
        <w:tc>
          <w:tcPr>
            <w:tcW w:type="dxa" w:w="4320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Create a Sharing Set for Experience Cloud Site Users</w:t>
            </w:r>
          </w:p>
        </w:tc>
        <w:tc>
          <w:tcPr>
            <w:tcW w:type="dxa" w:w="10080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Sharing sets grant record access through Account/Contact mappings; licence-supported behaviour must be verified before own-Contact implementation.</w:t>
            </w:r>
          </w:p>
        </w:tc>
      </w:tr>
      <w:tr>
        <w:tc>
          <w:tcPr>
            <w:tcW w:type="dxa" w:w="4320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Things to Know About Contracts / Contract Fields</w:t>
            </w:r>
          </w:p>
        </w:tc>
        <w:tc>
          <w:tcPr>
            <w:tcW w:type="dxa" w:w="10080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Start Date and Contract Term are required and End Date can be system-calculated.</w:t>
            </w:r>
          </w:p>
        </w:tc>
      </w:tr>
      <w:tr>
        <w:tc>
          <w:tcPr>
            <w:tcW w:type="dxa" w:w="4320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Activated Contract behaviour</w:t>
            </w:r>
          </w:p>
        </w:tc>
        <w:tc>
          <w:tcPr>
            <w:tcW w:type="dxa" w:w="10080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Activated Contracts are read-only for ordinary users and cannot be returned to Draft; renewal/amendment design must preserve history.</w:t>
            </w:r>
          </w:p>
        </w:tc>
      </w:tr>
      <w:tr>
        <w:tc>
          <w:tcPr>
            <w:tcW w:type="dxa" w:w="4320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Field History Tracking / Field Audit Trail</w:t>
            </w:r>
          </w:p>
        </w:tc>
        <w:tc>
          <w:tcPr>
            <w:tcW w:type="dxa" w:w="10080"/>
            <w:vAlign w:val="center"/>
            <w:shd w:fill="EEF5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Standard history field and retention limits must be counted; Shield Field Audit Trail is governed by Category H retention approval.</w:t>
            </w:r>
          </w:p>
        </w:tc>
      </w:tr>
    </w:tbl>
    <w:sectPr w:rsidR="00FC693F" w:rsidRPr="0006063C" w:rsidSect="00034616">
      <w:footerReference w:type="default" r:id="rId10"/>
      <w:pgSz w:w="16834" w:h="11909" w:orient="landscape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1F4E78"/>
        <w:sz w:val="16"/>
      </w:rPr>
      <w:t>CBS Category A | A-IMP-01 v1.1 | Controlled implementation planning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1F4E78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CBS Category A A-IMP-01 Implementation Mapping and Deployment Plan v1.1</dc:title>
  <dc:subject>Corrected implementation mapping aligned to Category A Solution Design v1.4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