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left"/>
      </w:pPr>
      <w:r>
        <w:drawing>
          <wp:inline xmlns:a="http://schemas.openxmlformats.org/drawingml/2006/main" xmlns:pic="http://schemas.openxmlformats.org/drawingml/2006/picture">
            <wp:extent cx="1874519" cy="1051866"/>
            <wp:docPr id="1" name="Picture 1" title="CBS logo" descr="Credit Bureau Singapore logo"/>
            <wp:cNvGraphicFramePr>
              <a:graphicFrameLocks noChangeAspect="1"/>
            </wp:cNvGraphicFramePr>
            <a:graphic>
              <a:graphicData uri="http://schemas.openxmlformats.org/drawingml/2006/picture">
                <pic:pic>
                  <pic:nvPicPr>
                    <pic:cNvPr id="0" name="20ad0cde-8d9b-40b5-99e1-17203aca04dd.png"/>
                    <pic:cNvPicPr/>
                  </pic:nvPicPr>
                  <pic:blipFill>
                    <a:blip r:embed="rId11"/>
                    <a:stretch>
                      <a:fillRect/>
                    </a:stretch>
                  </pic:blipFill>
                  <pic:spPr>
                    <a:xfrm>
                      <a:off x="0" y="0"/>
                      <a:ext cx="1874519" cy="1051866"/>
                    </a:xfrm>
                    <a:prstGeom prst="rect"/>
                  </pic:spPr>
                </pic:pic>
              </a:graphicData>
            </a:graphic>
          </wp:inline>
        </w:drawing>
      </w:r>
    </w:p>
    <w:p>
      <w:pPr>
        <w:pStyle w:val="Title"/>
        <w:spacing w:after="60"/>
      </w:pPr>
      <w:r>
        <w:t>CBS Salesforce Category A</w:t>
      </w:r>
    </w:p>
    <w:p>
      <w:pPr>
        <w:pStyle w:val="Subtitle"/>
      </w:pPr>
      <w:r>
        <w:t>A-IMP-02 - Client User and Data Subject Separation</w:t>
      </w:r>
    </w:p>
    <w:p>
      <w:pPr>
        <w:pStyle w:val="Subtitle"/>
        <w:spacing w:after="360"/>
      </w:pPr>
      <w:r>
        <w:t>Cursor Execution Prompt</w:t>
      </w:r>
    </w:p>
    <w:p>
      <w:pPr>
        <w:spacing w:before="80" w:after="120"/>
        <w:ind w:left="173" w:right="72"/>
        <w:shd w:fill="E2F0D9"/>
        <w:pBdr>
          <w:left w:val="single" w:sz="18" w:space="6" w:color="70AD47"/>
        </w:pBdr>
      </w:pPr>
      <w:r>
        <w:rPr>
          <w:b/>
          <w:color w:val="17365D"/>
        </w:rPr>
        <w:t>Status</w:t>
        <w:br/>
      </w:r>
      <w:r>
        <w:t>A-IMP-01 v1.1 approved. This prompt is authorised for controlled analysis and Sandbox implementation, subject to its two-gate execution model.</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2592"/>
            <w:shd w:fill="17365D"/>
            <w:tcMar>
              <w:top w:w="90" w:type="dxa"/>
              <w:start w:w="100" w:type="dxa"/>
              <w:bottom w:w="90" w:type="dxa"/>
              <w:end w:w="100" w:type="dxa"/>
            </w:tcMar>
          </w:tcPr>
          <w:p>
            <w:pPr>
              <w:jc w:val="left"/>
            </w:pPr>
            <w:r>
              <w:rPr>
                <w:rFonts w:ascii="Arial" w:hAnsi="Arial"/>
                <w:b/>
                <w:color w:val="FFFFFF"/>
                <w:sz w:val="18"/>
              </w:rPr>
              <w:t>Control</w:t>
            </w:r>
          </w:p>
        </w:tc>
        <w:tc>
          <w:tcPr>
            <w:tcW w:type="dxa" w:w="7776"/>
            <w:shd w:fill="17365D"/>
            <w:tcMar>
              <w:top w:w="90" w:type="dxa"/>
              <w:start w:w="100" w:type="dxa"/>
              <w:bottom w:w="90" w:type="dxa"/>
              <w:end w:w="100" w:type="dxa"/>
            </w:tcMar>
          </w:tcPr>
          <w:p>
            <w:pPr>
              <w:jc w:val="left"/>
            </w:pPr>
            <w:r>
              <w:rPr>
                <w:rFonts w:ascii="Arial" w:hAnsi="Arial"/>
                <w:b/>
                <w:color w:val="FFFFFF"/>
                <w:sz w:val="18"/>
              </w:rPr>
              <w:t>Value</w:t>
            </w:r>
          </w:p>
        </w:tc>
      </w:tr>
      <w:tr>
        <w:trPr>
          <w:trHeight w:hRule="atLeast"/>
        </w:trPr>
        <w:tc>
          <w:tcPr>
            <w:tcW w:type="dxa" w:w="2592"/>
            <w:tcMar>
              <w:top w:w="90" w:type="dxa"/>
              <w:start w:w="100" w:type="dxa"/>
              <w:bottom w:w="90" w:type="dxa"/>
              <w:end w:w="100" w:type="dxa"/>
            </w:tcMar>
            <w:vAlign w:val="top"/>
            <w:shd w:fill="F4F7FA"/>
          </w:tcPr>
          <w:p>
            <w:r>
              <w:rPr>
                <w:rFonts w:ascii="Arial" w:hAnsi="Arial"/>
                <w:sz w:val="18"/>
              </w:rPr>
              <w:t>Version</w:t>
            </w:r>
          </w:p>
        </w:tc>
        <w:tc>
          <w:tcPr>
            <w:tcW w:type="dxa" w:w="7776"/>
            <w:tcMar>
              <w:top w:w="90" w:type="dxa"/>
              <w:start w:w="100" w:type="dxa"/>
              <w:bottom w:w="90" w:type="dxa"/>
              <w:end w:w="100" w:type="dxa"/>
            </w:tcMar>
            <w:vAlign w:val="top"/>
            <w:shd w:fill="F4F7FA"/>
          </w:tcPr>
          <w:p>
            <w:r>
              <w:rPr>
                <w:rFonts w:ascii="Arial" w:hAnsi="Arial"/>
                <w:sz w:val="18"/>
              </w:rPr>
              <w:t>1.0</w:t>
            </w:r>
          </w:p>
        </w:tc>
      </w:tr>
      <w:tr>
        <w:trPr>
          <w:trHeight w:hRule="atLeast"/>
        </w:trPr>
        <w:tc>
          <w:tcPr>
            <w:tcW w:type="dxa" w:w="2592"/>
            <w:tcMar>
              <w:top w:w="90" w:type="dxa"/>
              <w:start w:w="100" w:type="dxa"/>
              <w:bottom w:w="90" w:type="dxa"/>
              <w:end w:w="100" w:type="dxa"/>
            </w:tcMar>
            <w:vAlign w:val="top"/>
          </w:tcPr>
          <w:p>
            <w:r>
              <w:rPr>
                <w:rFonts w:ascii="Arial" w:hAnsi="Arial"/>
                <w:sz w:val="18"/>
              </w:rPr>
              <w:t>Approval date</w:t>
            </w:r>
          </w:p>
        </w:tc>
        <w:tc>
          <w:tcPr>
            <w:tcW w:type="dxa" w:w="7776"/>
            <w:tcMar>
              <w:top w:w="90" w:type="dxa"/>
              <w:start w:w="100" w:type="dxa"/>
              <w:bottom w:w="90" w:type="dxa"/>
              <w:end w:w="100" w:type="dxa"/>
            </w:tcMar>
            <w:vAlign w:val="top"/>
          </w:tcPr>
          <w:p>
            <w:r>
              <w:rPr>
                <w:rFonts w:ascii="Arial" w:hAnsi="Arial"/>
                <w:sz w:val="18"/>
              </w:rPr>
              <w:t>19 July 2026</w:t>
            </w:r>
          </w:p>
        </w:tc>
      </w:tr>
      <w:tr>
        <w:trPr>
          <w:trHeight w:hRule="atLeast"/>
        </w:trPr>
        <w:tc>
          <w:tcPr>
            <w:tcW w:type="dxa" w:w="2592"/>
            <w:tcMar>
              <w:top w:w="90" w:type="dxa"/>
              <w:start w:w="100" w:type="dxa"/>
              <w:bottom w:w="90" w:type="dxa"/>
              <w:end w:w="100" w:type="dxa"/>
            </w:tcMar>
            <w:vAlign w:val="top"/>
            <w:shd w:fill="F4F7FA"/>
          </w:tcPr>
          <w:p>
            <w:r>
              <w:rPr>
                <w:rFonts w:ascii="Arial" w:hAnsi="Arial"/>
                <w:sz w:val="18"/>
              </w:rPr>
              <w:t>Authoritative target design</w:t>
            </w:r>
          </w:p>
        </w:tc>
        <w:tc>
          <w:tcPr>
            <w:tcW w:type="dxa" w:w="7776"/>
            <w:tcMar>
              <w:top w:w="90" w:type="dxa"/>
              <w:start w:w="100" w:type="dxa"/>
              <w:bottom w:w="90" w:type="dxa"/>
              <w:end w:w="100" w:type="dxa"/>
            </w:tcMar>
            <w:vAlign w:val="top"/>
            <w:shd w:fill="F4F7FA"/>
          </w:tcPr>
          <w:p>
            <w:r>
              <w:rPr>
                <w:rFonts w:ascii="Arial" w:hAnsi="Arial"/>
                <w:sz w:val="18"/>
              </w:rPr>
              <w:t>CBS Category A Solution Design v1.4</w:t>
            </w:r>
          </w:p>
        </w:tc>
      </w:tr>
      <w:tr>
        <w:trPr>
          <w:trHeight w:hRule="atLeast"/>
        </w:trPr>
        <w:tc>
          <w:tcPr>
            <w:tcW w:type="dxa" w:w="2592"/>
            <w:tcMar>
              <w:top w:w="90" w:type="dxa"/>
              <w:start w:w="100" w:type="dxa"/>
              <w:bottom w:w="90" w:type="dxa"/>
              <w:end w:w="100" w:type="dxa"/>
            </w:tcMar>
            <w:vAlign w:val="top"/>
          </w:tcPr>
          <w:p>
            <w:r>
              <w:rPr>
                <w:rFonts w:ascii="Arial" w:hAnsi="Arial"/>
                <w:sz w:val="18"/>
              </w:rPr>
              <w:t>Approved implementation plan</w:t>
            </w:r>
          </w:p>
        </w:tc>
        <w:tc>
          <w:tcPr>
            <w:tcW w:type="dxa" w:w="7776"/>
            <w:tcMar>
              <w:top w:w="90" w:type="dxa"/>
              <w:start w:w="100" w:type="dxa"/>
              <w:bottom w:w="90" w:type="dxa"/>
              <w:end w:w="100" w:type="dxa"/>
            </w:tcMar>
            <w:vAlign w:val="top"/>
          </w:tcPr>
          <w:p>
            <w:r>
              <w:rPr>
                <w:rFonts w:ascii="Arial" w:hAnsi="Arial"/>
                <w:sz w:val="18"/>
              </w:rPr>
              <w:t>A-IMP-01 v1.1 - Corrected Implementation-Ready Baseline</w:t>
            </w:r>
          </w:p>
        </w:tc>
      </w:tr>
      <w:tr>
        <w:trPr>
          <w:trHeight w:hRule="atLeast"/>
        </w:trPr>
        <w:tc>
          <w:tcPr>
            <w:tcW w:type="dxa" w:w="2592"/>
            <w:tcMar>
              <w:top w:w="90" w:type="dxa"/>
              <w:start w:w="100" w:type="dxa"/>
              <w:bottom w:w="90" w:type="dxa"/>
              <w:end w:w="100" w:type="dxa"/>
            </w:tcMar>
            <w:vAlign w:val="top"/>
            <w:shd w:fill="F4F7FA"/>
          </w:tcPr>
          <w:p>
            <w:r>
              <w:rPr>
                <w:rFonts w:ascii="Arial" w:hAnsi="Arial"/>
                <w:sz w:val="18"/>
              </w:rPr>
              <w:t>Technical baseline</w:t>
            </w:r>
          </w:p>
        </w:tc>
        <w:tc>
          <w:tcPr>
            <w:tcW w:type="dxa" w:w="7776"/>
            <w:tcMar>
              <w:top w:w="90" w:type="dxa"/>
              <w:start w:w="100" w:type="dxa"/>
              <w:bottom w:w="90" w:type="dxa"/>
              <w:end w:w="100" w:type="dxa"/>
            </w:tcMar>
            <w:vAlign w:val="top"/>
            <w:shd w:fill="F4F7FA"/>
          </w:tcPr>
          <w:p>
            <w:r>
              <w:rPr>
                <w:rFonts w:ascii="Arial" w:hAnsi="Arial"/>
                <w:sz w:val="18"/>
              </w:rPr>
              <w:t>Credit Bureau Sandbox 20260715.zip</w:t>
            </w:r>
          </w:p>
        </w:tc>
      </w:tr>
      <w:tr>
        <w:trPr>
          <w:trHeight w:hRule="atLeast"/>
        </w:trPr>
        <w:tc>
          <w:tcPr>
            <w:tcW w:type="dxa" w:w="2592"/>
            <w:tcMar>
              <w:top w:w="90" w:type="dxa"/>
              <w:start w:w="100" w:type="dxa"/>
              <w:bottom w:w="90" w:type="dxa"/>
              <w:end w:w="100" w:type="dxa"/>
            </w:tcMar>
            <w:vAlign w:val="top"/>
          </w:tcPr>
          <w:p>
            <w:r>
              <w:rPr>
                <w:rFonts w:ascii="Arial" w:hAnsi="Arial"/>
                <w:sz w:val="18"/>
              </w:rPr>
              <w:t>Baseline SHA-256</w:t>
            </w:r>
          </w:p>
        </w:tc>
        <w:tc>
          <w:tcPr>
            <w:tcW w:type="dxa" w:w="7776"/>
            <w:tcMar>
              <w:top w:w="90" w:type="dxa"/>
              <w:start w:w="100" w:type="dxa"/>
              <w:bottom w:w="90" w:type="dxa"/>
              <w:end w:w="100" w:type="dxa"/>
            </w:tcMar>
            <w:vAlign w:val="top"/>
          </w:tcPr>
          <w:p>
            <w:r>
              <w:rPr>
                <w:rFonts w:ascii="Arial" w:hAnsi="Arial"/>
                <w:sz w:val="18"/>
              </w:rPr>
              <w:t>a3c337d997a556dca2cd53492a5621dce09a39b4f9454ac0d24e7d88a6a93a80</w:t>
            </w:r>
          </w:p>
        </w:tc>
      </w:tr>
      <w:tr>
        <w:trPr>
          <w:trHeight w:hRule="atLeast"/>
        </w:trPr>
        <w:tc>
          <w:tcPr>
            <w:tcW w:type="dxa" w:w="2592"/>
            <w:tcMar>
              <w:top w:w="90" w:type="dxa"/>
              <w:start w:w="100" w:type="dxa"/>
              <w:bottom w:w="90" w:type="dxa"/>
              <w:end w:w="100" w:type="dxa"/>
            </w:tcMar>
            <w:vAlign w:val="top"/>
            <w:shd w:fill="F4F7FA"/>
          </w:tcPr>
          <w:p>
            <w:r>
              <w:rPr>
                <w:rFonts w:ascii="Arial" w:hAnsi="Arial"/>
                <w:sz w:val="18"/>
              </w:rPr>
              <w:t>Salesforce source API version</w:t>
            </w:r>
          </w:p>
        </w:tc>
        <w:tc>
          <w:tcPr>
            <w:tcW w:type="dxa" w:w="7776"/>
            <w:tcMar>
              <w:top w:w="90" w:type="dxa"/>
              <w:start w:w="100" w:type="dxa"/>
              <w:bottom w:w="90" w:type="dxa"/>
              <w:end w:w="100" w:type="dxa"/>
            </w:tcMar>
            <w:vAlign w:val="top"/>
            <w:shd w:fill="F4F7FA"/>
          </w:tcPr>
          <w:p>
            <w:r>
              <w:rPr>
                <w:rFonts w:ascii="Arial" w:hAnsi="Arial"/>
                <w:sz w:val="18"/>
              </w:rPr>
              <w:t>67.0</w:t>
            </w:r>
          </w:p>
        </w:tc>
      </w:tr>
      <w:tr>
        <w:trPr>
          <w:trHeight w:hRule="atLeast"/>
        </w:trPr>
        <w:tc>
          <w:tcPr>
            <w:tcW w:type="dxa" w:w="2592"/>
            <w:tcMar>
              <w:top w:w="90" w:type="dxa"/>
              <w:start w:w="100" w:type="dxa"/>
              <w:bottom w:w="90" w:type="dxa"/>
              <w:end w:w="100" w:type="dxa"/>
            </w:tcMar>
            <w:vAlign w:val="top"/>
          </w:tcPr>
          <w:p>
            <w:r>
              <w:rPr>
                <w:rFonts w:ascii="Arial" w:hAnsi="Arial"/>
                <w:sz w:val="18"/>
              </w:rPr>
              <w:t>Scope</w:t>
            </w:r>
          </w:p>
        </w:tc>
        <w:tc>
          <w:tcPr>
            <w:tcW w:type="dxa" w:w="7776"/>
            <w:tcMar>
              <w:top w:w="90" w:type="dxa"/>
              <w:start w:w="100" w:type="dxa"/>
              <w:bottom w:w="90" w:type="dxa"/>
              <w:end w:w="100" w:type="dxa"/>
            </w:tcMar>
            <w:vAlign w:val="top"/>
          </w:tcPr>
          <w:p>
            <w:r>
              <w:rPr>
                <w:rFonts w:ascii="Arial" w:hAnsi="Arial"/>
                <w:sz w:val="18"/>
              </w:rPr>
              <w:t>Category A Sandbox only; production deployment and UAT are not authorised</w:t>
            </w:r>
          </w:p>
        </w:tc>
      </w:tr>
    </w:tbl>
    <w:p>
      <w:pPr>
        <w:spacing w:after="0"/>
      </w:pPr>
    </w:p>
    <w:p>
      <w:r>
        <w:br w:type="page"/>
      </w:r>
    </w:p>
    <w:p>
      <w:pPr>
        <w:pStyle w:val="Heading1"/>
        <w:keepNext/>
        <w:keepLines/>
      </w:pPr>
      <w:r>
        <w:t>1. Approval Decision and Authority</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2880"/>
            <w:shd w:fill="17365D"/>
            <w:tcMar>
              <w:top w:w="90" w:type="dxa"/>
              <w:start w:w="100" w:type="dxa"/>
              <w:bottom w:w="90" w:type="dxa"/>
              <w:end w:w="100" w:type="dxa"/>
            </w:tcMar>
          </w:tcPr>
          <w:p>
            <w:pPr>
              <w:jc w:val="left"/>
            </w:pPr>
            <w:r>
              <w:rPr>
                <w:rFonts w:ascii="Arial" w:hAnsi="Arial"/>
                <w:b/>
                <w:color w:val="FFFFFF"/>
                <w:sz w:val="18"/>
              </w:rPr>
              <w:t>Approval item</w:t>
            </w:r>
          </w:p>
        </w:tc>
        <w:tc>
          <w:tcPr>
            <w:tcW w:type="dxa" w:w="7488"/>
            <w:shd w:fill="17365D"/>
            <w:tcMar>
              <w:top w:w="90" w:type="dxa"/>
              <w:start w:w="100" w:type="dxa"/>
              <w:bottom w:w="90" w:type="dxa"/>
              <w:end w:w="100" w:type="dxa"/>
            </w:tcMar>
          </w:tcPr>
          <w:p>
            <w:pPr>
              <w:jc w:val="left"/>
            </w:pPr>
            <w:r>
              <w:rPr>
                <w:rFonts w:ascii="Arial" w:hAnsi="Arial"/>
                <w:b/>
                <w:color w:val="FFFFFF"/>
                <w:sz w:val="18"/>
              </w:rPr>
              <w:t>Decision</w:t>
            </w:r>
          </w:p>
        </w:tc>
      </w:tr>
      <w:tr>
        <w:trPr>
          <w:trHeight w:hRule="atLeast"/>
        </w:trPr>
        <w:tc>
          <w:tcPr>
            <w:tcW w:type="dxa" w:w="2880"/>
            <w:tcMar>
              <w:top w:w="90" w:type="dxa"/>
              <w:start w:w="100" w:type="dxa"/>
              <w:bottom w:w="90" w:type="dxa"/>
              <w:end w:w="100" w:type="dxa"/>
            </w:tcMar>
            <w:vAlign w:val="top"/>
            <w:shd w:fill="F4F7FA"/>
          </w:tcPr>
          <w:p>
            <w:r>
              <w:rPr>
                <w:rFonts w:ascii="Arial" w:hAnsi="Arial"/>
                <w:sz w:val="18"/>
              </w:rPr>
              <w:t>A-IMP-01 v1.1</w:t>
            </w:r>
          </w:p>
        </w:tc>
        <w:tc>
          <w:tcPr>
            <w:tcW w:type="dxa" w:w="7488"/>
            <w:tcMar>
              <w:top w:w="90" w:type="dxa"/>
              <w:start w:w="100" w:type="dxa"/>
              <w:bottom w:w="90" w:type="dxa"/>
              <w:end w:w="100" w:type="dxa"/>
            </w:tcMar>
            <w:vAlign w:val="top"/>
            <w:shd w:fill="F4F7FA"/>
          </w:tcPr>
          <w:p>
            <w:r>
              <w:rPr>
                <w:rFonts w:ascii="Arial" w:hAnsi="Arial"/>
                <w:sz w:val="18"/>
              </w:rPr>
              <w:t>Approved as the controlled Category A implementation mapping and deployment baseline.</w:t>
            </w:r>
          </w:p>
        </w:tc>
      </w:tr>
      <w:tr>
        <w:trPr>
          <w:trHeight w:hRule="atLeast"/>
        </w:trPr>
        <w:tc>
          <w:tcPr>
            <w:tcW w:type="dxa" w:w="2880"/>
            <w:tcMar>
              <w:top w:w="90" w:type="dxa"/>
              <w:start w:w="100" w:type="dxa"/>
              <w:bottom w:w="90" w:type="dxa"/>
              <w:end w:w="100" w:type="dxa"/>
            </w:tcMar>
            <w:vAlign w:val="top"/>
          </w:tcPr>
          <w:p>
            <w:r>
              <w:rPr>
                <w:rFonts w:ascii="Arial" w:hAnsi="Arial"/>
                <w:sz w:val="18"/>
              </w:rPr>
              <w:t>A-IMP-02 prompt</w:t>
            </w:r>
          </w:p>
        </w:tc>
        <w:tc>
          <w:tcPr>
            <w:tcW w:type="dxa" w:w="7488"/>
            <w:tcMar>
              <w:top w:w="90" w:type="dxa"/>
              <w:start w:w="100" w:type="dxa"/>
              <w:bottom w:w="90" w:type="dxa"/>
              <w:end w:w="100" w:type="dxa"/>
            </w:tcMar>
            <w:vAlign w:val="top"/>
          </w:tcPr>
          <w:p>
            <w:r>
              <w:rPr>
                <w:rFonts w:ascii="Arial" w:hAnsi="Arial"/>
                <w:sz w:val="18"/>
              </w:rPr>
              <w:t>Approved for use under the analysis-first and manifest-approval gates in this document.</w:t>
            </w:r>
          </w:p>
        </w:tc>
      </w:tr>
      <w:tr>
        <w:trPr>
          <w:trHeight w:hRule="atLeast"/>
        </w:trPr>
        <w:tc>
          <w:tcPr>
            <w:tcW w:type="dxa" w:w="2880"/>
            <w:tcMar>
              <w:top w:w="90" w:type="dxa"/>
              <w:start w:w="100" w:type="dxa"/>
              <w:bottom w:w="90" w:type="dxa"/>
              <w:end w:w="100" w:type="dxa"/>
            </w:tcMar>
            <w:vAlign w:val="top"/>
            <w:shd w:fill="F4F7FA"/>
          </w:tcPr>
          <w:p>
            <w:r>
              <w:rPr>
                <w:rFonts w:ascii="Arial" w:hAnsi="Arial"/>
                <w:sz w:val="18"/>
              </w:rPr>
              <w:t>Sandbox implementation</w:t>
            </w:r>
          </w:p>
        </w:tc>
        <w:tc>
          <w:tcPr>
            <w:tcW w:type="dxa" w:w="7488"/>
            <w:tcMar>
              <w:top w:w="90" w:type="dxa"/>
              <w:start w:w="100" w:type="dxa"/>
              <w:bottom w:w="90" w:type="dxa"/>
              <w:end w:w="100" w:type="dxa"/>
            </w:tcMar>
            <w:vAlign w:val="top"/>
            <w:shd w:fill="F4F7FA"/>
          </w:tcPr>
          <w:p>
            <w:r>
              <w:rPr>
                <w:rFonts w:ascii="Arial" w:hAnsi="Arial"/>
                <w:sz w:val="18"/>
              </w:rPr>
              <w:t>Authorised only after the Phase 1 impact report and exact manifest are explicitly approved.</w:t>
            </w:r>
          </w:p>
        </w:tc>
      </w:tr>
      <w:tr>
        <w:trPr>
          <w:trHeight w:hRule="atLeast"/>
        </w:trPr>
        <w:tc>
          <w:tcPr>
            <w:tcW w:type="dxa" w:w="2880"/>
            <w:tcMar>
              <w:top w:w="90" w:type="dxa"/>
              <w:start w:w="100" w:type="dxa"/>
              <w:bottom w:w="90" w:type="dxa"/>
              <w:end w:w="100" w:type="dxa"/>
            </w:tcMar>
            <w:vAlign w:val="top"/>
          </w:tcPr>
          <w:p>
            <w:r>
              <w:rPr>
                <w:rFonts w:ascii="Arial" w:hAnsi="Arial"/>
                <w:sz w:val="18"/>
              </w:rPr>
              <w:t>Production deployment</w:t>
            </w:r>
          </w:p>
        </w:tc>
        <w:tc>
          <w:tcPr>
            <w:tcW w:type="dxa" w:w="7488"/>
            <w:tcMar>
              <w:top w:w="90" w:type="dxa"/>
              <w:start w:w="100" w:type="dxa"/>
              <w:bottom w:w="90" w:type="dxa"/>
              <w:end w:w="100" w:type="dxa"/>
            </w:tcMar>
            <w:vAlign w:val="top"/>
          </w:tcPr>
          <w:p>
            <w:r>
              <w:rPr>
                <w:rFonts w:ascii="Arial" w:hAnsi="Arial"/>
                <w:sz w:val="18"/>
              </w:rPr>
              <w:t>Not authorised.</w:t>
            </w:r>
          </w:p>
        </w:tc>
      </w:tr>
      <w:tr>
        <w:trPr>
          <w:trHeight w:hRule="atLeast"/>
        </w:trPr>
        <w:tc>
          <w:tcPr>
            <w:tcW w:type="dxa" w:w="2880"/>
            <w:tcMar>
              <w:top w:w="90" w:type="dxa"/>
              <w:start w:w="100" w:type="dxa"/>
              <w:bottom w:w="90" w:type="dxa"/>
              <w:end w:w="100" w:type="dxa"/>
            </w:tcMar>
            <w:vAlign w:val="top"/>
            <w:shd w:fill="F4F7FA"/>
          </w:tcPr>
          <w:p>
            <w:r>
              <w:rPr>
                <w:rFonts w:ascii="Arial" w:hAnsi="Arial"/>
                <w:sz w:val="18"/>
              </w:rPr>
              <w:t>UAT generation or execution</w:t>
            </w:r>
          </w:p>
        </w:tc>
        <w:tc>
          <w:tcPr>
            <w:tcW w:type="dxa" w:w="7488"/>
            <w:tcMar>
              <w:top w:w="90" w:type="dxa"/>
              <w:start w:w="100" w:type="dxa"/>
              <w:bottom w:w="90" w:type="dxa"/>
              <w:end w:w="100" w:type="dxa"/>
            </w:tcMar>
            <w:vAlign w:val="top"/>
            <w:shd w:fill="F4F7FA"/>
          </w:tcPr>
          <w:p>
            <w:r>
              <w:rPr>
                <w:rFonts w:ascii="Arial" w:hAnsi="Arial"/>
                <w:sz w:val="18"/>
              </w:rPr>
              <w:t>Not authorised until a fresh metadata extraction and as-built reconciliation are approved.</w:t>
            </w:r>
          </w:p>
        </w:tc>
      </w:tr>
      <w:tr>
        <w:trPr>
          <w:trHeight w:hRule="atLeast"/>
        </w:trPr>
        <w:tc>
          <w:tcPr>
            <w:tcW w:type="dxa" w:w="2880"/>
            <w:tcMar>
              <w:top w:w="90" w:type="dxa"/>
              <w:start w:w="100" w:type="dxa"/>
              <w:bottom w:w="90" w:type="dxa"/>
              <w:end w:w="100" w:type="dxa"/>
            </w:tcMar>
            <w:vAlign w:val="top"/>
          </w:tcPr>
          <w:p>
            <w:r>
              <w:rPr>
                <w:rFonts w:ascii="Arial" w:hAnsi="Arial"/>
                <w:sz w:val="18"/>
              </w:rPr>
              <w:t>Design deviation</w:t>
            </w:r>
          </w:p>
        </w:tc>
        <w:tc>
          <w:tcPr>
            <w:tcW w:type="dxa" w:w="7488"/>
            <w:tcMar>
              <w:top w:w="90" w:type="dxa"/>
              <w:start w:w="100" w:type="dxa"/>
              <w:bottom w:w="90" w:type="dxa"/>
              <w:end w:w="100" w:type="dxa"/>
            </w:tcMar>
            <w:vAlign w:val="top"/>
          </w:tcPr>
          <w:p>
            <w:r>
              <w:rPr>
                <w:rFonts w:ascii="Arial" w:hAnsi="Arial"/>
                <w:sz w:val="18"/>
              </w:rPr>
              <w:t>Cursor must stop and request approval. It must not invent an alternative.</w:t>
            </w:r>
          </w:p>
        </w:tc>
      </w:tr>
    </w:tbl>
    <w:p>
      <w:pPr>
        <w:spacing w:after="0"/>
      </w:pPr>
    </w:p>
    <w:p>
      <w:pPr>
        <w:spacing w:before="80" w:after="120"/>
        <w:ind w:left="173" w:right="72"/>
        <w:shd w:fill="D9EAF7"/>
        <w:pBdr>
          <w:left w:val="single" w:sz="18" w:space="6" w:color="1F4E79"/>
        </w:pBdr>
      </w:pPr>
      <w:r>
        <w:rPr>
          <w:b/>
          <w:color w:val="17365D"/>
        </w:rPr>
        <w:t>Locked operating principle</w:t>
        <w:br/>
      </w:r>
      <w:r>
        <w:t>Category first -&gt; Requirements second -&gt; Design third -&gt; Visualise fourth -&gt; Implement fifth -&gt; Verify sixth -&gt; Test last.</w:t>
      </w:r>
    </w:p>
    <w:p>
      <w:pPr>
        <w:pStyle w:val="Heading1"/>
        <w:keepNext/>
        <w:keepLines/>
      </w:pPr>
      <w:r>
        <w:t>2. Purpose, Scope and Traceability</w:t>
      </w:r>
    </w:p>
    <w:p>
      <w:r>
        <w:t>This document is the controlled Cursor prompt for the first Category A implementation workstream. Its purpose is to separate Client User Contacts from Data Subject Contacts without creating a new custom object, without destroying valid data-subject evidence and without regressing Categories B-F.</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2880"/>
            <w:shd w:fill="17365D"/>
            <w:tcMar>
              <w:top w:w="90" w:type="dxa"/>
              <w:start w:w="100" w:type="dxa"/>
              <w:bottom w:w="90" w:type="dxa"/>
              <w:end w:w="100" w:type="dxa"/>
            </w:tcMar>
          </w:tcPr>
          <w:p>
            <w:pPr>
              <w:jc w:val="left"/>
            </w:pPr>
            <w:r>
              <w:rPr>
                <w:rFonts w:ascii="Arial" w:hAnsi="Arial"/>
                <w:b/>
                <w:color w:val="FFFFFF"/>
                <w:sz w:val="18"/>
              </w:rPr>
              <w:t>Traceability domain</w:t>
            </w:r>
          </w:p>
        </w:tc>
        <w:tc>
          <w:tcPr>
            <w:tcW w:type="dxa" w:w="7488"/>
            <w:shd w:fill="17365D"/>
            <w:tcMar>
              <w:top w:w="90" w:type="dxa"/>
              <w:start w:w="100" w:type="dxa"/>
              <w:bottom w:w="90" w:type="dxa"/>
              <w:end w:w="100" w:type="dxa"/>
            </w:tcMar>
          </w:tcPr>
          <w:p>
            <w:pPr>
              <w:jc w:val="left"/>
            </w:pPr>
            <w:r>
              <w:rPr>
                <w:rFonts w:ascii="Arial" w:hAnsi="Arial"/>
                <w:b/>
                <w:color w:val="FFFFFF"/>
                <w:sz w:val="18"/>
              </w:rPr>
              <w:t>Controlled references</w:t>
            </w:r>
          </w:p>
        </w:tc>
      </w:tr>
      <w:tr>
        <w:trPr>
          <w:trHeight w:hRule="atLeast"/>
        </w:trPr>
        <w:tc>
          <w:tcPr>
            <w:tcW w:type="dxa" w:w="2880"/>
            <w:tcMar>
              <w:top w:w="90" w:type="dxa"/>
              <w:start w:w="100" w:type="dxa"/>
              <w:bottom w:w="90" w:type="dxa"/>
              <w:end w:w="100" w:type="dxa"/>
            </w:tcMar>
            <w:vAlign w:val="top"/>
            <w:shd w:fill="F4F7FA"/>
          </w:tcPr>
          <w:p>
            <w:r>
              <w:rPr>
                <w:rFonts w:ascii="Arial" w:hAnsi="Arial"/>
                <w:sz w:val="18"/>
              </w:rPr>
              <w:t>Approved design section</w:t>
            </w:r>
          </w:p>
        </w:tc>
        <w:tc>
          <w:tcPr>
            <w:tcW w:type="dxa" w:w="7488"/>
            <w:tcMar>
              <w:top w:w="90" w:type="dxa"/>
              <w:start w:w="100" w:type="dxa"/>
              <w:bottom w:w="90" w:type="dxa"/>
              <w:end w:w="100" w:type="dxa"/>
            </w:tcMar>
            <w:vAlign w:val="top"/>
            <w:shd w:fill="F4F7FA"/>
          </w:tcPr>
          <w:p>
            <w:r>
              <w:rPr>
                <w:rFonts w:ascii="Arial" w:hAnsi="Arial"/>
                <w:sz w:val="18"/>
              </w:rPr>
              <w:t>Section 11 - A-WS-01 Client User and Data Subject Separation</w:t>
            </w:r>
          </w:p>
        </w:tc>
      </w:tr>
      <w:tr>
        <w:trPr>
          <w:trHeight w:hRule="atLeast"/>
        </w:trPr>
        <w:tc>
          <w:tcPr>
            <w:tcW w:type="dxa" w:w="2880"/>
            <w:tcMar>
              <w:top w:w="90" w:type="dxa"/>
              <w:start w:w="100" w:type="dxa"/>
              <w:bottom w:w="90" w:type="dxa"/>
              <w:end w:w="100" w:type="dxa"/>
            </w:tcMar>
            <w:vAlign w:val="top"/>
          </w:tcPr>
          <w:p>
            <w:r>
              <w:rPr>
                <w:rFonts w:ascii="Arial" w:hAnsi="Arial"/>
                <w:sz w:val="18"/>
              </w:rPr>
              <w:t>Implementation workstream</w:t>
            </w:r>
          </w:p>
        </w:tc>
        <w:tc>
          <w:tcPr>
            <w:tcW w:type="dxa" w:w="7488"/>
            <w:tcMar>
              <w:top w:w="90" w:type="dxa"/>
              <w:start w:w="100" w:type="dxa"/>
              <w:bottom w:w="90" w:type="dxa"/>
              <w:end w:w="100" w:type="dxa"/>
            </w:tcMar>
            <w:vAlign w:val="top"/>
          </w:tcPr>
          <w:p>
            <w:r>
              <w:rPr>
                <w:rFonts w:ascii="Arial" w:hAnsi="Arial"/>
                <w:sz w:val="18"/>
              </w:rPr>
              <w:t>A-IMP-01.1</w:t>
            </w:r>
          </w:p>
        </w:tc>
      </w:tr>
      <w:tr>
        <w:trPr>
          <w:trHeight w:hRule="atLeast"/>
        </w:trPr>
        <w:tc>
          <w:tcPr>
            <w:tcW w:type="dxa" w:w="2880"/>
            <w:tcMar>
              <w:top w:w="90" w:type="dxa"/>
              <w:start w:w="100" w:type="dxa"/>
              <w:bottom w:w="90" w:type="dxa"/>
              <w:end w:w="100" w:type="dxa"/>
            </w:tcMar>
            <w:vAlign w:val="top"/>
            <w:shd w:fill="F4F7FA"/>
          </w:tcPr>
          <w:p>
            <w:r>
              <w:rPr>
                <w:rFonts w:ascii="Arial" w:hAnsi="Arial"/>
                <w:sz w:val="18"/>
              </w:rPr>
              <w:t>Requirements</w:t>
            </w:r>
          </w:p>
        </w:tc>
        <w:tc>
          <w:tcPr>
            <w:tcW w:type="dxa" w:w="7488"/>
            <w:tcMar>
              <w:top w:w="90" w:type="dxa"/>
              <w:start w:w="100" w:type="dxa"/>
              <w:bottom w:w="90" w:type="dxa"/>
              <w:end w:w="100" w:type="dxa"/>
            </w:tcMar>
            <w:vAlign w:val="top"/>
            <w:shd w:fill="F4F7FA"/>
          </w:tcPr>
          <w:p>
            <w:r>
              <w:rPr>
                <w:rFonts w:ascii="Arial" w:hAnsi="Arial"/>
                <w:sz w:val="18"/>
              </w:rPr>
              <w:t>A-REQ-007, A-REQ-009, A-REQ-010, A-REQ-018</w:t>
            </w:r>
          </w:p>
        </w:tc>
      </w:tr>
      <w:tr>
        <w:trPr>
          <w:trHeight w:hRule="atLeast"/>
        </w:trPr>
        <w:tc>
          <w:tcPr>
            <w:tcW w:type="dxa" w:w="2880"/>
            <w:tcMar>
              <w:top w:w="90" w:type="dxa"/>
              <w:start w:w="100" w:type="dxa"/>
              <w:bottom w:w="90" w:type="dxa"/>
              <w:end w:w="100" w:type="dxa"/>
            </w:tcMar>
            <w:vAlign w:val="top"/>
          </w:tcPr>
          <w:p>
            <w:r>
              <w:rPr>
                <w:rFonts w:ascii="Arial" w:hAnsi="Arial"/>
                <w:sz w:val="18"/>
              </w:rPr>
              <w:t>Design decisions</w:t>
            </w:r>
          </w:p>
        </w:tc>
        <w:tc>
          <w:tcPr>
            <w:tcW w:type="dxa" w:w="7488"/>
            <w:tcMar>
              <w:top w:w="90" w:type="dxa"/>
              <w:start w:w="100" w:type="dxa"/>
              <w:bottom w:w="90" w:type="dxa"/>
              <w:end w:w="100" w:type="dxa"/>
            </w:tcMar>
            <w:vAlign w:val="top"/>
          </w:tcPr>
          <w:p>
            <w:r>
              <w:rPr>
                <w:rFonts w:ascii="Arial" w:hAnsi="Arial"/>
                <w:sz w:val="18"/>
              </w:rPr>
              <w:t>A-DD-001, A-DD-003, A-DD-004</w:t>
            </w:r>
          </w:p>
        </w:tc>
      </w:tr>
      <w:tr>
        <w:trPr>
          <w:trHeight w:hRule="atLeast"/>
        </w:trPr>
        <w:tc>
          <w:tcPr>
            <w:tcW w:type="dxa" w:w="2880"/>
            <w:tcMar>
              <w:top w:w="90" w:type="dxa"/>
              <w:start w:w="100" w:type="dxa"/>
              <w:bottom w:w="90" w:type="dxa"/>
              <w:end w:w="100" w:type="dxa"/>
            </w:tcMar>
            <w:vAlign w:val="top"/>
            <w:shd w:fill="F4F7FA"/>
          </w:tcPr>
          <w:p>
            <w:r>
              <w:rPr>
                <w:rFonts w:ascii="Arial" w:hAnsi="Arial"/>
                <w:sz w:val="18"/>
              </w:rPr>
              <w:t>Acceptance criteria</w:t>
            </w:r>
          </w:p>
        </w:tc>
        <w:tc>
          <w:tcPr>
            <w:tcW w:type="dxa" w:w="7488"/>
            <w:tcMar>
              <w:top w:w="90" w:type="dxa"/>
              <w:start w:w="100" w:type="dxa"/>
              <w:bottom w:w="90" w:type="dxa"/>
              <w:end w:w="100" w:type="dxa"/>
            </w:tcMar>
            <w:vAlign w:val="top"/>
            <w:shd w:fill="F4F7FA"/>
          </w:tcPr>
          <w:p>
            <w:r>
              <w:rPr>
                <w:rFonts w:ascii="Arial" w:hAnsi="Arial"/>
                <w:sz w:val="18"/>
              </w:rPr>
              <w:t>A-WS01-AC01 through A-WS01-AC15</w:t>
            </w:r>
          </w:p>
        </w:tc>
      </w:tr>
      <w:tr>
        <w:trPr>
          <w:trHeight w:hRule="atLeast"/>
        </w:trPr>
        <w:tc>
          <w:tcPr>
            <w:tcW w:type="dxa" w:w="2880"/>
            <w:tcMar>
              <w:top w:w="90" w:type="dxa"/>
              <w:start w:w="100" w:type="dxa"/>
              <w:bottom w:w="90" w:type="dxa"/>
              <w:end w:w="100" w:type="dxa"/>
            </w:tcMar>
            <w:vAlign w:val="top"/>
          </w:tcPr>
          <w:p>
            <w:r>
              <w:rPr>
                <w:rFonts w:ascii="Arial" w:hAnsi="Arial"/>
                <w:sz w:val="18"/>
              </w:rPr>
              <w:t>Related downstream workstreams</w:t>
            </w:r>
          </w:p>
        </w:tc>
        <w:tc>
          <w:tcPr>
            <w:tcW w:type="dxa" w:w="7488"/>
            <w:tcMar>
              <w:top w:w="90" w:type="dxa"/>
              <w:start w:w="100" w:type="dxa"/>
              <w:bottom w:w="90" w:type="dxa"/>
              <w:end w:w="100" w:type="dxa"/>
            </w:tcMar>
            <w:vAlign w:val="top"/>
          </w:tcPr>
          <w:p>
            <w:r>
              <w:rPr>
                <w:rFonts w:ascii="Arial" w:hAnsi="Arial"/>
                <w:sz w:val="18"/>
              </w:rPr>
              <w:t>A-IMP-01.5 access governance, A-IMP-01.7 internal roles and permissions, A-IMP-01.8 external isolation, A-IMP-01.10 pages</w:t>
            </w:r>
          </w:p>
        </w:tc>
      </w:tr>
    </w:tbl>
    <w:p>
      <w:pPr>
        <w:spacing w:after="0"/>
      </w:pPr>
    </w:p>
    <w:p>
      <w:pPr>
        <w:pStyle w:val="Heading2"/>
        <w:keepNext/>
        <w:keepLines/>
      </w:pPr>
      <w:r>
        <w:t>2.1 In scope</w:t>
      </w:r>
    </w:p>
    <w:p>
      <w:pPr>
        <w:pStyle w:val="ListBullet"/>
        <w:spacing w:after="40"/>
      </w:pPr>
      <w:r>
        <w:t>Contact purpose and record-type controls for Client_User, Data_Subject, Singpass and Non_Singpass.</w:t>
      </w:r>
    </w:p>
    <w:p>
      <w:pPr>
        <w:pStyle w:val="ListBullet"/>
        <w:spacing w:after="40"/>
      </w:pPr>
      <w:r>
        <w:t>Field requiredness correction and record-type-specific validation.</w:t>
      </w:r>
    </w:p>
    <w:p>
      <w:pPr>
        <w:pStyle w:val="ListBullet"/>
        <w:spacing w:after="40"/>
      </w:pPr>
      <w:r>
        <w:t>Client User and Data Subject layout/page separation.</w:t>
      </w:r>
    </w:p>
    <w:p>
      <w:pPr>
        <w:pStyle w:val="ListBullet"/>
        <w:spacing w:after="40"/>
      </w:pPr>
      <w:r>
        <w:t>The P1 correction to contactApproveCreateConsentRequest, including purpose guard, duplicate prevention and durable fault evidence.</w:t>
      </w:r>
    </w:p>
    <w:p>
      <w:pPr>
        <w:pStyle w:val="ListBullet"/>
        <w:spacing w:after="40"/>
      </w:pPr>
      <w:r>
        <w:t>Client User normalisation and role-consistency logic.</w:t>
      </w:r>
    </w:p>
    <w:p>
      <w:pPr>
        <w:pStyle w:val="ListBullet"/>
        <w:spacing w:after="40"/>
      </w:pPr>
      <w:r>
        <w:t>Duplicate-control design for Client User business email plus Account.</w:t>
      </w:r>
    </w:p>
    <w:p>
      <w:pPr>
        <w:pStyle w:val="ListBullet"/>
        <w:spacing w:after="40"/>
      </w:pPr>
      <w:r>
        <w:t>Selected non-PII Contact field history, subject to the org limit and A-IMP-01 Wave 0 capacity check.</w:t>
      </w:r>
    </w:p>
    <w:p>
      <w:pPr>
        <w:pStyle w:val="ListBullet"/>
        <w:spacing w:after="40"/>
      </w:pPr>
      <w:r>
        <w:t>Non-destructive runtime inventory, remediation dry run, tests, deployment and rollback evidence.</w:t>
      </w:r>
    </w:p>
    <w:p>
      <w:pPr>
        <w:pStyle w:val="Heading2"/>
        <w:keepNext/>
        <w:keepLines/>
      </w:pPr>
      <w:r>
        <w:t>2.2 Out of scope</w:t>
      </w:r>
    </w:p>
    <w:p>
      <w:pPr>
        <w:pStyle w:val="ListBullet"/>
        <w:spacing w:after="40"/>
      </w:pPr>
      <w:r>
        <w:t>Detailed Category B consent rules beyond preserving the current qualifying data-subject process.</w:t>
      </w:r>
    </w:p>
    <w:p>
      <w:pPr>
        <w:pStyle w:val="ListBullet"/>
        <w:spacing w:after="40"/>
      </w:pPr>
      <w:r>
        <w:t>Client Access Request approval, User provisioning and quarterly access review.</w:t>
      </w:r>
    </w:p>
    <w:p>
      <w:pPr>
        <w:pStyle w:val="ListBullet"/>
        <w:spacing w:after="40"/>
      </w:pPr>
      <w:r>
        <w:t>Final Business Development permission-set assignment and full Experience Cloud isolation, except for safe minimum corrections explicitly approved in the Phase 1 manifest.</w:t>
      </w:r>
    </w:p>
    <w:p>
      <w:pPr>
        <w:pStyle w:val="ListBullet"/>
        <w:spacing w:after="40"/>
      </w:pPr>
      <w:r>
        <w:t>Production deployment, UAT, destructive deletion of legacy components or bulk clearing of personal data.</w:t>
      </w:r>
    </w:p>
    <w:p>
      <w:pPr>
        <w:pStyle w:val="Heading1"/>
        <w:keepNext/>
        <w:keepLines/>
        <w:pageBreakBefore/>
      </w:pPr>
      <w:r>
        <w:t>3. Verified Current-State Metadata Baseline</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720"/>
            <w:shd w:fill="17365D"/>
            <w:tcMar>
              <w:top w:w="90" w:type="dxa"/>
              <w:start w:w="100" w:type="dxa"/>
              <w:bottom w:w="90" w:type="dxa"/>
              <w:end w:w="100" w:type="dxa"/>
            </w:tcMar>
          </w:tcPr>
          <w:p>
            <w:pPr>
              <w:jc w:val="left"/>
            </w:pPr>
            <w:r>
              <w:rPr>
                <w:rFonts w:ascii="Arial" w:hAnsi="Arial"/>
                <w:b/>
                <w:color w:val="FFFFFF"/>
                <w:sz w:val="16"/>
              </w:rPr>
              <w:t>ID</w:t>
            </w:r>
          </w:p>
        </w:tc>
        <w:tc>
          <w:tcPr>
            <w:tcW w:type="dxa" w:w="4608"/>
            <w:shd w:fill="17365D"/>
            <w:tcMar>
              <w:top w:w="90" w:type="dxa"/>
              <w:start w:w="100" w:type="dxa"/>
              <w:bottom w:w="90" w:type="dxa"/>
              <w:end w:w="100" w:type="dxa"/>
            </w:tcMar>
          </w:tcPr>
          <w:p>
            <w:pPr>
              <w:jc w:val="left"/>
            </w:pPr>
            <w:r>
              <w:rPr>
                <w:rFonts w:ascii="Arial" w:hAnsi="Arial"/>
                <w:b/>
                <w:color w:val="FFFFFF"/>
                <w:sz w:val="16"/>
              </w:rPr>
              <w:t>Verified current state</w:t>
            </w:r>
          </w:p>
        </w:tc>
        <w:tc>
          <w:tcPr>
            <w:tcW w:type="dxa" w:w="5040"/>
            <w:shd w:fill="17365D"/>
            <w:tcMar>
              <w:top w:w="90" w:type="dxa"/>
              <w:start w:w="100" w:type="dxa"/>
              <w:bottom w:w="90" w:type="dxa"/>
              <w:end w:w="100" w:type="dxa"/>
            </w:tcMar>
          </w:tcPr>
          <w:p>
            <w:pPr>
              <w:jc w:val="left"/>
            </w:pPr>
            <w:r>
              <w:rPr>
                <w:rFonts w:ascii="Arial" w:hAnsi="Arial"/>
                <w:b/>
                <w:color w:val="FFFFFF"/>
                <w:sz w:val="16"/>
              </w:rPr>
              <w:t>Implementation consequence</w:t>
            </w:r>
          </w:p>
        </w:tc>
      </w:tr>
      <w:tr>
        <w:trPr>
          <w:trHeight w:hRule="atLeast"/>
        </w:trPr>
        <w:tc>
          <w:tcPr>
            <w:tcW w:type="dxa" w:w="720"/>
            <w:tcMar>
              <w:top w:w="90" w:type="dxa"/>
              <w:start w:w="100" w:type="dxa"/>
              <w:bottom w:w="90" w:type="dxa"/>
              <w:end w:w="100" w:type="dxa"/>
            </w:tcMar>
            <w:vAlign w:val="top"/>
            <w:shd w:fill="F4F7FA"/>
          </w:tcPr>
          <w:p>
            <w:r>
              <w:rPr>
                <w:rFonts w:ascii="Arial" w:hAnsi="Arial"/>
                <w:sz w:val="16"/>
              </w:rPr>
              <w:t>F01</w:t>
            </w:r>
          </w:p>
        </w:tc>
        <w:tc>
          <w:tcPr>
            <w:tcW w:type="dxa" w:w="4608"/>
            <w:tcMar>
              <w:top w:w="90" w:type="dxa"/>
              <w:start w:w="100" w:type="dxa"/>
              <w:bottom w:w="90" w:type="dxa"/>
              <w:end w:w="100" w:type="dxa"/>
            </w:tcMar>
            <w:vAlign w:val="top"/>
            <w:shd w:fill="F4F7FA"/>
          </w:tcPr>
          <w:p>
            <w:r>
              <w:rPr>
                <w:rFonts w:ascii="Arial" w:hAnsi="Arial"/>
                <w:sz w:val="16"/>
              </w:rPr>
              <w:t>Four active Contact record types: Client_User, Data_Subject, Singpass and Non_Singpass.</w:t>
            </w:r>
          </w:p>
        </w:tc>
        <w:tc>
          <w:tcPr>
            <w:tcW w:type="dxa" w:w="5040"/>
            <w:tcMar>
              <w:top w:w="90" w:type="dxa"/>
              <w:start w:w="100" w:type="dxa"/>
              <w:bottom w:w="90" w:type="dxa"/>
              <w:end w:w="100" w:type="dxa"/>
            </w:tcMar>
            <w:vAlign w:val="top"/>
            <w:shd w:fill="F4F7FA"/>
          </w:tcPr>
          <w:p>
            <w:r>
              <w:rPr>
                <w:rFonts w:ascii="Arial" w:hAnsi="Arial"/>
                <w:sz w:val="16"/>
              </w:rPr>
              <w:t>Retain the four-purpose model. Do not convert Client_User records into data-subject types.</w:t>
            </w:r>
          </w:p>
        </w:tc>
      </w:tr>
      <w:tr>
        <w:trPr>
          <w:trHeight w:hRule="atLeast"/>
        </w:trPr>
        <w:tc>
          <w:tcPr>
            <w:tcW w:type="dxa" w:w="720"/>
            <w:tcMar>
              <w:top w:w="90" w:type="dxa"/>
              <w:start w:w="100" w:type="dxa"/>
              <w:bottom w:w="90" w:type="dxa"/>
              <w:end w:w="100" w:type="dxa"/>
            </w:tcMar>
            <w:vAlign w:val="top"/>
          </w:tcPr>
          <w:p>
            <w:r>
              <w:rPr>
                <w:rFonts w:ascii="Arial" w:hAnsi="Arial"/>
                <w:sz w:val="16"/>
              </w:rPr>
              <w:t>F02</w:t>
            </w:r>
          </w:p>
        </w:tc>
        <w:tc>
          <w:tcPr>
            <w:tcW w:type="dxa" w:w="4608"/>
            <w:tcMar>
              <w:top w:w="90" w:type="dxa"/>
              <w:start w:w="100" w:type="dxa"/>
              <w:bottom w:w="90" w:type="dxa"/>
              <w:end w:w="100" w:type="dxa"/>
            </w:tcMar>
            <w:vAlign w:val="top"/>
          </w:tcPr>
          <w:p>
            <w:r>
              <w:rPr>
                <w:rFonts w:ascii="Arial" w:hAnsi="Arial"/>
                <w:sz w:val="16"/>
              </w:rPr>
              <w:t>Full_Name__c, ID_Type__c, ID_Number__c and Employment_Status__c are object-level required.</w:t>
            </w:r>
          </w:p>
        </w:tc>
        <w:tc>
          <w:tcPr>
            <w:tcW w:type="dxa" w:w="5040"/>
            <w:tcMar>
              <w:top w:w="90" w:type="dxa"/>
              <w:start w:w="100" w:type="dxa"/>
              <w:bottom w:w="90" w:type="dxa"/>
              <w:end w:w="100" w:type="dxa"/>
            </w:tcMar>
            <w:vAlign w:val="top"/>
          </w:tcPr>
          <w:p>
            <w:r>
              <w:rPr>
                <w:rFonts w:ascii="Arial" w:hAnsi="Arial"/>
                <w:sz w:val="16"/>
              </w:rPr>
              <w:t>Set required=false and enforce data-subject completeness through validation.</w:t>
            </w:r>
          </w:p>
        </w:tc>
      </w:tr>
      <w:tr>
        <w:trPr>
          <w:trHeight w:hRule="atLeast"/>
        </w:trPr>
        <w:tc>
          <w:tcPr>
            <w:tcW w:type="dxa" w:w="720"/>
            <w:tcMar>
              <w:top w:w="90" w:type="dxa"/>
              <w:start w:w="100" w:type="dxa"/>
              <w:bottom w:w="90" w:type="dxa"/>
              <w:end w:w="100" w:type="dxa"/>
            </w:tcMar>
            <w:vAlign w:val="top"/>
            <w:shd w:fill="F4F7FA"/>
          </w:tcPr>
          <w:p>
            <w:r>
              <w:rPr>
                <w:rFonts w:ascii="Arial" w:hAnsi="Arial"/>
                <w:sz w:val="16"/>
              </w:rPr>
              <w:t>F03</w:t>
            </w:r>
          </w:p>
        </w:tc>
        <w:tc>
          <w:tcPr>
            <w:tcW w:type="dxa" w:w="4608"/>
            <w:tcMar>
              <w:top w:w="90" w:type="dxa"/>
              <w:start w:w="100" w:type="dxa"/>
              <w:bottom w:w="90" w:type="dxa"/>
              <w:end w:w="100" w:type="dxa"/>
            </w:tcMar>
            <w:vAlign w:val="top"/>
            <w:shd w:fill="F4F7FA"/>
          </w:tcPr>
          <w:p>
            <w:r>
              <w:rPr>
                <w:rFonts w:ascii="Arial" w:hAnsi="Arial"/>
                <w:sz w:val="16"/>
              </w:rPr>
              <w:t>The Client User layout collects Full Name, DOB, ID Type, ID Number and Employment Status.</w:t>
            </w:r>
          </w:p>
        </w:tc>
        <w:tc>
          <w:tcPr>
            <w:tcW w:type="dxa" w:w="5040"/>
            <w:tcMar>
              <w:top w:w="90" w:type="dxa"/>
              <w:start w:w="100" w:type="dxa"/>
              <w:bottom w:w="90" w:type="dxa"/>
              <w:end w:w="100" w:type="dxa"/>
            </w:tcMar>
            <w:vAlign w:val="top"/>
            <w:shd w:fill="F4F7FA"/>
          </w:tcPr>
          <w:p>
            <w:r>
              <w:rPr>
                <w:rFonts w:ascii="Arial" w:hAnsi="Arial"/>
                <w:sz w:val="16"/>
              </w:rPr>
              <w:t>Replace with minimum business identity and access-summary fields.</w:t>
            </w:r>
          </w:p>
        </w:tc>
      </w:tr>
      <w:tr>
        <w:trPr>
          <w:trHeight w:hRule="atLeast"/>
        </w:trPr>
        <w:tc>
          <w:tcPr>
            <w:tcW w:type="dxa" w:w="720"/>
            <w:tcMar>
              <w:top w:w="90" w:type="dxa"/>
              <w:start w:w="100" w:type="dxa"/>
              <w:bottom w:w="90" w:type="dxa"/>
              <w:end w:w="100" w:type="dxa"/>
            </w:tcMar>
            <w:vAlign w:val="top"/>
          </w:tcPr>
          <w:p>
            <w:r>
              <w:rPr>
                <w:rFonts w:ascii="Arial" w:hAnsi="Arial"/>
                <w:sz w:val="16"/>
              </w:rPr>
              <w:t>F04</w:t>
            </w:r>
          </w:p>
        </w:tc>
        <w:tc>
          <w:tcPr>
            <w:tcW w:type="dxa" w:w="4608"/>
            <w:tcMar>
              <w:top w:w="90" w:type="dxa"/>
              <w:start w:w="100" w:type="dxa"/>
              <w:bottom w:w="90" w:type="dxa"/>
              <w:end w:w="100" w:type="dxa"/>
            </w:tcMar>
            <w:vAlign w:val="top"/>
          </w:tcPr>
          <w:p>
            <w:r>
              <w:rPr>
                <w:rFonts w:ascii="Arial" w:hAnsi="Arial"/>
                <w:sz w:val="16"/>
              </w:rPr>
              <w:t>Data-subject layouts expose Portal_Role__c and portal-oriented actions.</w:t>
            </w:r>
          </w:p>
        </w:tc>
        <w:tc>
          <w:tcPr>
            <w:tcW w:type="dxa" w:w="5040"/>
            <w:tcMar>
              <w:top w:w="90" w:type="dxa"/>
              <w:start w:w="100" w:type="dxa"/>
              <w:bottom w:w="90" w:type="dxa"/>
              <w:end w:w="100" w:type="dxa"/>
            </w:tcMar>
            <w:vAlign w:val="top"/>
          </w:tcPr>
          <w:p>
            <w:r>
              <w:rPr>
                <w:rFonts w:ascii="Arial" w:hAnsi="Arial"/>
                <w:sz w:val="16"/>
              </w:rPr>
              <w:t>Remove client-access attributes from data-subject experiences.</w:t>
            </w:r>
          </w:p>
        </w:tc>
      </w:tr>
      <w:tr>
        <w:trPr>
          <w:trHeight w:hRule="atLeast"/>
        </w:trPr>
        <w:tc>
          <w:tcPr>
            <w:tcW w:type="dxa" w:w="720"/>
            <w:tcMar>
              <w:top w:w="90" w:type="dxa"/>
              <w:start w:w="100" w:type="dxa"/>
              <w:bottom w:w="90" w:type="dxa"/>
              <w:end w:w="100" w:type="dxa"/>
            </w:tcMar>
            <w:vAlign w:val="top"/>
            <w:shd w:fill="F4F7FA"/>
          </w:tcPr>
          <w:p>
            <w:r>
              <w:rPr>
                <w:rFonts w:ascii="Arial" w:hAnsi="Arial"/>
                <w:sz w:val="16"/>
              </w:rPr>
              <w:t>F05</w:t>
            </w:r>
          </w:p>
        </w:tc>
        <w:tc>
          <w:tcPr>
            <w:tcW w:type="dxa" w:w="4608"/>
            <w:tcMar>
              <w:top w:w="90" w:type="dxa"/>
              <w:start w:w="100" w:type="dxa"/>
              <w:bottom w:w="90" w:type="dxa"/>
              <w:end w:w="100" w:type="dxa"/>
            </w:tcMar>
            <w:vAlign w:val="top"/>
            <w:shd w:fill="F4F7FA"/>
          </w:tcPr>
          <w:p>
            <w:r>
              <w:rPr>
                <w:rFonts w:ascii="Arial" w:hAnsi="Arial"/>
                <w:sz w:val="16"/>
              </w:rPr>
              <w:t>Client User layout exposes portal administration, Login As, Delete, Change Owner, Change Record Type, Clone and Share.</w:t>
            </w:r>
          </w:p>
        </w:tc>
        <w:tc>
          <w:tcPr>
            <w:tcW w:type="dxa" w:w="5040"/>
            <w:tcMar>
              <w:top w:w="90" w:type="dxa"/>
              <w:start w:w="100" w:type="dxa"/>
              <w:bottom w:w="90" w:type="dxa"/>
              <w:end w:w="100" w:type="dxa"/>
            </w:tcMar>
            <w:vAlign w:val="top"/>
            <w:shd w:fill="F4F7FA"/>
          </w:tcPr>
          <w:p>
            <w:r>
              <w:rPr>
                <w:rFonts w:ascii="Arial" w:hAnsi="Arial"/>
                <w:sz w:val="16"/>
              </w:rPr>
              <w:t>Remove these actions from routine Business Development experience.</w:t>
            </w:r>
          </w:p>
        </w:tc>
      </w:tr>
      <w:tr>
        <w:trPr>
          <w:trHeight w:hRule="atLeast"/>
        </w:trPr>
        <w:tc>
          <w:tcPr>
            <w:tcW w:type="dxa" w:w="720"/>
            <w:tcMar>
              <w:top w:w="90" w:type="dxa"/>
              <w:start w:w="100" w:type="dxa"/>
              <w:bottom w:w="90" w:type="dxa"/>
              <w:end w:w="100" w:type="dxa"/>
            </w:tcMar>
            <w:vAlign w:val="top"/>
          </w:tcPr>
          <w:p>
            <w:r>
              <w:rPr>
                <w:rFonts w:ascii="Arial" w:hAnsi="Arial"/>
                <w:sz w:val="16"/>
              </w:rPr>
              <w:t>F06</w:t>
            </w:r>
          </w:p>
        </w:tc>
        <w:tc>
          <w:tcPr>
            <w:tcW w:type="dxa" w:w="4608"/>
            <w:tcMar>
              <w:top w:w="90" w:type="dxa"/>
              <w:start w:w="100" w:type="dxa"/>
              <w:bottom w:w="90" w:type="dxa"/>
              <w:end w:w="100" w:type="dxa"/>
            </w:tcMar>
            <w:vAlign w:val="top"/>
          </w:tcPr>
          <w:p>
            <w:r>
              <w:rPr>
                <w:rFonts w:ascii="Arial" w:hAnsi="Arial"/>
                <w:sz w:val="16"/>
              </w:rPr>
              <w:t>Active contactApproveCreateConsentRequest runs after every Contact creation with Email populated.</w:t>
            </w:r>
          </w:p>
        </w:tc>
        <w:tc>
          <w:tcPr>
            <w:tcW w:type="dxa" w:w="5040"/>
            <w:tcMar>
              <w:top w:w="90" w:type="dxa"/>
              <w:start w:w="100" w:type="dxa"/>
              <w:bottom w:w="90" w:type="dxa"/>
              <w:end w:w="100" w:type="dxa"/>
            </w:tcMar>
            <w:vAlign w:val="top"/>
          </w:tcPr>
          <w:p>
            <w:r>
              <w:rPr>
                <w:rFonts w:ascii="Arial" w:hAnsi="Arial"/>
                <w:sz w:val="16"/>
              </w:rPr>
              <w:t>P1: add a data-subject-family purpose guard; Client_User must never create Consent_Request_Item__c.</w:t>
            </w:r>
          </w:p>
        </w:tc>
      </w:tr>
      <w:tr>
        <w:trPr>
          <w:trHeight w:hRule="atLeast"/>
        </w:trPr>
        <w:tc>
          <w:tcPr>
            <w:tcW w:type="dxa" w:w="720"/>
            <w:tcMar>
              <w:top w:w="90" w:type="dxa"/>
              <w:start w:w="100" w:type="dxa"/>
              <w:bottom w:w="90" w:type="dxa"/>
              <w:end w:w="100" w:type="dxa"/>
            </w:tcMar>
            <w:vAlign w:val="top"/>
            <w:shd w:fill="F4F7FA"/>
          </w:tcPr>
          <w:p>
            <w:r>
              <w:rPr>
                <w:rFonts w:ascii="Arial" w:hAnsi="Arial"/>
                <w:sz w:val="16"/>
              </w:rPr>
              <w:t>F07</w:t>
            </w:r>
          </w:p>
        </w:tc>
        <w:tc>
          <w:tcPr>
            <w:tcW w:type="dxa" w:w="4608"/>
            <w:tcMar>
              <w:top w:w="90" w:type="dxa"/>
              <w:start w:w="100" w:type="dxa"/>
              <w:bottom w:w="90" w:type="dxa"/>
              <w:end w:w="100" w:type="dxa"/>
            </w:tcMar>
            <w:vAlign w:val="top"/>
            <w:shd w:fill="F4F7FA"/>
          </w:tcPr>
          <w:p>
            <w:r>
              <w:rPr>
                <w:rFonts w:ascii="Arial" w:hAnsi="Arial"/>
                <w:sz w:val="16"/>
              </w:rPr>
              <w:t>The Flow fault path only assigns a text marker and terminates.</w:t>
            </w:r>
          </w:p>
        </w:tc>
        <w:tc>
          <w:tcPr>
            <w:tcW w:type="dxa" w:w="5040"/>
            <w:tcMar>
              <w:top w:w="90" w:type="dxa"/>
              <w:start w:w="100" w:type="dxa"/>
              <w:bottom w:w="90" w:type="dxa"/>
              <w:end w:w="100" w:type="dxa"/>
            </w:tcMar>
            <w:vAlign w:val="top"/>
            <w:shd w:fill="F4F7FA"/>
          </w:tcPr>
          <w:p>
            <w:r>
              <w:rPr>
                <w:rFonts w:ascii="Arial" w:hAnsi="Arial"/>
                <w:sz w:val="16"/>
              </w:rPr>
              <w:t>Create durable fault evidence and authorised notification without sensitive payloads.</w:t>
            </w:r>
          </w:p>
        </w:tc>
      </w:tr>
      <w:tr>
        <w:trPr>
          <w:trHeight w:hRule="atLeast"/>
        </w:trPr>
        <w:tc>
          <w:tcPr>
            <w:tcW w:type="dxa" w:w="720"/>
            <w:tcMar>
              <w:top w:w="90" w:type="dxa"/>
              <w:start w:w="100" w:type="dxa"/>
              <w:bottom w:w="90" w:type="dxa"/>
              <w:end w:w="100" w:type="dxa"/>
            </w:tcMar>
            <w:vAlign w:val="top"/>
          </w:tcPr>
          <w:p>
            <w:r>
              <w:rPr>
                <w:rFonts w:ascii="Arial" w:hAnsi="Arial"/>
                <w:sz w:val="16"/>
              </w:rPr>
              <w:t>F08</w:t>
            </w:r>
          </w:p>
        </w:tc>
        <w:tc>
          <w:tcPr>
            <w:tcW w:type="dxa" w:w="4608"/>
            <w:tcMar>
              <w:top w:w="90" w:type="dxa"/>
              <w:start w:w="100" w:type="dxa"/>
              <w:bottom w:w="90" w:type="dxa"/>
              <w:end w:w="100" w:type="dxa"/>
            </w:tcMar>
            <w:vAlign w:val="top"/>
          </w:tcPr>
          <w:p>
            <w:r>
              <w:rPr>
                <w:rFonts w:ascii="Arial" w:hAnsi="Arial"/>
                <w:sz w:val="16"/>
              </w:rPr>
              <w:t>Customer Community Plus layout assignment maps Client_User to a Singpass community layout.</w:t>
            </w:r>
          </w:p>
        </w:tc>
        <w:tc>
          <w:tcPr>
            <w:tcW w:type="dxa" w:w="5040"/>
            <w:tcMar>
              <w:top w:w="90" w:type="dxa"/>
              <w:start w:w="100" w:type="dxa"/>
              <w:bottom w:w="90" w:type="dxa"/>
              <w:end w:w="100" w:type="dxa"/>
            </w:tcMar>
            <w:vAlign w:val="top"/>
          </w:tcPr>
          <w:p>
            <w:r>
              <w:rPr>
                <w:rFonts w:ascii="Arial" w:hAnsi="Arial"/>
                <w:sz w:val="16"/>
              </w:rPr>
              <w:t>Correct the assignment after dependency analysis.</w:t>
            </w:r>
          </w:p>
        </w:tc>
      </w:tr>
      <w:tr>
        <w:trPr>
          <w:trHeight w:hRule="atLeast"/>
        </w:trPr>
        <w:tc>
          <w:tcPr>
            <w:tcW w:type="dxa" w:w="720"/>
            <w:tcMar>
              <w:top w:w="90" w:type="dxa"/>
              <w:start w:w="100" w:type="dxa"/>
              <w:bottom w:w="90" w:type="dxa"/>
              <w:end w:w="100" w:type="dxa"/>
            </w:tcMar>
            <w:vAlign w:val="top"/>
            <w:shd w:fill="F4F7FA"/>
          </w:tcPr>
          <w:p>
            <w:r>
              <w:rPr>
                <w:rFonts w:ascii="Arial" w:hAnsi="Arial"/>
                <w:sz w:val="16"/>
              </w:rPr>
              <w:t>F09</w:t>
            </w:r>
          </w:p>
        </w:tc>
        <w:tc>
          <w:tcPr>
            <w:tcW w:type="dxa" w:w="4608"/>
            <w:tcMar>
              <w:top w:w="90" w:type="dxa"/>
              <w:start w:w="100" w:type="dxa"/>
              <w:bottom w:w="90" w:type="dxa"/>
              <w:end w:w="100" w:type="dxa"/>
            </w:tcMar>
            <w:vAlign w:val="top"/>
            <w:shd w:fill="F4F7FA"/>
          </w:tcPr>
          <w:p>
            <w:r>
              <w:rPr>
                <w:rFonts w:ascii="Arial" w:hAnsi="Arial"/>
                <w:sz w:val="16"/>
              </w:rPr>
              <w:t>Legacy partner permission sets grant broad Contact CRUD, all record types and sensitive FLS.</w:t>
            </w:r>
          </w:p>
        </w:tc>
        <w:tc>
          <w:tcPr>
            <w:tcW w:type="dxa" w:w="5040"/>
            <w:tcMar>
              <w:top w:w="90" w:type="dxa"/>
              <w:start w:w="100" w:type="dxa"/>
              <w:bottom w:w="90" w:type="dxa"/>
              <w:end w:w="100" w:type="dxa"/>
            </w:tcMar>
            <w:vAlign w:val="top"/>
            <w:shd w:fill="F4F7FA"/>
          </w:tcPr>
          <w:p>
            <w:r>
              <w:rPr>
                <w:rFonts w:ascii="Arial" w:hAnsi="Arial"/>
                <w:sz w:val="16"/>
              </w:rPr>
              <w:t>Inventory dependencies; do not remove grants until replacement packages and B-F regression tests are ready.</w:t>
            </w:r>
          </w:p>
        </w:tc>
      </w:tr>
      <w:tr>
        <w:trPr>
          <w:trHeight w:hRule="atLeast"/>
        </w:trPr>
        <w:tc>
          <w:tcPr>
            <w:tcW w:type="dxa" w:w="720"/>
            <w:tcMar>
              <w:top w:w="90" w:type="dxa"/>
              <w:start w:w="100" w:type="dxa"/>
              <w:bottom w:w="90" w:type="dxa"/>
              <w:end w:w="100" w:type="dxa"/>
            </w:tcMar>
            <w:vAlign w:val="top"/>
          </w:tcPr>
          <w:p>
            <w:r>
              <w:rPr>
                <w:rFonts w:ascii="Arial" w:hAnsi="Arial"/>
                <w:sz w:val="16"/>
              </w:rPr>
              <w:t>F10</w:t>
            </w:r>
          </w:p>
        </w:tc>
        <w:tc>
          <w:tcPr>
            <w:tcW w:type="dxa" w:w="4608"/>
            <w:tcMar>
              <w:top w:w="90" w:type="dxa"/>
              <w:start w:w="100" w:type="dxa"/>
              <w:bottom w:w="90" w:type="dxa"/>
              <w:end w:w="100" w:type="dxa"/>
            </w:tcMar>
            <w:vAlign w:val="top"/>
          </w:tcPr>
          <w:p>
            <w:r>
              <w:rPr>
                <w:rFonts w:ascii="Arial" w:hAnsi="Arial"/>
                <w:sz w:val="16"/>
              </w:rPr>
              <w:t>No dedicated Client_User internal Lightning record-page override exists.</w:t>
            </w:r>
          </w:p>
        </w:tc>
        <w:tc>
          <w:tcPr>
            <w:tcW w:type="dxa" w:w="5040"/>
            <w:tcMar>
              <w:top w:w="90" w:type="dxa"/>
              <w:start w:w="100" w:type="dxa"/>
              <w:bottom w:w="90" w:type="dxa"/>
              <w:end w:w="100" w:type="dxa"/>
            </w:tcMar>
            <w:vAlign w:val="top"/>
          </w:tcPr>
          <w:p>
            <w:r>
              <w:rPr>
                <w:rFonts w:ascii="Arial" w:hAnsi="Arial"/>
                <w:sz w:val="16"/>
              </w:rPr>
              <w:t>Create or assign the approved Client User record page.</w:t>
            </w:r>
          </w:p>
        </w:tc>
      </w:tr>
      <w:tr>
        <w:trPr>
          <w:trHeight w:hRule="atLeast"/>
        </w:trPr>
        <w:tc>
          <w:tcPr>
            <w:tcW w:type="dxa" w:w="720"/>
            <w:tcMar>
              <w:top w:w="90" w:type="dxa"/>
              <w:start w:w="100" w:type="dxa"/>
              <w:bottom w:w="90" w:type="dxa"/>
              <w:end w:w="100" w:type="dxa"/>
            </w:tcMar>
            <w:vAlign w:val="top"/>
            <w:shd w:fill="F4F7FA"/>
          </w:tcPr>
          <w:p>
            <w:r>
              <w:rPr>
                <w:rFonts w:ascii="Arial" w:hAnsi="Arial"/>
                <w:sz w:val="16"/>
              </w:rPr>
              <w:t>F11</w:t>
            </w:r>
          </w:p>
        </w:tc>
        <w:tc>
          <w:tcPr>
            <w:tcW w:type="dxa" w:w="4608"/>
            <w:tcMar>
              <w:top w:w="90" w:type="dxa"/>
              <w:start w:w="100" w:type="dxa"/>
              <w:bottom w:w="90" w:type="dxa"/>
              <w:end w:w="100" w:type="dxa"/>
            </w:tcMar>
            <w:vAlign w:val="top"/>
            <w:shd w:fill="F4F7FA"/>
          </w:tcPr>
          <w:p>
            <w:r>
              <w:rPr>
                <w:rFonts w:ascii="Arial" w:hAnsi="Arial"/>
                <w:sz w:val="16"/>
              </w:rPr>
              <w:t>No Contact validation rules are retrieved; Contact history is disabled.</w:t>
            </w:r>
          </w:p>
        </w:tc>
        <w:tc>
          <w:tcPr>
            <w:tcW w:type="dxa" w:w="5040"/>
            <w:tcMar>
              <w:top w:w="90" w:type="dxa"/>
              <w:start w:w="100" w:type="dxa"/>
              <w:bottom w:w="90" w:type="dxa"/>
              <w:end w:w="100" w:type="dxa"/>
            </w:tcMar>
            <w:vAlign w:val="top"/>
            <w:shd w:fill="F4F7FA"/>
          </w:tcPr>
          <w:p>
            <w:r>
              <w:rPr>
                <w:rFonts w:ascii="Arial" w:hAnsi="Arial"/>
                <w:sz w:val="16"/>
              </w:rPr>
              <w:t>Add staged validation and selected history after remediation.</w:t>
            </w:r>
          </w:p>
        </w:tc>
      </w:tr>
      <w:tr>
        <w:trPr>
          <w:trHeight w:hRule="atLeast"/>
        </w:trPr>
        <w:tc>
          <w:tcPr>
            <w:tcW w:type="dxa" w:w="720"/>
            <w:tcMar>
              <w:top w:w="90" w:type="dxa"/>
              <w:start w:w="100" w:type="dxa"/>
              <w:bottom w:w="90" w:type="dxa"/>
              <w:end w:w="100" w:type="dxa"/>
            </w:tcMar>
            <w:vAlign w:val="top"/>
          </w:tcPr>
          <w:p>
            <w:r>
              <w:rPr>
                <w:rFonts w:ascii="Arial" w:hAnsi="Arial"/>
                <w:sz w:val="16"/>
              </w:rPr>
              <w:t>F12</w:t>
            </w:r>
          </w:p>
        </w:tc>
        <w:tc>
          <w:tcPr>
            <w:tcW w:type="dxa" w:w="4608"/>
            <w:tcMar>
              <w:top w:w="90" w:type="dxa"/>
              <w:start w:w="100" w:type="dxa"/>
              <w:bottom w:w="90" w:type="dxa"/>
              <w:end w:w="100" w:type="dxa"/>
            </w:tcMar>
            <w:vAlign w:val="top"/>
          </w:tcPr>
          <w:p>
            <w:r>
              <w:rPr>
                <w:rFonts w:ascii="Arial" w:hAnsi="Arial"/>
                <w:sz w:val="16"/>
              </w:rPr>
              <w:t>Standard duplicate rules allow create/update and include Lead matching.</w:t>
            </w:r>
          </w:p>
        </w:tc>
        <w:tc>
          <w:tcPr>
            <w:tcW w:type="dxa" w:w="5040"/>
            <w:tcMar>
              <w:top w:w="90" w:type="dxa"/>
              <w:start w:w="100" w:type="dxa"/>
              <w:bottom w:w="90" w:type="dxa"/>
              <w:end w:w="100" w:type="dxa"/>
            </w:tcMar>
            <w:vAlign w:val="top"/>
          </w:tcPr>
          <w:p>
            <w:r>
              <w:rPr>
                <w:rFonts w:ascii="Arial" w:hAnsi="Arial"/>
                <w:sz w:val="16"/>
              </w:rPr>
              <w:t>Add purpose-specific Client User duplicate governance; do not alter unrelated standard assets without approval.</w:t>
            </w:r>
          </w:p>
        </w:tc>
      </w:tr>
      <w:tr>
        <w:trPr>
          <w:trHeight w:hRule="atLeast"/>
        </w:trPr>
        <w:tc>
          <w:tcPr>
            <w:tcW w:type="dxa" w:w="720"/>
            <w:tcMar>
              <w:top w:w="90" w:type="dxa"/>
              <w:start w:w="100" w:type="dxa"/>
              <w:bottom w:w="90" w:type="dxa"/>
              <w:end w:w="100" w:type="dxa"/>
            </w:tcMar>
            <w:vAlign w:val="top"/>
            <w:shd w:fill="F4F7FA"/>
          </w:tcPr>
          <w:p>
            <w:r>
              <w:rPr>
                <w:rFonts w:ascii="Arial" w:hAnsi="Arial"/>
                <w:sz w:val="16"/>
              </w:rPr>
              <w:t>F13</w:t>
            </w:r>
          </w:p>
        </w:tc>
        <w:tc>
          <w:tcPr>
            <w:tcW w:type="dxa" w:w="4608"/>
            <w:tcMar>
              <w:top w:w="90" w:type="dxa"/>
              <w:start w:w="100" w:type="dxa"/>
              <w:bottom w:w="90" w:type="dxa"/>
              <w:end w:w="100" w:type="dxa"/>
            </w:tcMar>
            <w:vAlign w:val="top"/>
            <w:shd w:fill="F4F7FA"/>
          </w:tcPr>
          <w:p>
            <w:r>
              <w:rPr>
                <w:rFonts w:ascii="Arial" w:hAnsi="Arial"/>
                <w:sz w:val="16"/>
              </w:rPr>
              <w:t>Contact sharing is Controlled by Parent.</w:t>
            </w:r>
          </w:p>
        </w:tc>
        <w:tc>
          <w:tcPr>
            <w:tcW w:type="dxa" w:w="5040"/>
            <w:tcMar>
              <w:top w:w="90" w:type="dxa"/>
              <w:start w:w="100" w:type="dxa"/>
              <w:bottom w:w="90" w:type="dxa"/>
              <w:end w:w="100" w:type="dxa"/>
            </w:tcMar>
            <w:vAlign w:val="top"/>
            <w:shd w:fill="F4F7FA"/>
          </w:tcPr>
          <w:p>
            <w:r>
              <w:rPr>
                <w:rFonts w:ascii="Arial" w:hAnsi="Arial"/>
                <w:sz w:val="16"/>
              </w:rPr>
              <w:t>Record type is not a sharing boundary; full external isolation remains a downstream security gate.</w:t>
            </w:r>
          </w:p>
        </w:tc>
      </w:tr>
    </w:tbl>
    <w:p>
      <w:pPr>
        <w:spacing w:after="0"/>
      </w:pPr>
    </w:p>
    <w:p>
      <w:pPr>
        <w:pStyle w:val="Heading2"/>
        <w:keepNext/>
        <w:keepLines/>
      </w:pPr>
      <w:r>
        <w:t>3.1 Mandatory starting component inventory</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2160"/>
            <w:shd w:fill="17365D"/>
            <w:tcMar>
              <w:top w:w="90" w:type="dxa"/>
              <w:start w:w="100" w:type="dxa"/>
              <w:bottom w:w="90" w:type="dxa"/>
              <w:end w:w="100" w:type="dxa"/>
            </w:tcMar>
          </w:tcPr>
          <w:p>
            <w:pPr>
              <w:jc w:val="left"/>
            </w:pPr>
            <w:r>
              <w:rPr>
                <w:rFonts w:ascii="Arial" w:hAnsi="Arial"/>
                <w:b/>
                <w:color w:val="FFFFFF"/>
                <w:sz w:val="16"/>
              </w:rPr>
              <w:t>Metadata domain</w:t>
            </w:r>
          </w:p>
        </w:tc>
        <w:tc>
          <w:tcPr>
            <w:tcW w:type="dxa" w:w="8208"/>
            <w:shd w:fill="17365D"/>
            <w:tcMar>
              <w:top w:w="90" w:type="dxa"/>
              <w:start w:w="100" w:type="dxa"/>
              <w:bottom w:w="90" w:type="dxa"/>
              <w:end w:w="100" w:type="dxa"/>
            </w:tcMar>
          </w:tcPr>
          <w:p>
            <w:pPr>
              <w:jc w:val="left"/>
            </w:pPr>
            <w:r>
              <w:rPr>
                <w:rFonts w:ascii="Arial" w:hAnsi="Arial"/>
                <w:b/>
                <w:color w:val="FFFFFF"/>
                <w:sz w:val="16"/>
              </w:rPr>
              <w:t>Starting components to inspect</w:t>
            </w:r>
          </w:p>
        </w:tc>
      </w:tr>
      <w:tr>
        <w:trPr>
          <w:trHeight w:hRule="atLeast"/>
        </w:trPr>
        <w:tc>
          <w:tcPr>
            <w:tcW w:type="dxa" w:w="2160"/>
            <w:tcMar>
              <w:top w:w="90" w:type="dxa"/>
              <w:start w:w="100" w:type="dxa"/>
              <w:bottom w:w="90" w:type="dxa"/>
              <w:end w:w="100" w:type="dxa"/>
            </w:tcMar>
            <w:vAlign w:val="top"/>
            <w:shd w:fill="F4F7FA"/>
          </w:tcPr>
          <w:p>
            <w:r>
              <w:rPr>
                <w:rFonts w:ascii="Arial" w:hAnsi="Arial"/>
                <w:sz w:val="16"/>
              </w:rPr>
              <w:t>Contact record types</w:t>
            </w:r>
          </w:p>
        </w:tc>
        <w:tc>
          <w:tcPr>
            <w:tcW w:type="dxa" w:w="8208"/>
            <w:tcMar>
              <w:top w:w="90" w:type="dxa"/>
              <w:start w:w="100" w:type="dxa"/>
              <w:bottom w:w="90" w:type="dxa"/>
              <w:end w:w="100" w:type="dxa"/>
            </w:tcMar>
            <w:vAlign w:val="top"/>
            <w:shd w:fill="F4F7FA"/>
          </w:tcPr>
          <w:p>
            <w:r>
              <w:rPr>
                <w:rFonts w:ascii="Arial" w:hAnsi="Arial"/>
                <w:sz w:val="16"/>
              </w:rPr>
              <w:t>Client_User; Data_Subject; Singpass; Non_Singpass</w:t>
            </w:r>
          </w:p>
        </w:tc>
      </w:tr>
      <w:tr>
        <w:trPr>
          <w:trHeight w:hRule="atLeast"/>
        </w:trPr>
        <w:tc>
          <w:tcPr>
            <w:tcW w:type="dxa" w:w="2160"/>
            <w:tcMar>
              <w:top w:w="90" w:type="dxa"/>
              <w:start w:w="100" w:type="dxa"/>
              <w:bottom w:w="90" w:type="dxa"/>
              <w:end w:w="100" w:type="dxa"/>
            </w:tcMar>
            <w:vAlign w:val="top"/>
          </w:tcPr>
          <w:p>
            <w:r>
              <w:rPr>
                <w:rFonts w:ascii="Arial" w:hAnsi="Arial"/>
                <w:sz w:val="16"/>
              </w:rPr>
              <w:t>Layouts</w:t>
            </w:r>
          </w:p>
        </w:tc>
        <w:tc>
          <w:tcPr>
            <w:tcW w:type="dxa" w:w="8208"/>
            <w:tcMar>
              <w:top w:w="90" w:type="dxa"/>
              <w:start w:w="100" w:type="dxa"/>
              <w:bottom w:w="90" w:type="dxa"/>
              <w:end w:w="100" w:type="dxa"/>
            </w:tcMar>
            <w:vAlign w:val="top"/>
          </w:tcPr>
          <w:p>
            <w:r>
              <w:rPr>
                <w:rFonts w:ascii="Arial" w:hAnsi="Arial"/>
                <w:sz w:val="16"/>
              </w:rPr>
              <w:t>Contact-CBS Contact - Client User Layout; Contact-CBS Contact - Data Subject Layout; Contact-CBS Contact - SingPass.layout; Contact-CBS Contact - SingPass- Community User; Contact-CBS Contact - Non-SingPass.layout; Contact-CBS Contact - Non-SingPass - Community User; Contact-Contact Layout</w:t>
            </w:r>
          </w:p>
        </w:tc>
      </w:tr>
      <w:tr>
        <w:trPr>
          <w:trHeight w:hRule="atLeast"/>
        </w:trPr>
        <w:tc>
          <w:tcPr>
            <w:tcW w:type="dxa" w:w="2160"/>
            <w:tcMar>
              <w:top w:w="90" w:type="dxa"/>
              <w:start w:w="100" w:type="dxa"/>
              <w:bottom w:w="90" w:type="dxa"/>
              <w:end w:w="100" w:type="dxa"/>
            </w:tcMar>
            <w:vAlign w:val="top"/>
            <w:shd w:fill="F4F7FA"/>
          </w:tcPr>
          <w:p>
            <w:r>
              <w:rPr>
                <w:rFonts w:ascii="Arial" w:hAnsi="Arial"/>
                <w:sz w:val="16"/>
              </w:rPr>
              <w:t>Lightning pages</w:t>
            </w:r>
          </w:p>
        </w:tc>
        <w:tc>
          <w:tcPr>
            <w:tcW w:type="dxa" w:w="8208"/>
            <w:tcMar>
              <w:top w:w="90" w:type="dxa"/>
              <w:start w:w="100" w:type="dxa"/>
              <w:bottom w:w="90" w:type="dxa"/>
              <w:end w:w="100" w:type="dxa"/>
            </w:tcMar>
            <w:vAlign w:val="top"/>
            <w:shd w:fill="F4F7FA"/>
          </w:tcPr>
          <w:p>
            <w:r>
              <w:rPr>
                <w:rFonts w:ascii="Arial" w:hAnsi="Arial"/>
                <w:sz w:val="16"/>
              </w:rPr>
              <w:t>Contact_Record_Page; Contact_Record_Page1; Contact_Record_Page_Three_Column; all app/profile/page assignments</w:t>
            </w:r>
          </w:p>
        </w:tc>
      </w:tr>
      <w:tr>
        <w:trPr>
          <w:trHeight w:hRule="atLeast"/>
        </w:trPr>
        <w:tc>
          <w:tcPr>
            <w:tcW w:type="dxa" w:w="2160"/>
            <w:tcMar>
              <w:top w:w="90" w:type="dxa"/>
              <w:start w:w="100" w:type="dxa"/>
              <w:bottom w:w="90" w:type="dxa"/>
              <w:end w:w="100" w:type="dxa"/>
            </w:tcMar>
            <w:vAlign w:val="top"/>
          </w:tcPr>
          <w:p>
            <w:r>
              <w:rPr>
                <w:rFonts w:ascii="Arial" w:hAnsi="Arial"/>
                <w:sz w:val="16"/>
              </w:rPr>
              <w:t>Flows</w:t>
            </w:r>
          </w:p>
        </w:tc>
        <w:tc>
          <w:tcPr>
            <w:tcW w:type="dxa" w:w="8208"/>
            <w:tcMar>
              <w:top w:w="90" w:type="dxa"/>
              <w:start w:w="100" w:type="dxa"/>
              <w:bottom w:w="90" w:type="dxa"/>
              <w:end w:w="100" w:type="dxa"/>
            </w:tcMar>
            <w:vAlign w:val="top"/>
          </w:tcPr>
          <w:p>
            <w:r>
              <w:rPr>
                <w:rFonts w:ascii="Arial" w:hAnsi="Arial"/>
                <w:sz w:val="16"/>
              </w:rPr>
              <w:t>contactApproveCreateConsentRequest; ConsentInsertUpdateConsentRequestItem; InsertDeparturesUpdateContact; UpdateConsentRequestInsertCase; Update_Contact_Life_Cycle; all other Contact-triggered or Consent_Request_Item__c automation</w:t>
            </w:r>
          </w:p>
        </w:tc>
      </w:tr>
      <w:tr>
        <w:trPr>
          <w:trHeight w:hRule="atLeast"/>
        </w:trPr>
        <w:tc>
          <w:tcPr>
            <w:tcW w:type="dxa" w:w="2160"/>
            <w:tcMar>
              <w:top w:w="90" w:type="dxa"/>
              <w:start w:w="100" w:type="dxa"/>
              <w:bottom w:w="90" w:type="dxa"/>
              <w:end w:w="100" w:type="dxa"/>
            </w:tcMar>
            <w:vAlign w:val="top"/>
            <w:shd w:fill="F4F7FA"/>
          </w:tcPr>
          <w:p>
            <w:r>
              <w:rPr>
                <w:rFonts w:ascii="Arial" w:hAnsi="Arial"/>
                <w:sz w:val="16"/>
              </w:rPr>
              <w:t>Permission assets</w:t>
            </w:r>
          </w:p>
        </w:tc>
        <w:tc>
          <w:tcPr>
            <w:tcW w:type="dxa" w:w="8208"/>
            <w:tcMar>
              <w:top w:w="90" w:type="dxa"/>
              <w:start w:w="100" w:type="dxa"/>
              <w:bottom w:w="90" w:type="dxa"/>
              <w:end w:w="100" w:type="dxa"/>
            </w:tcMar>
            <w:vAlign w:val="top"/>
            <w:shd w:fill="F4F7FA"/>
          </w:tcPr>
          <w:p>
            <w:r>
              <w:rPr>
                <w:rFonts w:ascii="Arial" w:hAnsi="Arial"/>
                <w:sz w:val="16"/>
              </w:rPr>
              <w:t>CBS_Client_HR_User; CBS_Client_Approver; Set_Custom_Object_To_Partner; partner_community_User_Permissions_set; relevant profiles, permission-set groups and Network member groups</w:t>
            </w:r>
          </w:p>
        </w:tc>
      </w:tr>
      <w:tr>
        <w:trPr>
          <w:trHeight w:hRule="atLeast"/>
        </w:trPr>
        <w:tc>
          <w:tcPr>
            <w:tcW w:type="dxa" w:w="2160"/>
            <w:tcMar>
              <w:top w:w="90" w:type="dxa"/>
              <w:start w:w="100" w:type="dxa"/>
              <w:bottom w:w="90" w:type="dxa"/>
              <w:end w:w="100" w:type="dxa"/>
            </w:tcMar>
            <w:vAlign w:val="top"/>
          </w:tcPr>
          <w:p>
            <w:r>
              <w:rPr>
                <w:rFonts w:ascii="Arial" w:hAnsi="Arial"/>
                <w:sz w:val="16"/>
              </w:rPr>
              <w:t>Apex/LWC/Experience</w:t>
            </w:r>
          </w:p>
        </w:tc>
        <w:tc>
          <w:tcPr>
            <w:tcW w:type="dxa" w:w="8208"/>
            <w:tcMar>
              <w:top w:w="90" w:type="dxa"/>
              <w:start w:w="100" w:type="dxa"/>
              <w:bottom w:w="90" w:type="dxa"/>
              <w:end w:w="100" w:type="dxa"/>
            </w:tcMar>
            <w:vAlign w:val="top"/>
          </w:tcPr>
          <w:p>
            <w:r>
              <w:rPr>
                <w:rFonts w:ascii="Arial" w:hAnsi="Arial"/>
                <w:sz w:val="16"/>
              </w:rPr>
              <w:t>Every component that queries, creates, updates, serialises, displays or exports Contact or affected fields; include MyProfile, recent activity, batch upload, consent, departure, report and isolation tests</w:t>
            </w:r>
          </w:p>
        </w:tc>
      </w:tr>
      <w:tr>
        <w:trPr>
          <w:trHeight w:hRule="atLeast"/>
        </w:trPr>
        <w:tc>
          <w:tcPr>
            <w:tcW w:type="dxa" w:w="2160"/>
            <w:tcMar>
              <w:top w:w="90" w:type="dxa"/>
              <w:start w:w="100" w:type="dxa"/>
              <w:bottom w:w="90" w:type="dxa"/>
              <w:end w:w="100" w:type="dxa"/>
            </w:tcMar>
            <w:vAlign w:val="top"/>
            <w:shd w:fill="F4F7FA"/>
          </w:tcPr>
          <w:p>
            <w:r>
              <w:rPr>
                <w:rFonts w:ascii="Arial" w:hAnsi="Arial"/>
                <w:sz w:val="16"/>
              </w:rPr>
              <w:t>Duplicate and sharing</w:t>
            </w:r>
          </w:p>
        </w:tc>
        <w:tc>
          <w:tcPr>
            <w:tcW w:type="dxa" w:w="8208"/>
            <w:tcMar>
              <w:top w:w="90" w:type="dxa"/>
              <w:start w:w="100" w:type="dxa"/>
              <w:bottom w:w="90" w:type="dxa"/>
              <w:end w:w="100" w:type="dxa"/>
            </w:tcMar>
            <w:vAlign w:val="top"/>
            <w:shd w:fill="F4F7FA"/>
          </w:tcPr>
          <w:p>
            <w:r>
              <w:rPr>
                <w:rFonts w:ascii="Arial" w:hAnsi="Arial"/>
                <w:sz w:val="16"/>
              </w:rPr>
              <w:t>Contact duplicate rules, matching rules, Contact OWD, sharing rules, sharing sets, Account mappings and site routes</w:t>
            </w:r>
          </w:p>
        </w:tc>
      </w:tr>
      <w:tr>
        <w:trPr>
          <w:trHeight w:hRule="atLeast"/>
        </w:trPr>
        <w:tc>
          <w:tcPr>
            <w:tcW w:type="dxa" w:w="2160"/>
            <w:tcMar>
              <w:top w:w="90" w:type="dxa"/>
              <w:start w:w="100" w:type="dxa"/>
              <w:bottom w:w="90" w:type="dxa"/>
              <w:end w:w="100" w:type="dxa"/>
            </w:tcMar>
            <w:vAlign w:val="top"/>
          </w:tcPr>
          <w:p>
            <w:r>
              <w:rPr>
                <w:rFonts w:ascii="Arial" w:hAnsi="Arial"/>
                <w:sz w:val="16"/>
              </w:rPr>
              <w:t>Runtime data</w:t>
            </w:r>
          </w:p>
        </w:tc>
        <w:tc>
          <w:tcPr>
            <w:tcW w:type="dxa" w:w="8208"/>
            <w:tcMar>
              <w:top w:w="90" w:type="dxa"/>
              <w:start w:w="100" w:type="dxa"/>
              <w:bottom w:w="90" w:type="dxa"/>
              <w:end w:w="100" w:type="dxa"/>
            </w:tcMar>
            <w:vAlign w:val="top"/>
          </w:tcPr>
          <w:p>
            <w:r>
              <w:rPr>
                <w:rFonts w:ascii="Arial" w:hAnsi="Arial"/>
                <w:sz w:val="16"/>
              </w:rPr>
              <w:t>Counts and samples by record type, related Users, affected fields, duplicate emails, operational records, Files and integration ownership</w:t>
            </w:r>
          </w:p>
        </w:tc>
      </w:tr>
    </w:tbl>
    <w:p>
      <w:pPr>
        <w:spacing w:after="0"/>
      </w:pPr>
    </w:p>
    <w:p>
      <w:pPr>
        <w:pStyle w:val="Heading1"/>
        <w:keepNext/>
        <w:keepLines/>
        <w:pageBreakBefore/>
      </w:pPr>
      <w:r>
        <w:t>4. Non-Negotiable Target Design</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2880"/>
            <w:shd w:fill="17365D"/>
            <w:tcMar>
              <w:top w:w="90" w:type="dxa"/>
              <w:start w:w="100" w:type="dxa"/>
              <w:bottom w:w="90" w:type="dxa"/>
              <w:end w:w="100" w:type="dxa"/>
            </w:tcMar>
          </w:tcPr>
          <w:p>
            <w:pPr>
              <w:jc w:val="left"/>
            </w:pPr>
            <w:r>
              <w:rPr>
                <w:rFonts w:ascii="Arial" w:hAnsi="Arial"/>
                <w:b/>
                <w:color w:val="FFFFFF"/>
                <w:sz w:val="17"/>
              </w:rPr>
              <w:t>Control</w:t>
            </w:r>
          </w:p>
        </w:tc>
        <w:tc>
          <w:tcPr>
            <w:tcW w:type="dxa" w:w="7488"/>
            <w:shd w:fill="17365D"/>
            <w:tcMar>
              <w:top w:w="90" w:type="dxa"/>
              <w:start w:w="100" w:type="dxa"/>
              <w:bottom w:w="90" w:type="dxa"/>
              <w:end w:w="100" w:type="dxa"/>
            </w:tcMar>
          </w:tcPr>
          <w:p>
            <w:pPr>
              <w:jc w:val="left"/>
            </w:pPr>
            <w:r>
              <w:rPr>
                <w:rFonts w:ascii="Arial" w:hAnsi="Arial"/>
                <w:b/>
                <w:color w:val="FFFFFF"/>
                <w:sz w:val="17"/>
              </w:rPr>
              <w:t>Required target</w:t>
            </w:r>
          </w:p>
        </w:tc>
      </w:tr>
      <w:tr>
        <w:trPr>
          <w:trHeight w:hRule="atLeast"/>
        </w:trPr>
        <w:tc>
          <w:tcPr>
            <w:tcW w:type="dxa" w:w="2880"/>
            <w:tcMar>
              <w:top w:w="90" w:type="dxa"/>
              <w:start w:w="100" w:type="dxa"/>
              <w:bottom w:w="90" w:type="dxa"/>
              <w:end w:w="100" w:type="dxa"/>
            </w:tcMar>
            <w:vAlign w:val="top"/>
            <w:shd w:fill="F4F7FA"/>
          </w:tcPr>
          <w:p>
            <w:r>
              <w:rPr>
                <w:rFonts w:ascii="Arial" w:hAnsi="Arial"/>
                <w:sz w:val="17"/>
              </w:rPr>
              <w:t>Purpose model</w:t>
            </w:r>
          </w:p>
        </w:tc>
        <w:tc>
          <w:tcPr>
            <w:tcW w:type="dxa" w:w="7488"/>
            <w:tcMar>
              <w:top w:w="90" w:type="dxa"/>
              <w:start w:w="100" w:type="dxa"/>
              <w:bottom w:w="90" w:type="dxa"/>
              <w:end w:w="100" w:type="dxa"/>
            </w:tcMar>
            <w:vAlign w:val="top"/>
            <w:shd w:fill="F4F7FA"/>
          </w:tcPr>
          <w:p>
            <w:r>
              <w:rPr>
                <w:rFonts w:ascii="Arial" w:hAnsi="Arial"/>
                <w:sz w:val="17"/>
              </w:rPr>
              <w:t>Contact remains standard. Client_User is the client-access identity; Data_Subject/Singpass/Non_Singpass are data-subject purposes.</w:t>
            </w:r>
          </w:p>
        </w:tc>
      </w:tr>
      <w:tr>
        <w:trPr>
          <w:trHeight w:hRule="atLeast"/>
        </w:trPr>
        <w:tc>
          <w:tcPr>
            <w:tcW w:type="dxa" w:w="2880"/>
            <w:tcMar>
              <w:top w:w="90" w:type="dxa"/>
              <w:start w:w="100" w:type="dxa"/>
              <w:bottom w:w="90" w:type="dxa"/>
              <w:end w:w="100" w:type="dxa"/>
            </w:tcMar>
            <w:vAlign w:val="top"/>
          </w:tcPr>
          <w:p>
            <w:r>
              <w:rPr>
                <w:rFonts w:ascii="Arial" w:hAnsi="Arial"/>
                <w:sz w:val="17"/>
              </w:rPr>
              <w:t>Same-person rule</w:t>
            </w:r>
          </w:p>
        </w:tc>
        <w:tc>
          <w:tcPr>
            <w:tcW w:type="dxa" w:w="7488"/>
            <w:tcMar>
              <w:top w:w="90" w:type="dxa"/>
              <w:start w:w="100" w:type="dxa"/>
              <w:bottom w:w="90" w:type="dxa"/>
              <w:end w:w="100" w:type="dxa"/>
            </w:tcMar>
            <w:vAlign w:val="top"/>
          </w:tcPr>
          <w:p>
            <w:r>
              <w:rPr>
                <w:rFonts w:ascii="Arial" w:hAnsi="Arial"/>
                <w:sz w:val="17"/>
              </w:rPr>
              <w:t>Use separate Contacts when one natural person has both purposes. Do not convert between Client_User and data-subject purposes.</w:t>
            </w:r>
          </w:p>
        </w:tc>
      </w:tr>
      <w:tr>
        <w:trPr>
          <w:trHeight w:hRule="atLeast"/>
        </w:trPr>
        <w:tc>
          <w:tcPr>
            <w:tcW w:type="dxa" w:w="2880"/>
            <w:tcMar>
              <w:top w:w="90" w:type="dxa"/>
              <w:start w:w="100" w:type="dxa"/>
              <w:bottom w:w="90" w:type="dxa"/>
              <w:end w:w="100" w:type="dxa"/>
            </w:tcMar>
            <w:vAlign w:val="top"/>
            <w:shd w:fill="F4F7FA"/>
          </w:tcPr>
          <w:p>
            <w:r>
              <w:rPr>
                <w:rFonts w:ascii="Arial" w:hAnsi="Arial"/>
                <w:sz w:val="17"/>
              </w:rPr>
              <w:t>Client User minimum data</w:t>
            </w:r>
          </w:p>
        </w:tc>
        <w:tc>
          <w:tcPr>
            <w:tcW w:type="dxa" w:w="7488"/>
            <w:tcMar>
              <w:top w:w="90" w:type="dxa"/>
              <w:start w:w="100" w:type="dxa"/>
              <w:bottom w:w="90" w:type="dxa"/>
              <w:end w:w="100" w:type="dxa"/>
            </w:tcMar>
            <w:vAlign w:val="top"/>
            <w:shd w:fill="F4F7FA"/>
          </w:tcPr>
          <w:p>
            <w:r>
              <w:rPr>
                <w:rFonts w:ascii="Arial" w:hAnsi="Arial"/>
                <w:sz w:val="17"/>
              </w:rPr>
              <w:t>FirstName, LastName, AccountId, business Email, Department, Portal_Role__c; Title and business Phone are optional.</w:t>
            </w:r>
          </w:p>
        </w:tc>
      </w:tr>
      <w:tr>
        <w:trPr>
          <w:trHeight w:hRule="atLeast"/>
        </w:trPr>
        <w:tc>
          <w:tcPr>
            <w:tcW w:type="dxa" w:w="2880"/>
            <w:tcMar>
              <w:top w:w="90" w:type="dxa"/>
              <w:start w:w="100" w:type="dxa"/>
              <w:bottom w:w="90" w:type="dxa"/>
              <w:end w:w="100" w:type="dxa"/>
            </w:tcMar>
            <w:vAlign w:val="top"/>
          </w:tcPr>
          <w:p>
            <w:r>
              <w:rPr>
                <w:rFonts w:ascii="Arial" w:hAnsi="Arial"/>
                <w:sz w:val="17"/>
              </w:rPr>
              <w:t>Prohibited Client User data</w:t>
            </w:r>
          </w:p>
        </w:tc>
        <w:tc>
          <w:tcPr>
            <w:tcW w:type="dxa" w:w="7488"/>
            <w:tcMar>
              <w:top w:w="90" w:type="dxa"/>
              <w:start w:w="100" w:type="dxa"/>
              <w:bottom w:w="90" w:type="dxa"/>
              <w:end w:w="100" w:type="dxa"/>
            </w:tcMar>
            <w:vAlign w:val="top"/>
          </w:tcPr>
          <w:p>
            <w:r>
              <w:rPr>
                <w:rFonts w:ascii="Arial" w:hAnsi="Arial"/>
                <w:sz w:val="17"/>
              </w:rPr>
              <w:t>DOB/Birthdate, ID/NRIC/FIN/passport, MyInfo, Employment Status, consent, report, departure and matching fields.</w:t>
            </w:r>
          </w:p>
        </w:tc>
      </w:tr>
      <w:tr>
        <w:trPr>
          <w:trHeight w:hRule="atLeast"/>
        </w:trPr>
        <w:tc>
          <w:tcPr>
            <w:tcW w:type="dxa" w:w="2880"/>
            <w:tcMar>
              <w:top w:w="90" w:type="dxa"/>
              <w:start w:w="100" w:type="dxa"/>
              <w:bottom w:w="90" w:type="dxa"/>
              <w:end w:w="100" w:type="dxa"/>
            </w:tcMar>
            <w:vAlign w:val="top"/>
            <w:shd w:fill="F4F7FA"/>
          </w:tcPr>
          <w:p>
            <w:r>
              <w:rPr>
                <w:rFonts w:ascii="Arial" w:hAnsi="Arial"/>
                <w:sz w:val="17"/>
              </w:rPr>
              <w:t>Data-subject access fields</w:t>
            </w:r>
          </w:p>
        </w:tc>
        <w:tc>
          <w:tcPr>
            <w:tcW w:type="dxa" w:w="7488"/>
            <w:tcMar>
              <w:top w:w="90" w:type="dxa"/>
              <w:start w:w="100" w:type="dxa"/>
              <w:bottom w:w="90" w:type="dxa"/>
              <w:end w:w="100" w:type="dxa"/>
            </w:tcMar>
            <w:vAlign w:val="top"/>
            <w:shd w:fill="F4F7FA"/>
          </w:tcPr>
          <w:p>
            <w:r>
              <w:rPr>
                <w:rFonts w:ascii="Arial" w:hAnsi="Arial"/>
                <w:sz w:val="17"/>
              </w:rPr>
              <w:t>Portal_Role__c, Can_Approve__c and Is_Active_Client_User__c are prohibited on the data-subject family.</w:t>
            </w:r>
          </w:p>
        </w:tc>
      </w:tr>
      <w:tr>
        <w:trPr>
          <w:trHeight w:hRule="atLeast"/>
        </w:trPr>
        <w:tc>
          <w:tcPr>
            <w:tcW w:type="dxa" w:w="2880"/>
            <w:tcMar>
              <w:top w:w="90" w:type="dxa"/>
              <w:start w:w="100" w:type="dxa"/>
              <w:bottom w:w="90" w:type="dxa"/>
              <w:end w:w="100" w:type="dxa"/>
            </w:tcMar>
            <w:vAlign w:val="top"/>
          </w:tcPr>
          <w:p>
            <w:r>
              <w:rPr>
                <w:rFonts w:ascii="Arial" w:hAnsi="Arial"/>
                <w:sz w:val="17"/>
              </w:rPr>
              <w:t>Portal roles</w:t>
            </w:r>
          </w:p>
        </w:tc>
        <w:tc>
          <w:tcPr>
            <w:tcW w:type="dxa" w:w="7488"/>
            <w:tcMar>
              <w:top w:w="90" w:type="dxa"/>
              <w:start w:w="100" w:type="dxa"/>
              <w:bottom w:w="90" w:type="dxa"/>
              <w:end w:w="100" w:type="dxa"/>
            </w:tcMar>
            <w:vAlign w:val="top"/>
          </w:tcPr>
          <w:p>
            <w:r>
              <w:rPr>
                <w:rFonts w:ascii="Arial" w:hAnsi="Arial"/>
                <w:sz w:val="17"/>
              </w:rPr>
              <w:t>Client HR User and Client Approver only. Client Admin is unavailable for new records unless separately approved.</w:t>
            </w:r>
          </w:p>
        </w:tc>
      </w:tr>
      <w:tr>
        <w:trPr>
          <w:trHeight w:hRule="atLeast"/>
        </w:trPr>
        <w:tc>
          <w:tcPr>
            <w:tcW w:type="dxa" w:w="2880"/>
            <w:tcMar>
              <w:top w:w="90" w:type="dxa"/>
              <w:start w:w="100" w:type="dxa"/>
              <w:bottom w:w="90" w:type="dxa"/>
              <w:end w:w="100" w:type="dxa"/>
            </w:tcMar>
            <w:vAlign w:val="top"/>
            <w:shd w:fill="F4F7FA"/>
          </w:tcPr>
          <w:p>
            <w:r>
              <w:rPr>
                <w:rFonts w:ascii="Arial" w:hAnsi="Arial"/>
                <w:sz w:val="17"/>
              </w:rPr>
              <w:t>Can Approve</w:t>
            </w:r>
          </w:p>
        </w:tc>
        <w:tc>
          <w:tcPr>
            <w:tcW w:type="dxa" w:w="7488"/>
            <w:tcMar>
              <w:top w:w="90" w:type="dxa"/>
              <w:start w:w="100" w:type="dxa"/>
              <w:bottom w:w="90" w:type="dxa"/>
              <w:end w:w="100" w:type="dxa"/>
            </w:tcMar>
            <w:vAlign w:val="top"/>
            <w:shd w:fill="F4F7FA"/>
          </w:tcPr>
          <w:p>
            <w:r>
              <w:rPr>
                <w:rFonts w:ascii="Arial" w:hAnsi="Arial"/>
                <w:sz w:val="17"/>
              </w:rPr>
              <w:t>System-derived from Portal_Role__c; users must not create contradictory combinations.</w:t>
            </w:r>
          </w:p>
        </w:tc>
      </w:tr>
      <w:tr>
        <w:trPr>
          <w:trHeight w:hRule="atLeast"/>
        </w:trPr>
        <w:tc>
          <w:tcPr>
            <w:tcW w:type="dxa" w:w="2880"/>
            <w:tcMar>
              <w:top w:w="90" w:type="dxa"/>
              <w:start w:w="100" w:type="dxa"/>
              <w:bottom w:w="90" w:type="dxa"/>
              <w:end w:w="100" w:type="dxa"/>
            </w:tcMar>
            <w:vAlign w:val="top"/>
          </w:tcPr>
          <w:p>
            <w:r>
              <w:rPr>
                <w:rFonts w:ascii="Arial" w:hAnsi="Arial"/>
                <w:sz w:val="17"/>
              </w:rPr>
              <w:t>Active Client User</w:t>
            </w:r>
          </w:p>
        </w:tc>
        <w:tc>
          <w:tcPr>
            <w:tcW w:type="dxa" w:w="7488"/>
            <w:tcMar>
              <w:top w:w="90" w:type="dxa"/>
              <w:start w:w="100" w:type="dxa"/>
              <w:bottom w:w="90" w:type="dxa"/>
              <w:end w:w="100" w:type="dxa"/>
            </w:tcMar>
            <w:vAlign w:val="top"/>
          </w:tcPr>
          <w:p>
            <w:r>
              <w:rPr>
                <w:rFonts w:ascii="Arial" w:hAnsi="Arial"/>
                <w:sz w:val="17"/>
              </w:rPr>
              <w:t>System-maintained from approved access/User state. Business Development cannot activate access by editing Contact.</w:t>
            </w:r>
          </w:p>
        </w:tc>
      </w:tr>
      <w:tr>
        <w:trPr>
          <w:trHeight w:hRule="atLeast"/>
        </w:trPr>
        <w:tc>
          <w:tcPr>
            <w:tcW w:type="dxa" w:w="2880"/>
            <w:tcMar>
              <w:top w:w="90" w:type="dxa"/>
              <w:start w:w="100" w:type="dxa"/>
              <w:bottom w:w="90" w:type="dxa"/>
              <w:end w:w="100" w:type="dxa"/>
            </w:tcMar>
            <w:vAlign w:val="top"/>
            <w:shd w:fill="F4F7FA"/>
          </w:tcPr>
          <w:p>
            <w:r>
              <w:rPr>
                <w:rFonts w:ascii="Arial" w:hAnsi="Arial"/>
                <w:sz w:val="17"/>
              </w:rPr>
              <w:t>Standard-first</w:t>
            </w:r>
          </w:p>
        </w:tc>
        <w:tc>
          <w:tcPr>
            <w:tcW w:type="dxa" w:w="7488"/>
            <w:tcMar>
              <w:top w:w="90" w:type="dxa"/>
              <w:start w:w="100" w:type="dxa"/>
              <w:bottom w:w="90" w:type="dxa"/>
              <w:end w:w="100" w:type="dxa"/>
            </w:tcMar>
            <w:vAlign w:val="top"/>
            <w:shd w:fill="F4F7FA"/>
          </w:tcPr>
          <w:p>
            <w:r>
              <w:rPr>
                <w:rFonts w:ascii="Arial" w:hAnsi="Arial"/>
                <w:sz w:val="17"/>
              </w:rPr>
              <w:t>No new custom business object. Use fields, record types, validation, Flow, layouts/pages, duplicate management, history and least privilege.</w:t>
            </w:r>
          </w:p>
        </w:tc>
      </w:tr>
      <w:tr>
        <w:trPr>
          <w:trHeight w:hRule="atLeast"/>
        </w:trPr>
        <w:tc>
          <w:tcPr>
            <w:tcW w:type="dxa" w:w="2880"/>
            <w:tcMar>
              <w:top w:w="90" w:type="dxa"/>
              <w:start w:w="100" w:type="dxa"/>
              <w:bottom w:w="90" w:type="dxa"/>
              <w:end w:w="100" w:type="dxa"/>
            </w:tcMar>
            <w:vAlign w:val="top"/>
          </w:tcPr>
          <w:p>
            <w:r>
              <w:rPr>
                <w:rFonts w:ascii="Arial" w:hAnsi="Arial"/>
                <w:sz w:val="17"/>
              </w:rPr>
              <w:t>Cross-category safety</w:t>
            </w:r>
          </w:p>
        </w:tc>
        <w:tc>
          <w:tcPr>
            <w:tcW w:type="dxa" w:w="7488"/>
            <w:tcMar>
              <w:top w:w="90" w:type="dxa"/>
              <w:start w:w="100" w:type="dxa"/>
              <w:bottom w:w="90" w:type="dxa"/>
              <w:end w:w="100" w:type="dxa"/>
            </w:tcMar>
            <w:vAlign w:val="top"/>
          </w:tcPr>
          <w:p>
            <w:r>
              <w:rPr>
                <w:rFonts w:ascii="Arial" w:hAnsi="Arial"/>
                <w:sz w:val="17"/>
              </w:rPr>
              <w:t>Preserve qualifying Category B processing and Categories B-F routes; no broad permission reduction without dependency evidence.</w:t>
            </w:r>
          </w:p>
        </w:tc>
      </w:tr>
    </w:tbl>
    <w:p>
      <w:pPr>
        <w:spacing w:after="0"/>
      </w:pPr>
    </w:p>
    <w:p>
      <w:pPr>
        <w:pStyle w:val="Heading1"/>
        <w:keepNext/>
        <w:keepLines/>
        <w:pageBreakBefore/>
      </w:pPr>
      <w:r>
        <w:t>5. Two-Gate Cursor Execution Model</w:t>
      </w:r>
    </w:p>
    <w:p>
      <w:pPr>
        <w:spacing w:before="80" w:after="120"/>
        <w:ind w:left="173" w:right="72"/>
        <w:shd w:fill="FFF2CC"/>
        <w:pBdr>
          <w:left w:val="single" w:sz="18" w:space="6" w:color="BF9000"/>
        </w:pBdr>
      </w:pPr>
      <w:r>
        <w:rPr>
          <w:b/>
          <w:color w:val="17365D"/>
        </w:rPr>
        <w:t>Gate 1 - Analysis only</w:t>
        <w:br/>
      </w:r>
      <w:r>
        <w:t>On the first run, Cursor must not modify any source file. It must scan the repository and connected org, produce the pre-change impact report and exact manifest, then stop with the status AWAITING A-IMP-02 MANIFEST APPROVAL.</w:t>
      </w:r>
    </w:p>
    <w:p>
      <w:pPr>
        <w:spacing w:before="80" w:after="120"/>
        <w:ind w:left="173" w:right="72"/>
        <w:shd w:fill="E2F0D9"/>
        <w:pBdr>
          <w:left w:val="single" w:sz="18" w:space="6" w:color="70AD47"/>
        </w:pBdr>
      </w:pPr>
      <w:r>
        <w:rPr>
          <w:b/>
          <w:color w:val="17365D"/>
        </w:rPr>
        <w:t>Gate 2 - Controlled implementation</w:t>
        <w:br/>
      </w:r>
      <w:r>
        <w:t>Cursor may modify files only after the user explicitly states APPROVE A-IMP-02 MANIFEST. It must then implement only the approved manifest, run verification, prepare deployment and rollback packages, and stop before any production deployment.</w:t>
      </w:r>
    </w:p>
    <w:p>
      <w:pPr>
        <w:pStyle w:val="Heading1"/>
        <w:keepNext/>
        <w:keepLines/>
        <w:pageBreakBefore/>
      </w:pPr>
      <w:r>
        <w:t>6. Phase 1 - Required Pre-Change Analysis</w:t>
      </w:r>
    </w:p>
    <w:p>
      <w:pPr>
        <w:pStyle w:val="ListNumber"/>
        <w:spacing w:after="40"/>
      </w:pPr>
      <w:r>
        <w:t>Verify the repository baseline, Salesforce API version, org alias, source format and active metadata against the 15 July 2026 snapshot. Record any drift.</w:t>
      </w:r>
    </w:p>
    <w:p>
      <w:pPr>
        <w:pStyle w:val="ListNumber"/>
        <w:spacing w:after="40"/>
      </w:pPr>
      <w:r>
        <w:t>Build a complete dependency graph for all affected Contact fields, record types, layouts, pages, Flows, Apex, LWCs, reports, integrations, Experience routes, profiles, permission sets, sharing and tests.</w:t>
      </w:r>
    </w:p>
    <w:p>
      <w:pPr>
        <w:pStyle w:val="ListNumber"/>
        <w:spacing w:after="40"/>
      </w:pPr>
      <w:r>
        <w:t>Query runtime counts and samples by Contact record type, including Client_User records with prohibited PII, data-subject records with access fields, duplicate business email plus Account, and Contacts with related Experience Cloud Users.</w:t>
      </w:r>
    </w:p>
    <w:p>
      <w:pPr>
        <w:pStyle w:val="ListNumber"/>
        <w:spacing w:after="40"/>
      </w:pPr>
      <w:r>
        <w:t>Determine whether contactApproveCreateConsentRequest is referenced by tests, packages, subflows or deployment automation and whether it should be safely modified in place or replaced.</w:t>
      </w:r>
    </w:p>
    <w:p>
      <w:pPr>
        <w:pStyle w:val="ListNumber"/>
        <w:spacing w:after="40"/>
      </w:pPr>
      <w:r>
        <w:t>Identify the current uniqueness rule for Consent_Request_Item__c and all automation that could create a duplicate.</w:t>
      </w:r>
    </w:p>
    <w:p>
      <w:pPr>
        <w:pStyle w:val="ListNumber"/>
        <w:spacing w:after="40"/>
      </w:pPr>
      <w:r>
        <w:t>Assess Contact history-field capacity, existing tracking, Shield retention dependencies and whether the selected non-PII fields fit within the org limits.</w:t>
      </w:r>
    </w:p>
    <w:p>
      <w:pPr>
        <w:pStyle w:val="ListNumber"/>
        <w:spacing w:after="40"/>
      </w:pPr>
      <w:r>
        <w:t>Assess every proposed layout/profile/page assignment change for Category B-F regression and external access impact.</w:t>
      </w:r>
    </w:p>
    <w:p>
      <w:pPr>
        <w:pStyle w:val="ListNumber"/>
        <w:spacing w:after="40"/>
      </w:pPr>
      <w:r>
        <w:t>Produce an exact create/modify/retain/hide/deactivate/delete manifest. Deletion must normally be empty for this first release.</w:t>
      </w:r>
    </w:p>
    <w:p>
      <w:pPr>
        <w:pStyle w:val="ListNumber"/>
        <w:spacing w:after="40"/>
      </w:pPr>
      <w:r>
        <w:t>Produce data-remediation dry-run files, before/after counts, test plan, deployment plan and rollback plan.</w:t>
      </w:r>
    </w:p>
    <w:p>
      <w:pPr>
        <w:pStyle w:val="ListNumber"/>
        <w:spacing w:after="40"/>
      </w:pPr>
      <w:r>
        <w:t>Stop without changing source files.</w:t>
      </w:r>
    </w:p>
    <w:p>
      <w:pPr>
        <w:pStyle w:val="Heading1"/>
        <w:keepNext/>
        <w:keepLines/>
        <w:pageBreakBefore/>
      </w:pPr>
      <w:r>
        <w:t>7. Phase 2 - Approved Implementation Specification</w:t>
      </w:r>
    </w:p>
    <w:p>
      <w:pPr>
        <w:pStyle w:val="Heading2"/>
        <w:keepNext/>
        <w:keepLines/>
      </w:pPr>
      <w:r>
        <w:t>7.1 Contact field requiredness and labels</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2448"/>
            <w:shd w:fill="17365D"/>
            <w:tcMar>
              <w:top w:w="90" w:type="dxa"/>
              <w:start w:w="100" w:type="dxa"/>
              <w:bottom w:w="90" w:type="dxa"/>
              <w:end w:w="100" w:type="dxa"/>
            </w:tcMar>
          </w:tcPr>
          <w:p>
            <w:pPr>
              <w:jc w:val="left"/>
            </w:pPr>
            <w:r>
              <w:rPr>
                <w:rFonts w:ascii="Arial" w:hAnsi="Arial"/>
                <w:b/>
                <w:color w:val="FFFFFF"/>
                <w:sz w:val="16"/>
              </w:rPr>
              <w:t>Component</w:t>
            </w:r>
          </w:p>
        </w:tc>
        <w:tc>
          <w:tcPr>
            <w:tcW w:type="dxa" w:w="2448"/>
            <w:shd w:fill="17365D"/>
            <w:tcMar>
              <w:top w:w="90" w:type="dxa"/>
              <w:start w:w="100" w:type="dxa"/>
              <w:bottom w:w="90" w:type="dxa"/>
              <w:end w:w="100" w:type="dxa"/>
            </w:tcMar>
          </w:tcPr>
          <w:p>
            <w:pPr>
              <w:jc w:val="left"/>
            </w:pPr>
            <w:r>
              <w:rPr>
                <w:rFonts w:ascii="Arial" w:hAnsi="Arial"/>
                <w:b/>
                <w:color w:val="FFFFFF"/>
                <w:sz w:val="16"/>
              </w:rPr>
              <w:t>Action</w:t>
            </w:r>
          </w:p>
        </w:tc>
        <w:tc>
          <w:tcPr>
            <w:tcW w:type="dxa" w:w="5472"/>
            <w:shd w:fill="17365D"/>
            <w:tcMar>
              <w:top w:w="90" w:type="dxa"/>
              <w:start w:w="100" w:type="dxa"/>
              <w:bottom w:w="90" w:type="dxa"/>
              <w:end w:w="100" w:type="dxa"/>
            </w:tcMar>
          </w:tcPr>
          <w:p>
            <w:pPr>
              <w:jc w:val="left"/>
            </w:pPr>
            <w:r>
              <w:rPr>
                <w:rFonts w:ascii="Arial" w:hAnsi="Arial"/>
                <w:b/>
                <w:color w:val="FFFFFF"/>
                <w:sz w:val="16"/>
              </w:rPr>
              <w:t>Rule</w:t>
            </w:r>
          </w:p>
        </w:tc>
      </w:tr>
      <w:tr>
        <w:trPr>
          <w:trHeight w:hRule="atLeast"/>
        </w:trPr>
        <w:tc>
          <w:tcPr>
            <w:tcW w:type="dxa" w:w="2448"/>
            <w:tcMar>
              <w:top w:w="90" w:type="dxa"/>
              <w:start w:w="100" w:type="dxa"/>
              <w:bottom w:w="90" w:type="dxa"/>
              <w:end w:w="100" w:type="dxa"/>
            </w:tcMar>
            <w:vAlign w:val="top"/>
            <w:shd w:fill="F4F7FA"/>
          </w:tcPr>
          <w:p>
            <w:r>
              <w:rPr>
                <w:rFonts w:ascii="Arial" w:hAnsi="Arial"/>
                <w:sz w:val="16"/>
              </w:rPr>
              <w:t>Full_Name__c</w:t>
            </w:r>
          </w:p>
        </w:tc>
        <w:tc>
          <w:tcPr>
            <w:tcW w:type="dxa" w:w="2448"/>
            <w:tcMar>
              <w:top w:w="90" w:type="dxa"/>
              <w:start w:w="100" w:type="dxa"/>
              <w:bottom w:w="90" w:type="dxa"/>
              <w:end w:w="100" w:type="dxa"/>
            </w:tcMar>
            <w:vAlign w:val="top"/>
            <w:shd w:fill="F4F7FA"/>
          </w:tcPr>
          <w:p>
            <w:r>
              <w:rPr>
                <w:rFonts w:ascii="Arial" w:hAnsi="Arial"/>
                <w:sz w:val="16"/>
              </w:rPr>
              <w:t>Modify</w:t>
            </w:r>
          </w:p>
        </w:tc>
        <w:tc>
          <w:tcPr>
            <w:tcW w:type="dxa" w:w="5472"/>
            <w:tcMar>
              <w:top w:w="90" w:type="dxa"/>
              <w:start w:w="100" w:type="dxa"/>
              <w:bottom w:w="90" w:type="dxa"/>
              <w:end w:w="100" w:type="dxa"/>
            </w:tcMar>
            <w:vAlign w:val="top"/>
            <w:shd w:fill="F4F7FA"/>
          </w:tcPr>
          <w:p>
            <w:r>
              <w:rPr>
                <w:rFonts w:ascii="Arial" w:hAnsi="Arial"/>
                <w:sz w:val="16"/>
              </w:rPr>
              <w:t>Set required=false. Hide from Client User experience. Retain for applicable data-subject processing.</w:t>
            </w:r>
          </w:p>
        </w:tc>
      </w:tr>
      <w:tr>
        <w:trPr>
          <w:trHeight w:hRule="atLeast"/>
        </w:trPr>
        <w:tc>
          <w:tcPr>
            <w:tcW w:type="dxa" w:w="2448"/>
            <w:tcMar>
              <w:top w:w="90" w:type="dxa"/>
              <w:start w:w="100" w:type="dxa"/>
              <w:bottom w:w="90" w:type="dxa"/>
              <w:end w:w="100" w:type="dxa"/>
            </w:tcMar>
            <w:vAlign w:val="top"/>
          </w:tcPr>
          <w:p>
            <w:r>
              <w:rPr>
                <w:rFonts w:ascii="Arial" w:hAnsi="Arial"/>
                <w:sz w:val="16"/>
              </w:rPr>
              <w:t>ID_Type__c</w:t>
            </w:r>
          </w:p>
        </w:tc>
        <w:tc>
          <w:tcPr>
            <w:tcW w:type="dxa" w:w="2448"/>
            <w:tcMar>
              <w:top w:w="90" w:type="dxa"/>
              <w:start w:w="100" w:type="dxa"/>
              <w:bottom w:w="90" w:type="dxa"/>
              <w:end w:w="100" w:type="dxa"/>
            </w:tcMar>
            <w:vAlign w:val="top"/>
          </w:tcPr>
          <w:p>
            <w:r>
              <w:rPr>
                <w:rFonts w:ascii="Arial" w:hAnsi="Arial"/>
                <w:sz w:val="16"/>
              </w:rPr>
              <w:t>Modify</w:t>
            </w:r>
          </w:p>
        </w:tc>
        <w:tc>
          <w:tcPr>
            <w:tcW w:type="dxa" w:w="5472"/>
            <w:tcMar>
              <w:top w:w="90" w:type="dxa"/>
              <w:start w:w="100" w:type="dxa"/>
              <w:bottom w:w="90" w:type="dxa"/>
              <w:end w:w="100" w:type="dxa"/>
            </w:tcMar>
            <w:vAlign w:val="top"/>
          </w:tcPr>
          <w:p>
            <w:r>
              <w:rPr>
                <w:rFonts w:ascii="Arial" w:hAnsi="Arial"/>
                <w:sz w:val="16"/>
              </w:rPr>
              <w:t>Set required=false. Hide from Client User experience. Enforce only for qualifying data-subject types.</w:t>
            </w:r>
          </w:p>
        </w:tc>
      </w:tr>
      <w:tr>
        <w:trPr>
          <w:trHeight w:hRule="atLeast"/>
        </w:trPr>
        <w:tc>
          <w:tcPr>
            <w:tcW w:type="dxa" w:w="2448"/>
            <w:tcMar>
              <w:top w:w="90" w:type="dxa"/>
              <w:start w:w="100" w:type="dxa"/>
              <w:bottom w:w="90" w:type="dxa"/>
              <w:end w:w="100" w:type="dxa"/>
            </w:tcMar>
            <w:vAlign w:val="top"/>
            <w:shd w:fill="F4F7FA"/>
          </w:tcPr>
          <w:p>
            <w:r>
              <w:rPr>
                <w:rFonts w:ascii="Arial" w:hAnsi="Arial"/>
                <w:sz w:val="16"/>
              </w:rPr>
              <w:t>ID_Number__c</w:t>
            </w:r>
          </w:p>
        </w:tc>
        <w:tc>
          <w:tcPr>
            <w:tcW w:type="dxa" w:w="2448"/>
            <w:tcMar>
              <w:top w:w="90" w:type="dxa"/>
              <w:start w:w="100" w:type="dxa"/>
              <w:bottom w:w="90" w:type="dxa"/>
              <w:end w:w="100" w:type="dxa"/>
            </w:tcMar>
            <w:vAlign w:val="top"/>
            <w:shd w:fill="F4F7FA"/>
          </w:tcPr>
          <w:p>
            <w:r>
              <w:rPr>
                <w:rFonts w:ascii="Arial" w:hAnsi="Arial"/>
                <w:sz w:val="16"/>
              </w:rPr>
              <w:t>Modify</w:t>
            </w:r>
          </w:p>
        </w:tc>
        <w:tc>
          <w:tcPr>
            <w:tcW w:type="dxa" w:w="5472"/>
            <w:tcMar>
              <w:top w:w="90" w:type="dxa"/>
              <w:start w:w="100" w:type="dxa"/>
              <w:bottom w:w="90" w:type="dxa"/>
              <w:end w:w="100" w:type="dxa"/>
            </w:tcMar>
            <w:vAlign w:val="top"/>
            <w:shd w:fill="F4F7FA"/>
          </w:tcPr>
          <w:p>
            <w:r>
              <w:rPr>
                <w:rFonts w:ascii="Arial" w:hAnsi="Arial"/>
                <w:sz w:val="16"/>
              </w:rPr>
              <w:t>Set required=false. Hide from Client User experience. Enforce only for qualifying data-subject types.</w:t>
            </w:r>
          </w:p>
        </w:tc>
      </w:tr>
      <w:tr>
        <w:trPr>
          <w:trHeight w:hRule="atLeast"/>
        </w:trPr>
        <w:tc>
          <w:tcPr>
            <w:tcW w:type="dxa" w:w="2448"/>
            <w:tcMar>
              <w:top w:w="90" w:type="dxa"/>
              <w:start w:w="100" w:type="dxa"/>
              <w:bottom w:w="90" w:type="dxa"/>
              <w:end w:w="100" w:type="dxa"/>
            </w:tcMar>
            <w:vAlign w:val="top"/>
          </w:tcPr>
          <w:p>
            <w:r>
              <w:rPr>
                <w:rFonts w:ascii="Arial" w:hAnsi="Arial"/>
                <w:sz w:val="16"/>
              </w:rPr>
              <w:t>Employment_Status__c</w:t>
            </w:r>
          </w:p>
        </w:tc>
        <w:tc>
          <w:tcPr>
            <w:tcW w:type="dxa" w:w="2448"/>
            <w:tcMar>
              <w:top w:w="90" w:type="dxa"/>
              <w:start w:w="100" w:type="dxa"/>
              <w:bottom w:w="90" w:type="dxa"/>
              <w:end w:w="100" w:type="dxa"/>
            </w:tcMar>
            <w:vAlign w:val="top"/>
          </w:tcPr>
          <w:p>
            <w:r>
              <w:rPr>
                <w:rFonts w:ascii="Arial" w:hAnsi="Arial"/>
                <w:sz w:val="16"/>
              </w:rPr>
              <w:t>Modify</w:t>
            </w:r>
          </w:p>
        </w:tc>
        <w:tc>
          <w:tcPr>
            <w:tcW w:type="dxa" w:w="5472"/>
            <w:tcMar>
              <w:top w:w="90" w:type="dxa"/>
              <w:start w:w="100" w:type="dxa"/>
              <w:bottom w:w="90" w:type="dxa"/>
              <w:end w:w="100" w:type="dxa"/>
            </w:tcMar>
            <w:vAlign w:val="top"/>
          </w:tcPr>
          <w:p>
            <w:r>
              <w:rPr>
                <w:rFonts w:ascii="Arial" w:hAnsi="Arial"/>
                <w:sz w:val="16"/>
              </w:rPr>
              <w:t>Set required=false. Hide from Client User experience. Enforce only where Category B requires it.</w:t>
            </w:r>
          </w:p>
        </w:tc>
      </w:tr>
      <w:tr>
        <w:trPr>
          <w:trHeight w:hRule="atLeast"/>
        </w:trPr>
        <w:tc>
          <w:tcPr>
            <w:tcW w:type="dxa" w:w="2448"/>
            <w:tcMar>
              <w:top w:w="90" w:type="dxa"/>
              <w:start w:w="100" w:type="dxa"/>
              <w:bottom w:w="90" w:type="dxa"/>
              <w:end w:w="100" w:type="dxa"/>
            </w:tcMar>
            <w:vAlign w:val="top"/>
            <w:shd w:fill="F4F7FA"/>
          </w:tcPr>
          <w:p>
            <w:r>
              <w:rPr>
                <w:rFonts w:ascii="Arial" w:hAnsi="Arial"/>
                <w:sz w:val="16"/>
              </w:rPr>
              <w:t>Portal_Role__c</w:t>
            </w:r>
          </w:p>
        </w:tc>
        <w:tc>
          <w:tcPr>
            <w:tcW w:type="dxa" w:w="2448"/>
            <w:tcMar>
              <w:top w:w="90" w:type="dxa"/>
              <w:start w:w="100" w:type="dxa"/>
              <w:bottom w:w="90" w:type="dxa"/>
              <w:end w:w="100" w:type="dxa"/>
            </w:tcMar>
            <w:vAlign w:val="top"/>
            <w:shd w:fill="F4F7FA"/>
          </w:tcPr>
          <w:p>
            <w:r>
              <w:rPr>
                <w:rFonts w:ascii="Arial" w:hAnsi="Arial"/>
                <w:sz w:val="16"/>
              </w:rPr>
              <w:t>Modify values/labels only after dependency check</w:t>
            </w:r>
          </w:p>
        </w:tc>
        <w:tc>
          <w:tcPr>
            <w:tcW w:type="dxa" w:w="5472"/>
            <w:tcMar>
              <w:top w:w="90" w:type="dxa"/>
              <w:start w:w="100" w:type="dxa"/>
              <w:bottom w:w="90" w:type="dxa"/>
              <w:end w:w="100" w:type="dxa"/>
            </w:tcMar>
            <w:vAlign w:val="top"/>
            <w:shd w:fill="F4F7FA"/>
          </w:tcPr>
          <w:p>
            <w:r>
              <w:rPr>
                <w:rFonts w:ascii="Arial" w:hAnsi="Arial"/>
                <w:sz w:val="16"/>
              </w:rPr>
              <w:t>Client HR User and Client Approver are approved values. Do not silently rename stored values if integrations or formulas depend on HR/Approver; document migration or label-only approach.</w:t>
            </w:r>
          </w:p>
        </w:tc>
      </w:tr>
      <w:tr>
        <w:trPr>
          <w:trHeight w:hRule="atLeast"/>
        </w:trPr>
        <w:tc>
          <w:tcPr>
            <w:tcW w:type="dxa" w:w="2448"/>
            <w:tcMar>
              <w:top w:w="90" w:type="dxa"/>
              <w:start w:w="100" w:type="dxa"/>
              <w:bottom w:w="90" w:type="dxa"/>
              <w:end w:w="100" w:type="dxa"/>
            </w:tcMar>
            <w:vAlign w:val="top"/>
          </w:tcPr>
          <w:p>
            <w:r>
              <w:rPr>
                <w:rFonts w:ascii="Arial" w:hAnsi="Arial"/>
                <w:sz w:val="16"/>
              </w:rPr>
              <w:t>Can_Approve__c</w:t>
            </w:r>
          </w:p>
        </w:tc>
        <w:tc>
          <w:tcPr>
            <w:tcW w:type="dxa" w:w="2448"/>
            <w:tcMar>
              <w:top w:w="90" w:type="dxa"/>
              <w:start w:w="100" w:type="dxa"/>
              <w:bottom w:w="90" w:type="dxa"/>
              <w:end w:w="100" w:type="dxa"/>
            </w:tcMar>
            <w:vAlign w:val="top"/>
          </w:tcPr>
          <w:p>
            <w:r>
              <w:rPr>
                <w:rFonts w:ascii="Arial" w:hAnsi="Arial"/>
                <w:sz w:val="16"/>
              </w:rPr>
              <w:t>Retain and system-control</w:t>
            </w:r>
          </w:p>
        </w:tc>
        <w:tc>
          <w:tcPr>
            <w:tcW w:type="dxa" w:w="5472"/>
            <w:tcMar>
              <w:top w:w="90" w:type="dxa"/>
              <w:start w:w="100" w:type="dxa"/>
              <w:bottom w:w="90" w:type="dxa"/>
              <w:end w:w="100" w:type="dxa"/>
            </w:tcMar>
            <w:vAlign w:val="top"/>
          </w:tcPr>
          <w:p>
            <w:r>
              <w:rPr>
                <w:rFonts w:ascii="Arial" w:hAnsi="Arial"/>
                <w:sz w:val="16"/>
              </w:rPr>
              <w:t>Derive from approved portal role; remove routine manual edit.</w:t>
            </w:r>
          </w:p>
        </w:tc>
      </w:tr>
      <w:tr>
        <w:trPr>
          <w:trHeight w:hRule="atLeast"/>
        </w:trPr>
        <w:tc>
          <w:tcPr>
            <w:tcW w:type="dxa" w:w="2448"/>
            <w:tcMar>
              <w:top w:w="90" w:type="dxa"/>
              <w:start w:w="100" w:type="dxa"/>
              <w:bottom w:w="90" w:type="dxa"/>
              <w:end w:w="100" w:type="dxa"/>
            </w:tcMar>
            <w:vAlign w:val="top"/>
            <w:shd w:fill="F4F7FA"/>
          </w:tcPr>
          <w:p>
            <w:r>
              <w:rPr>
                <w:rFonts w:ascii="Arial" w:hAnsi="Arial"/>
                <w:sz w:val="16"/>
              </w:rPr>
              <w:t>Is_Active_Client_User__c</w:t>
            </w:r>
          </w:p>
        </w:tc>
        <w:tc>
          <w:tcPr>
            <w:tcW w:type="dxa" w:w="2448"/>
            <w:tcMar>
              <w:top w:w="90" w:type="dxa"/>
              <w:start w:w="100" w:type="dxa"/>
              <w:bottom w:w="90" w:type="dxa"/>
              <w:end w:w="100" w:type="dxa"/>
            </w:tcMar>
            <w:vAlign w:val="top"/>
            <w:shd w:fill="F4F7FA"/>
          </w:tcPr>
          <w:p>
            <w:r>
              <w:rPr>
                <w:rFonts w:ascii="Arial" w:hAnsi="Arial"/>
                <w:sz w:val="16"/>
              </w:rPr>
              <w:t>Retain and system-control</w:t>
            </w:r>
          </w:p>
        </w:tc>
        <w:tc>
          <w:tcPr>
            <w:tcW w:type="dxa" w:w="5472"/>
            <w:tcMar>
              <w:top w:w="90" w:type="dxa"/>
              <w:start w:w="100" w:type="dxa"/>
              <w:bottom w:w="90" w:type="dxa"/>
              <w:end w:w="100" w:type="dxa"/>
            </w:tcMar>
            <w:vAlign w:val="top"/>
            <w:shd w:fill="F4F7FA"/>
          </w:tcPr>
          <w:p>
            <w:r>
              <w:rPr>
                <w:rFonts w:ascii="Arial" w:hAnsi="Arial"/>
                <w:sz w:val="16"/>
              </w:rPr>
              <w:t>Do not permit manual activation in this workstream.</w:t>
            </w:r>
          </w:p>
        </w:tc>
      </w:tr>
      <w:tr>
        <w:trPr>
          <w:trHeight w:hRule="atLeast"/>
        </w:trPr>
        <w:tc>
          <w:tcPr>
            <w:tcW w:type="dxa" w:w="2448"/>
            <w:tcMar>
              <w:top w:w="90" w:type="dxa"/>
              <w:start w:w="100" w:type="dxa"/>
              <w:bottom w:w="90" w:type="dxa"/>
              <w:end w:w="100" w:type="dxa"/>
            </w:tcMar>
            <w:vAlign w:val="top"/>
          </w:tcPr>
          <w:p>
            <w:r>
              <w:rPr>
                <w:rFonts w:ascii="Arial" w:hAnsi="Arial"/>
                <w:sz w:val="16"/>
              </w:rPr>
              <w:t>Can_Send_Reminder__c</w:t>
            </w:r>
          </w:p>
        </w:tc>
        <w:tc>
          <w:tcPr>
            <w:tcW w:type="dxa" w:w="2448"/>
            <w:tcMar>
              <w:top w:w="90" w:type="dxa"/>
              <w:start w:w="100" w:type="dxa"/>
              <w:bottom w:w="90" w:type="dxa"/>
              <w:end w:w="100" w:type="dxa"/>
            </w:tcMar>
            <w:vAlign w:val="top"/>
          </w:tcPr>
          <w:p>
            <w:r>
              <w:rPr>
                <w:rFonts w:ascii="Arial" w:hAnsi="Arial"/>
                <w:sz w:val="16"/>
              </w:rPr>
              <w:t>Retain but hide from Category A Client User layout</w:t>
            </w:r>
          </w:p>
        </w:tc>
        <w:tc>
          <w:tcPr>
            <w:tcW w:type="dxa" w:w="5472"/>
            <w:tcMar>
              <w:top w:w="90" w:type="dxa"/>
              <w:start w:w="100" w:type="dxa"/>
              <w:bottom w:w="90" w:type="dxa"/>
              <w:end w:w="100" w:type="dxa"/>
            </w:tcMar>
            <w:vAlign w:val="top"/>
          </w:tcPr>
          <w:p>
            <w:r>
              <w:rPr>
                <w:rFonts w:ascii="Arial" w:hAnsi="Arial"/>
                <w:sz w:val="16"/>
              </w:rPr>
              <w:t>Do not treat as an access grant. Category B owns future use.</w:t>
            </w:r>
          </w:p>
        </w:tc>
      </w:tr>
    </w:tbl>
    <w:p>
      <w:pPr>
        <w:spacing w:after="0"/>
      </w:pPr>
    </w:p>
    <w:p>
      <w:pPr>
        <w:pStyle w:val="Heading2"/>
        <w:keepNext/>
        <w:keepLines/>
      </w:pPr>
      <w:r>
        <w:t>7.2 Validation rules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456"/>
            <w:shd w:fill="17365D"/>
            <w:tcMar>
              <w:top w:w="90" w:type="dxa"/>
              <w:start w:w="100" w:type="dxa"/>
              <w:bottom w:w="90" w:type="dxa"/>
              <w:end w:w="100" w:type="dxa"/>
            </w:tcMar>
          </w:tcPr>
          <w:p>
            <w:pPr>
              <w:jc w:val="left"/>
            </w:pPr>
            <w:r>
              <w:rPr>
                <w:rFonts w:ascii="Arial" w:hAnsi="Arial"/>
                <w:b/>
                <w:color w:val="FFFFFF"/>
                <w:sz w:val="16"/>
              </w:rPr>
              <w:t>API name</w:t>
            </w:r>
          </w:p>
        </w:tc>
        <w:tc>
          <w:tcPr>
            <w:tcW w:type="dxa" w:w="6912"/>
            <w:shd w:fill="17365D"/>
            <w:tcMar>
              <w:top w:w="90" w:type="dxa"/>
              <w:start w:w="100" w:type="dxa"/>
              <w:bottom w:w="90" w:type="dxa"/>
              <w:end w:w="100" w:type="dxa"/>
            </w:tcMar>
          </w:tcPr>
          <w:p>
            <w:pPr>
              <w:jc w:val="left"/>
            </w:pPr>
            <w:r>
              <w:rPr>
                <w:rFonts w:ascii="Arial" w:hAnsi="Arial"/>
                <w:b/>
                <w:color w:val="FFFFFF"/>
                <w:sz w:val="16"/>
              </w:rPr>
              <w:t>Required logical behaviour</w:t>
            </w:r>
          </w:p>
        </w:tc>
      </w:tr>
      <w:tr>
        <w:trPr>
          <w:trHeight w:hRule="atLeast"/>
        </w:trPr>
        <w:tc>
          <w:tcPr>
            <w:tcW w:type="dxa" w:w="3456"/>
            <w:tcMar>
              <w:top w:w="90" w:type="dxa"/>
              <w:start w:w="100" w:type="dxa"/>
              <w:bottom w:w="90" w:type="dxa"/>
              <w:end w:w="100" w:type="dxa"/>
            </w:tcMar>
            <w:vAlign w:val="top"/>
            <w:shd w:fill="F4F7FA"/>
          </w:tcPr>
          <w:p>
            <w:r>
              <w:rPr>
                <w:rFonts w:ascii="Arial" w:hAnsi="Arial"/>
                <w:sz w:val="16"/>
              </w:rPr>
              <w:t>CBS_CU_Required_Core</w:t>
            </w:r>
          </w:p>
        </w:tc>
        <w:tc>
          <w:tcPr>
            <w:tcW w:type="dxa" w:w="6912"/>
            <w:tcMar>
              <w:top w:w="90" w:type="dxa"/>
              <w:start w:w="100" w:type="dxa"/>
              <w:bottom w:w="90" w:type="dxa"/>
              <w:end w:w="100" w:type="dxa"/>
            </w:tcMar>
            <w:vAlign w:val="top"/>
            <w:shd w:fill="F4F7FA"/>
          </w:tcPr>
          <w:p>
            <w:r>
              <w:rPr>
                <w:rFonts w:ascii="Arial" w:hAnsi="Arial"/>
                <w:sz w:val="16"/>
              </w:rPr>
              <w:t>For Client_User require AccountId, FirstName, LastName, Email, Department and Portal_Role__c.</w:t>
            </w:r>
          </w:p>
        </w:tc>
      </w:tr>
      <w:tr>
        <w:trPr>
          <w:trHeight w:hRule="atLeast"/>
        </w:trPr>
        <w:tc>
          <w:tcPr>
            <w:tcW w:type="dxa" w:w="3456"/>
            <w:tcMar>
              <w:top w:w="90" w:type="dxa"/>
              <w:start w:w="100" w:type="dxa"/>
              <w:bottom w:w="90" w:type="dxa"/>
              <w:end w:w="100" w:type="dxa"/>
            </w:tcMar>
            <w:vAlign w:val="top"/>
          </w:tcPr>
          <w:p>
            <w:r>
              <w:rPr>
                <w:rFonts w:ascii="Arial" w:hAnsi="Arial"/>
                <w:sz w:val="16"/>
              </w:rPr>
              <w:t>CBS_CU_Prohibit_Data_Subject_Data</w:t>
            </w:r>
          </w:p>
        </w:tc>
        <w:tc>
          <w:tcPr>
            <w:tcW w:type="dxa" w:w="6912"/>
            <w:tcMar>
              <w:top w:w="90" w:type="dxa"/>
              <w:start w:w="100" w:type="dxa"/>
              <w:bottom w:w="90" w:type="dxa"/>
              <w:end w:w="100" w:type="dxa"/>
            </w:tcMar>
            <w:vAlign w:val="top"/>
          </w:tcPr>
          <w:p>
            <w:r>
              <w:rPr>
                <w:rFonts w:ascii="Arial" w:hAnsi="Arial"/>
                <w:sz w:val="16"/>
              </w:rPr>
              <w:t>For Client_User block populated DOB, ID, passport, NRIC/FIN, MyInfo, employment-status, consent, report, departure or matching fields. Deploy inactive until remediation is approved.</w:t>
            </w:r>
          </w:p>
        </w:tc>
      </w:tr>
      <w:tr>
        <w:trPr>
          <w:trHeight w:hRule="atLeast"/>
        </w:trPr>
        <w:tc>
          <w:tcPr>
            <w:tcW w:type="dxa" w:w="3456"/>
            <w:tcMar>
              <w:top w:w="90" w:type="dxa"/>
              <w:start w:w="100" w:type="dxa"/>
              <w:bottom w:w="90" w:type="dxa"/>
              <w:end w:w="100" w:type="dxa"/>
            </w:tcMar>
            <w:vAlign w:val="top"/>
            <w:shd w:fill="F4F7FA"/>
          </w:tcPr>
          <w:p>
            <w:r>
              <w:rPr>
                <w:rFonts w:ascii="Arial" w:hAnsi="Arial"/>
                <w:sz w:val="16"/>
              </w:rPr>
              <w:t>CBS_DS_Required_Identity</w:t>
            </w:r>
          </w:p>
        </w:tc>
        <w:tc>
          <w:tcPr>
            <w:tcW w:type="dxa" w:w="6912"/>
            <w:tcMar>
              <w:top w:w="90" w:type="dxa"/>
              <w:start w:w="100" w:type="dxa"/>
              <w:bottom w:w="90" w:type="dxa"/>
              <w:end w:w="100" w:type="dxa"/>
            </w:tcMar>
            <w:vAlign w:val="top"/>
            <w:shd w:fill="F4F7FA"/>
          </w:tcPr>
          <w:p>
            <w:r>
              <w:rPr>
                <w:rFonts w:ascii="Arial" w:hAnsi="Arial"/>
                <w:sz w:val="16"/>
              </w:rPr>
              <w:t>For Data_Subject, Singpass and Non_Singpass enforce the Category B-approved identity fields. If Category B rules are not determinable, stop and request approval; do not guess.</w:t>
            </w:r>
          </w:p>
        </w:tc>
      </w:tr>
      <w:tr>
        <w:trPr>
          <w:trHeight w:hRule="atLeast"/>
        </w:trPr>
        <w:tc>
          <w:tcPr>
            <w:tcW w:type="dxa" w:w="3456"/>
            <w:tcMar>
              <w:top w:w="90" w:type="dxa"/>
              <w:start w:w="100" w:type="dxa"/>
              <w:bottom w:w="90" w:type="dxa"/>
              <w:end w:w="100" w:type="dxa"/>
            </w:tcMar>
            <w:vAlign w:val="top"/>
          </w:tcPr>
          <w:p>
            <w:r>
              <w:rPr>
                <w:rFonts w:ascii="Arial" w:hAnsi="Arial"/>
                <w:sz w:val="16"/>
              </w:rPr>
              <w:t>CBS_DS_Prohibit_Client_Access_Data</w:t>
            </w:r>
          </w:p>
        </w:tc>
        <w:tc>
          <w:tcPr>
            <w:tcW w:type="dxa" w:w="6912"/>
            <w:tcMar>
              <w:top w:w="90" w:type="dxa"/>
              <w:start w:w="100" w:type="dxa"/>
              <w:bottom w:w="90" w:type="dxa"/>
              <w:end w:w="100" w:type="dxa"/>
            </w:tcMar>
            <w:vAlign w:val="top"/>
          </w:tcPr>
          <w:p>
            <w:r>
              <w:rPr>
                <w:rFonts w:ascii="Arial" w:hAnsi="Arial"/>
                <w:sz w:val="16"/>
              </w:rPr>
              <w:t>For the data-subject family block Portal_Role__c, Can_Approve__c and Is_Active_Client_User__c.</w:t>
            </w:r>
          </w:p>
        </w:tc>
      </w:tr>
      <w:tr>
        <w:trPr>
          <w:trHeight w:hRule="atLeast"/>
        </w:trPr>
        <w:tc>
          <w:tcPr>
            <w:tcW w:type="dxa" w:w="3456"/>
            <w:tcMar>
              <w:top w:w="90" w:type="dxa"/>
              <w:start w:w="100" w:type="dxa"/>
              <w:bottom w:w="90" w:type="dxa"/>
              <w:end w:w="100" w:type="dxa"/>
            </w:tcMar>
            <w:vAlign w:val="top"/>
            <w:shd w:fill="F4F7FA"/>
          </w:tcPr>
          <w:p>
            <w:r>
              <w:rPr>
                <w:rFonts w:ascii="Arial" w:hAnsi="Arial"/>
                <w:sz w:val="16"/>
              </w:rPr>
              <w:t>CBS_CU_Role_Approval_Consistency</w:t>
            </w:r>
          </w:p>
        </w:tc>
        <w:tc>
          <w:tcPr>
            <w:tcW w:type="dxa" w:w="6912"/>
            <w:tcMar>
              <w:top w:w="90" w:type="dxa"/>
              <w:start w:w="100" w:type="dxa"/>
              <w:bottom w:w="90" w:type="dxa"/>
              <w:end w:w="100" w:type="dxa"/>
            </w:tcMar>
            <w:vAlign w:val="top"/>
            <w:shd w:fill="F4F7FA"/>
          </w:tcPr>
          <w:p>
            <w:r>
              <w:rPr>
                <w:rFonts w:ascii="Arial" w:hAnsi="Arial"/>
                <w:sz w:val="16"/>
              </w:rPr>
              <w:t>Enforce or derive Can_Approve__c from Portal_Role__c.</w:t>
            </w:r>
          </w:p>
        </w:tc>
      </w:tr>
      <w:tr>
        <w:trPr>
          <w:trHeight w:hRule="atLeast"/>
        </w:trPr>
        <w:tc>
          <w:tcPr>
            <w:tcW w:type="dxa" w:w="3456"/>
            <w:tcMar>
              <w:top w:w="90" w:type="dxa"/>
              <w:start w:w="100" w:type="dxa"/>
              <w:bottom w:w="90" w:type="dxa"/>
              <w:end w:w="100" w:type="dxa"/>
            </w:tcMar>
            <w:vAlign w:val="top"/>
          </w:tcPr>
          <w:p>
            <w:r>
              <w:rPr>
                <w:rFonts w:ascii="Arial" w:hAnsi="Arial"/>
                <w:sz w:val="16"/>
              </w:rPr>
              <w:t>Record-type transition control</w:t>
            </w:r>
          </w:p>
        </w:tc>
        <w:tc>
          <w:tcPr>
            <w:tcW w:type="dxa" w:w="6912"/>
            <w:tcMar>
              <w:top w:w="90" w:type="dxa"/>
              <w:start w:w="100" w:type="dxa"/>
              <w:bottom w:w="90" w:type="dxa"/>
              <w:end w:w="100" w:type="dxa"/>
            </w:tcMar>
            <w:vAlign w:val="top"/>
          </w:tcPr>
          <w:p>
            <w:r>
              <w:rPr>
                <w:rFonts w:ascii="Arial" w:hAnsi="Arial"/>
                <w:sz w:val="16"/>
              </w:rPr>
              <w:t>Remove Change Record Type from non-administrator experiences and restrict record-type visibility. Do not hard-code record-type IDs.</w:t>
            </w:r>
          </w:p>
        </w:tc>
      </w:tr>
    </w:tbl>
    <w:p>
      <w:pPr>
        <w:spacing w:after="0"/>
      </w:pPr>
    </w:p>
    <w:p>
      <w:pPr>
        <w:pStyle w:val="Heading2"/>
        <w:keepNext/>
        <w:keepLines/>
      </w:pPr>
      <w:r>
        <w:t>7.3 Flow correction and normalisation</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312"/>
            <w:shd w:fill="17365D"/>
            <w:tcMar>
              <w:top w:w="90" w:type="dxa"/>
              <w:start w:w="100" w:type="dxa"/>
              <w:bottom w:w="90" w:type="dxa"/>
              <w:end w:w="100" w:type="dxa"/>
            </w:tcMar>
          </w:tcPr>
          <w:p>
            <w:pPr>
              <w:jc w:val="left"/>
            </w:pPr>
            <w:r>
              <w:rPr>
                <w:rFonts w:ascii="Arial" w:hAnsi="Arial"/>
                <w:b/>
                <w:color w:val="FFFFFF"/>
                <w:sz w:val="16"/>
              </w:rPr>
              <w:t>Automation</w:t>
            </w:r>
          </w:p>
        </w:tc>
        <w:tc>
          <w:tcPr>
            <w:tcW w:type="dxa" w:w="7056"/>
            <w:shd w:fill="17365D"/>
            <w:tcMar>
              <w:top w:w="90" w:type="dxa"/>
              <w:start w:w="100" w:type="dxa"/>
              <w:bottom w:w="90" w:type="dxa"/>
              <w:end w:w="100" w:type="dxa"/>
            </w:tcMar>
          </w:tcPr>
          <w:p>
            <w:pPr>
              <w:jc w:val="left"/>
            </w:pPr>
            <w:r>
              <w:rPr>
                <w:rFonts w:ascii="Arial" w:hAnsi="Arial"/>
                <w:b/>
                <w:color w:val="FFFFFF"/>
                <w:sz w:val="16"/>
              </w:rPr>
              <w:t>Required behaviour</w:t>
            </w:r>
          </w:p>
        </w:tc>
      </w:tr>
      <w:tr>
        <w:trPr>
          <w:trHeight w:hRule="atLeast"/>
        </w:trPr>
        <w:tc>
          <w:tcPr>
            <w:tcW w:type="dxa" w:w="3312"/>
            <w:tcMar>
              <w:top w:w="90" w:type="dxa"/>
              <w:start w:w="100" w:type="dxa"/>
              <w:bottom w:w="90" w:type="dxa"/>
              <w:end w:w="100" w:type="dxa"/>
            </w:tcMar>
            <w:vAlign w:val="top"/>
            <w:shd w:fill="F4F7FA"/>
          </w:tcPr>
          <w:p>
            <w:r>
              <w:rPr>
                <w:rFonts w:ascii="Arial" w:hAnsi="Arial"/>
                <w:sz w:val="16"/>
              </w:rPr>
              <w:t>contactApproveCreateConsentRequest / CBS_Contact_Purpose_Guard</w:t>
            </w:r>
          </w:p>
        </w:tc>
        <w:tc>
          <w:tcPr>
            <w:tcW w:type="dxa" w:w="7056"/>
            <w:tcMar>
              <w:top w:w="90" w:type="dxa"/>
              <w:start w:w="100" w:type="dxa"/>
              <w:bottom w:w="90" w:type="dxa"/>
              <w:end w:w="100" w:type="dxa"/>
            </w:tcMar>
            <w:vAlign w:val="top"/>
            <w:shd w:fill="F4F7FA"/>
          </w:tcPr>
          <w:p>
            <w:r>
              <w:rPr>
                <w:rFonts w:ascii="Arial" w:hAnsi="Arial"/>
                <w:sz w:val="16"/>
              </w:rPr>
              <w:t>Preferred: modify safely in place if references exist. Otherwise deploy a new inactive replacement, test, activate one flow and deactivate the old flow in the same controlled release. Never leave two active creators.</w:t>
            </w:r>
          </w:p>
        </w:tc>
      </w:tr>
      <w:tr>
        <w:trPr>
          <w:trHeight w:hRule="atLeast"/>
        </w:trPr>
        <w:tc>
          <w:tcPr>
            <w:tcW w:type="dxa" w:w="3312"/>
            <w:tcMar>
              <w:top w:w="90" w:type="dxa"/>
              <w:start w:w="100" w:type="dxa"/>
              <w:bottom w:w="90" w:type="dxa"/>
              <w:end w:w="100" w:type="dxa"/>
            </w:tcMar>
            <w:vAlign w:val="top"/>
          </w:tcPr>
          <w:p>
            <w:r>
              <w:rPr>
                <w:rFonts w:ascii="Arial" w:hAnsi="Arial"/>
                <w:sz w:val="16"/>
              </w:rPr>
              <w:t>Purpose guard</w:t>
            </w:r>
          </w:p>
        </w:tc>
        <w:tc>
          <w:tcPr>
            <w:tcW w:type="dxa" w:w="7056"/>
            <w:tcMar>
              <w:top w:w="90" w:type="dxa"/>
              <w:start w:w="100" w:type="dxa"/>
              <w:bottom w:w="90" w:type="dxa"/>
              <w:end w:w="100" w:type="dxa"/>
            </w:tcMar>
            <w:vAlign w:val="top"/>
          </w:tcPr>
          <w:p>
            <w:r>
              <w:rPr>
                <w:rFonts w:ascii="Arial" w:hAnsi="Arial"/>
                <w:sz w:val="16"/>
              </w:rPr>
              <w:t>Run only for RecordType.DeveloperName in Data_Subject, Singpass or Non_Singpass. Explicitly exclude Client_User. Keep Email and any Category B readiness criteria that are proven by current design.</w:t>
            </w:r>
          </w:p>
        </w:tc>
      </w:tr>
      <w:tr>
        <w:trPr>
          <w:trHeight w:hRule="atLeast"/>
        </w:trPr>
        <w:tc>
          <w:tcPr>
            <w:tcW w:type="dxa" w:w="3312"/>
            <w:tcMar>
              <w:top w:w="90" w:type="dxa"/>
              <w:start w:w="100" w:type="dxa"/>
              <w:bottom w:w="90" w:type="dxa"/>
              <w:end w:w="100" w:type="dxa"/>
            </w:tcMar>
            <w:vAlign w:val="top"/>
            <w:shd w:fill="F4F7FA"/>
          </w:tcPr>
          <w:p>
            <w:r>
              <w:rPr>
                <w:rFonts w:ascii="Arial" w:hAnsi="Arial"/>
                <w:sz w:val="16"/>
              </w:rPr>
              <w:t>Duplicate prevention</w:t>
            </w:r>
          </w:p>
        </w:tc>
        <w:tc>
          <w:tcPr>
            <w:tcW w:type="dxa" w:w="7056"/>
            <w:tcMar>
              <w:top w:w="90" w:type="dxa"/>
              <w:start w:w="100" w:type="dxa"/>
              <w:bottom w:w="90" w:type="dxa"/>
              <w:end w:w="100" w:type="dxa"/>
            </w:tcMar>
            <w:vAlign w:val="top"/>
            <w:shd w:fill="F4F7FA"/>
          </w:tcPr>
          <w:p>
            <w:r>
              <w:rPr>
                <w:rFonts w:ascii="Arial" w:hAnsi="Arial"/>
                <w:sz w:val="16"/>
              </w:rPr>
              <w:t>Before creating Consent_Request_Item__c, check the Category B-approved current-item uniqueness. If no authoritative rule can be determined, stop and request approval.</w:t>
            </w:r>
          </w:p>
        </w:tc>
      </w:tr>
      <w:tr>
        <w:trPr>
          <w:trHeight w:hRule="atLeast"/>
        </w:trPr>
        <w:tc>
          <w:tcPr>
            <w:tcW w:type="dxa" w:w="3312"/>
            <w:tcMar>
              <w:top w:w="90" w:type="dxa"/>
              <w:start w:w="100" w:type="dxa"/>
              <w:bottom w:w="90" w:type="dxa"/>
              <w:end w:w="100" w:type="dxa"/>
            </w:tcMar>
            <w:vAlign w:val="top"/>
          </w:tcPr>
          <w:p>
            <w:r>
              <w:rPr>
                <w:rFonts w:ascii="Arial" w:hAnsi="Arial"/>
                <w:sz w:val="16"/>
              </w:rPr>
              <w:t>Data copy</w:t>
            </w:r>
          </w:p>
        </w:tc>
        <w:tc>
          <w:tcPr>
            <w:tcW w:type="dxa" w:w="7056"/>
            <w:tcMar>
              <w:top w:w="90" w:type="dxa"/>
              <w:start w:w="100" w:type="dxa"/>
              <w:bottom w:w="90" w:type="dxa"/>
              <w:end w:w="100" w:type="dxa"/>
            </w:tcMar>
            <w:vAlign w:val="top"/>
          </w:tcPr>
          <w:p>
            <w:r>
              <w:rPr>
                <w:rFonts w:ascii="Arial" w:hAnsi="Arial"/>
                <w:sz w:val="16"/>
              </w:rPr>
              <w:t>Copy identity fields only from qualifying data-subject records. Never create or populate Consent_Request_Item__c from Client_User.</w:t>
            </w:r>
          </w:p>
        </w:tc>
      </w:tr>
      <w:tr>
        <w:trPr>
          <w:trHeight w:hRule="atLeast"/>
        </w:trPr>
        <w:tc>
          <w:tcPr>
            <w:tcW w:type="dxa" w:w="3312"/>
            <w:tcMar>
              <w:top w:w="90" w:type="dxa"/>
              <w:start w:w="100" w:type="dxa"/>
              <w:bottom w:w="90" w:type="dxa"/>
              <w:end w:w="100" w:type="dxa"/>
            </w:tcMar>
            <w:vAlign w:val="top"/>
            <w:shd w:fill="F4F7FA"/>
          </w:tcPr>
          <w:p>
            <w:r>
              <w:rPr>
                <w:rFonts w:ascii="Arial" w:hAnsi="Arial"/>
                <w:sz w:val="16"/>
              </w:rPr>
              <w:t>Durable fault evidence</w:t>
            </w:r>
          </w:p>
        </w:tc>
        <w:tc>
          <w:tcPr>
            <w:tcW w:type="dxa" w:w="7056"/>
            <w:tcMar>
              <w:top w:w="90" w:type="dxa"/>
              <w:start w:w="100" w:type="dxa"/>
              <w:bottom w:w="90" w:type="dxa"/>
              <w:end w:w="100" w:type="dxa"/>
            </w:tcMar>
            <w:vAlign w:val="top"/>
            <w:shd w:fill="F4F7FA"/>
          </w:tcPr>
          <w:p>
            <w:r>
              <w:rPr>
                <w:rFonts w:ascii="Arial" w:hAnsi="Arial"/>
                <w:sz w:val="16"/>
              </w:rPr>
              <w:t>Use the approved shared exception mechanism if it exists. Otherwise propose a standard Case/platform-event/custom logging alternative and stop for approval before adding a new object. Store Contact reference, timestamp, flow name and sanitised error summary; no sensitive payload.</w:t>
            </w:r>
          </w:p>
        </w:tc>
      </w:tr>
      <w:tr>
        <w:trPr>
          <w:trHeight w:hRule="atLeast"/>
        </w:trPr>
        <w:tc>
          <w:tcPr>
            <w:tcW w:type="dxa" w:w="3312"/>
            <w:tcMar>
              <w:top w:w="90" w:type="dxa"/>
              <w:start w:w="100" w:type="dxa"/>
              <w:bottom w:w="90" w:type="dxa"/>
              <w:end w:w="100" w:type="dxa"/>
            </w:tcMar>
            <w:vAlign w:val="top"/>
          </w:tcPr>
          <w:p>
            <w:r>
              <w:rPr>
                <w:rFonts w:ascii="Arial" w:hAnsi="Arial"/>
                <w:sz w:val="16"/>
              </w:rPr>
              <w:t>Client User normalisation</w:t>
            </w:r>
          </w:p>
        </w:tc>
        <w:tc>
          <w:tcPr>
            <w:tcW w:type="dxa" w:w="7056"/>
            <w:tcMar>
              <w:top w:w="90" w:type="dxa"/>
              <w:start w:w="100" w:type="dxa"/>
              <w:bottom w:w="90" w:type="dxa"/>
              <w:end w:w="100" w:type="dxa"/>
            </w:tcMar>
            <w:vAlign w:val="top"/>
          </w:tcPr>
          <w:p>
            <w:r>
              <w:rPr>
                <w:rFonts w:ascii="Arial" w:hAnsi="Arial"/>
                <w:sz w:val="16"/>
              </w:rPr>
              <w:t>Before-save logic may normalise portal role, derive Can_Approve__c, prevent manual Active status and clear disallowed fields only for new/edited Client_User records where no valid legacy evidence is destroyed. Existing populated PII requires approved remediation, not silent clearing.</w:t>
            </w:r>
          </w:p>
        </w:tc>
      </w:tr>
    </w:tbl>
    <w:p>
      <w:pPr>
        <w:spacing w:after="0"/>
      </w:pPr>
    </w:p>
    <w:p>
      <w:pPr>
        <w:pStyle w:val="Heading2"/>
        <w:keepNext/>
        <w:keepLines/>
      </w:pPr>
      <w:r>
        <w:t>7.4 Layouts, record pages and actions</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2376"/>
            <w:shd w:fill="17365D"/>
            <w:tcMar>
              <w:top w:w="90" w:type="dxa"/>
              <w:start w:w="100" w:type="dxa"/>
              <w:bottom w:w="90" w:type="dxa"/>
              <w:end w:w="100" w:type="dxa"/>
            </w:tcMar>
          </w:tcPr>
          <w:p>
            <w:pPr>
              <w:jc w:val="left"/>
            </w:pPr>
            <w:r>
              <w:rPr>
                <w:rFonts w:ascii="Arial" w:hAnsi="Arial"/>
                <w:b/>
                <w:color w:val="FFFFFF"/>
                <w:sz w:val="16"/>
              </w:rPr>
              <w:t>Experience</w:t>
            </w:r>
          </w:p>
        </w:tc>
        <w:tc>
          <w:tcPr>
            <w:tcW w:type="dxa" w:w="4536"/>
            <w:shd w:fill="17365D"/>
            <w:tcMar>
              <w:top w:w="90" w:type="dxa"/>
              <w:start w:w="100" w:type="dxa"/>
              <w:bottom w:w="90" w:type="dxa"/>
              <w:end w:w="100" w:type="dxa"/>
            </w:tcMar>
          </w:tcPr>
          <w:p>
            <w:pPr>
              <w:jc w:val="left"/>
            </w:pPr>
            <w:r>
              <w:rPr>
                <w:rFonts w:ascii="Arial" w:hAnsi="Arial"/>
                <w:b/>
                <w:color w:val="FFFFFF"/>
                <w:sz w:val="16"/>
              </w:rPr>
              <w:t>Required content</w:t>
            </w:r>
          </w:p>
        </w:tc>
        <w:tc>
          <w:tcPr>
            <w:tcW w:type="dxa" w:w="3456"/>
            <w:shd w:fill="17365D"/>
            <w:tcMar>
              <w:top w:w="90" w:type="dxa"/>
              <w:start w:w="100" w:type="dxa"/>
              <w:bottom w:w="90" w:type="dxa"/>
              <w:end w:w="100" w:type="dxa"/>
            </w:tcMar>
          </w:tcPr>
          <w:p>
            <w:pPr>
              <w:jc w:val="left"/>
            </w:pPr>
            <w:r>
              <w:rPr>
                <w:rFonts w:ascii="Arial" w:hAnsi="Arial"/>
                <w:b/>
                <w:color w:val="FFFFFF"/>
                <w:sz w:val="16"/>
              </w:rPr>
              <w:t>Must not contain</w:t>
            </w:r>
          </w:p>
        </w:tc>
      </w:tr>
      <w:tr>
        <w:trPr>
          <w:trHeight w:hRule="atLeast"/>
        </w:trPr>
        <w:tc>
          <w:tcPr>
            <w:tcW w:type="dxa" w:w="2376"/>
            <w:tcMar>
              <w:top w:w="90" w:type="dxa"/>
              <w:start w:w="100" w:type="dxa"/>
              <w:bottom w:w="90" w:type="dxa"/>
              <w:end w:w="100" w:type="dxa"/>
            </w:tcMar>
            <w:vAlign w:val="top"/>
            <w:shd w:fill="F4F7FA"/>
          </w:tcPr>
          <w:p>
            <w:r>
              <w:rPr>
                <w:rFonts w:ascii="Arial" w:hAnsi="Arial"/>
                <w:sz w:val="16"/>
              </w:rPr>
              <w:t>CBS Contact - Client User Layout</w:t>
            </w:r>
          </w:p>
        </w:tc>
        <w:tc>
          <w:tcPr>
            <w:tcW w:type="dxa" w:w="4536"/>
            <w:tcMar>
              <w:top w:w="90" w:type="dxa"/>
              <w:start w:w="100" w:type="dxa"/>
              <w:bottom w:w="90" w:type="dxa"/>
              <w:end w:w="100" w:type="dxa"/>
            </w:tcMar>
            <w:vAlign w:val="top"/>
            <w:shd w:fill="F4F7FA"/>
          </w:tcPr>
          <w:p>
            <w:r>
              <w:rPr>
                <w:rFonts w:ascii="Arial" w:hAnsi="Arial"/>
                <w:sz w:val="16"/>
              </w:rPr>
              <w:t>Name, Account, business email, Department, Title, optional Phone; read-only Portal Role, Can Approve and Active summary where system-controlled; approved related access records.</w:t>
            </w:r>
          </w:p>
        </w:tc>
        <w:tc>
          <w:tcPr>
            <w:tcW w:type="dxa" w:w="3456"/>
            <w:tcMar>
              <w:top w:w="90" w:type="dxa"/>
              <w:start w:w="100" w:type="dxa"/>
              <w:bottom w:w="90" w:type="dxa"/>
              <w:end w:w="100" w:type="dxa"/>
            </w:tcMar>
            <w:vAlign w:val="top"/>
            <w:shd w:fill="F4F7FA"/>
          </w:tcPr>
          <w:p>
            <w:r>
              <w:rPr>
                <w:rFonts w:ascii="Arial" w:hAnsi="Arial"/>
                <w:sz w:val="16"/>
              </w:rPr>
              <w:t>DOB, identity documents, MyInfo, employment-status, consent/report/departure/matching fields; Enable/Disable Portal, Login As, Delete, Change Owner, Change Record Type, Clone and Share for Business Development.</w:t>
            </w:r>
          </w:p>
        </w:tc>
      </w:tr>
      <w:tr>
        <w:trPr>
          <w:trHeight w:hRule="atLeast"/>
        </w:trPr>
        <w:tc>
          <w:tcPr>
            <w:tcW w:type="dxa" w:w="2376"/>
            <w:tcMar>
              <w:top w:w="90" w:type="dxa"/>
              <w:start w:w="100" w:type="dxa"/>
              <w:bottom w:w="90" w:type="dxa"/>
              <w:end w:w="100" w:type="dxa"/>
            </w:tcMar>
            <w:vAlign w:val="top"/>
          </w:tcPr>
          <w:p>
            <w:r>
              <w:rPr>
                <w:rFonts w:ascii="Arial" w:hAnsi="Arial"/>
                <w:sz w:val="16"/>
              </w:rPr>
              <w:t>CBS Client User Record Page</w:t>
            </w:r>
          </w:p>
        </w:tc>
        <w:tc>
          <w:tcPr>
            <w:tcW w:type="dxa" w:w="4536"/>
            <w:tcMar>
              <w:top w:w="90" w:type="dxa"/>
              <w:start w:w="100" w:type="dxa"/>
              <w:bottom w:w="90" w:type="dxa"/>
              <w:end w:w="100" w:type="dxa"/>
            </w:tcMar>
            <w:vAlign w:val="top"/>
          </w:tcPr>
          <w:p>
            <w:r>
              <w:rPr>
                <w:rFonts w:ascii="Arial" w:hAnsi="Arial"/>
                <w:sz w:val="16"/>
              </w:rPr>
              <w:t>Dedicated Client_User Lightning page in the Credit Bureau app using standard Lightning components and the approved minimum data.</w:t>
            </w:r>
          </w:p>
        </w:tc>
        <w:tc>
          <w:tcPr>
            <w:tcW w:type="dxa" w:w="3456"/>
            <w:tcMar>
              <w:top w:w="90" w:type="dxa"/>
              <w:start w:w="100" w:type="dxa"/>
              <w:bottom w:w="90" w:type="dxa"/>
              <w:end w:w="100" w:type="dxa"/>
            </w:tcMar>
            <w:vAlign w:val="top"/>
          </w:tcPr>
          <w:p>
            <w:r>
              <w:rPr>
                <w:rFonts w:ascii="Arial" w:hAnsi="Arial"/>
                <w:sz w:val="16"/>
              </w:rPr>
              <w:t>Data-subject Paths, consent/report components, PII sections or user-provisioning controls.</w:t>
            </w:r>
          </w:p>
        </w:tc>
      </w:tr>
      <w:tr>
        <w:trPr>
          <w:trHeight w:hRule="atLeast"/>
        </w:trPr>
        <w:tc>
          <w:tcPr>
            <w:tcW w:type="dxa" w:w="2376"/>
            <w:tcMar>
              <w:top w:w="90" w:type="dxa"/>
              <w:start w:w="100" w:type="dxa"/>
              <w:bottom w:w="90" w:type="dxa"/>
              <w:end w:w="100" w:type="dxa"/>
            </w:tcMar>
            <w:vAlign w:val="top"/>
            <w:shd w:fill="F4F7FA"/>
          </w:tcPr>
          <w:p>
            <w:r>
              <w:rPr>
                <w:rFonts w:ascii="Arial" w:hAnsi="Arial"/>
                <w:sz w:val="16"/>
              </w:rPr>
              <w:t>Data Subject pages/layouts</w:t>
            </w:r>
          </w:p>
        </w:tc>
        <w:tc>
          <w:tcPr>
            <w:tcW w:type="dxa" w:w="4536"/>
            <w:tcMar>
              <w:top w:w="90" w:type="dxa"/>
              <w:start w:w="100" w:type="dxa"/>
              <w:bottom w:w="90" w:type="dxa"/>
              <w:end w:w="100" w:type="dxa"/>
            </w:tcMar>
            <w:vAlign w:val="top"/>
            <w:shd w:fill="F4F7FA"/>
          </w:tcPr>
          <w:p>
            <w:r>
              <w:rPr>
                <w:rFonts w:ascii="Arial" w:hAnsi="Arial"/>
                <w:sz w:val="16"/>
              </w:rPr>
              <w:t>Retain Category B operational content pending later design; remove client-access fields and portal administration actions where safe and approved.</w:t>
            </w:r>
          </w:p>
        </w:tc>
        <w:tc>
          <w:tcPr>
            <w:tcW w:type="dxa" w:w="3456"/>
            <w:tcMar>
              <w:top w:w="90" w:type="dxa"/>
              <w:start w:w="100" w:type="dxa"/>
              <w:bottom w:w="90" w:type="dxa"/>
              <w:end w:w="100" w:type="dxa"/>
            </w:tcMar>
            <w:vAlign w:val="top"/>
            <w:shd w:fill="F4F7FA"/>
          </w:tcPr>
          <w:p>
            <w:r>
              <w:rPr>
                <w:rFonts w:ascii="Arial" w:hAnsi="Arial"/>
                <w:sz w:val="16"/>
              </w:rPr>
              <w:t>Portal Role, Can Approve, Active Client User and client-user governance actions.</w:t>
            </w:r>
          </w:p>
        </w:tc>
      </w:tr>
      <w:tr>
        <w:trPr>
          <w:trHeight w:hRule="atLeast"/>
        </w:trPr>
        <w:tc>
          <w:tcPr>
            <w:tcW w:type="dxa" w:w="2376"/>
            <w:tcMar>
              <w:top w:w="90" w:type="dxa"/>
              <w:start w:w="100" w:type="dxa"/>
              <w:bottom w:w="90" w:type="dxa"/>
              <w:end w:w="100" w:type="dxa"/>
            </w:tcMar>
            <w:vAlign w:val="top"/>
          </w:tcPr>
          <w:p>
            <w:r>
              <w:rPr>
                <w:rFonts w:ascii="Arial" w:hAnsi="Arial"/>
                <w:sz w:val="16"/>
              </w:rPr>
              <w:t>Experience self-profile</w:t>
            </w:r>
          </w:p>
        </w:tc>
        <w:tc>
          <w:tcPr>
            <w:tcW w:type="dxa" w:w="4536"/>
            <w:tcMar>
              <w:top w:w="90" w:type="dxa"/>
              <w:start w:w="100" w:type="dxa"/>
              <w:bottom w:w="90" w:type="dxa"/>
              <w:end w:w="100" w:type="dxa"/>
            </w:tcMar>
            <w:vAlign w:val="top"/>
          </w:tcPr>
          <w:p>
            <w:r>
              <w:rPr>
                <w:rFonts w:ascii="Arial" w:hAnsi="Arial"/>
                <w:sz w:val="16"/>
              </w:rPr>
              <w:t>Do not publish a final redesign in this workstream. Preserve current route and document required own-profile-only fields for A-IMP-01.8/01.10.</w:t>
            </w:r>
          </w:p>
        </w:tc>
        <w:tc>
          <w:tcPr>
            <w:tcW w:type="dxa" w:w="3456"/>
            <w:tcMar>
              <w:top w:w="90" w:type="dxa"/>
              <w:start w:w="100" w:type="dxa"/>
              <w:bottom w:w="90" w:type="dxa"/>
              <w:end w:w="100" w:type="dxa"/>
            </w:tcMar>
            <w:vAlign w:val="top"/>
          </w:tcPr>
          <w:p>
            <w:r>
              <w:rPr>
                <w:rFonts w:ascii="Arial" w:hAnsi="Arial"/>
                <w:sz w:val="16"/>
              </w:rPr>
              <w:t>Generic Contact tab/list, other client-user Contacts, record-type change and portal administration.</w:t>
            </w:r>
          </w:p>
        </w:tc>
      </w:tr>
    </w:tbl>
    <w:p>
      <w:pPr>
        <w:spacing w:after="0"/>
      </w:pPr>
    </w:p>
    <w:p>
      <w:pPr>
        <w:pStyle w:val="Heading2"/>
        <w:keepNext/>
        <w:keepLines/>
      </w:pPr>
      <w:r>
        <w:t>7.5 Duplicate management</w:t>
      </w:r>
    </w:p>
    <w:p>
      <w:r>
        <w:t>Preferred target: exact business Email plus Account, scoped to Client_User, blocks duplicate active client-user records or requires a documented administrator override. Cursor must verify what the metadata API and org feature set can enforce without affecting data-subject Contacts. If exact scoping is not technically reliable, Cursor must propose a deterministic unique-key alternative and stop for approval before implementing it.</w:t>
      </w:r>
    </w:p>
    <w:p>
      <w:pPr>
        <w:pStyle w:val="Heading2"/>
        <w:keepNext/>
        <w:keepLines/>
      </w:pPr>
      <w:r>
        <w:t>7.6 Permissions and sharing boundary</w:t>
      </w:r>
    </w:p>
    <w:p>
      <w:pPr>
        <w:pStyle w:val="ListBullet"/>
        <w:spacing w:after="40"/>
      </w:pPr>
      <w:r>
        <w:t>Do not assign or remove user permissions in Phase 2 unless the approved manifest explicitly includes the assignment and rollback evidence.</w:t>
      </w:r>
    </w:p>
    <w:p>
      <w:pPr>
        <w:pStyle w:val="ListBullet"/>
        <w:spacing w:after="40"/>
      </w:pPr>
      <w:r>
        <w:t>Do not retire Set_Custom_Object_To_Partner or partner_community_User_Permissions_set in this workstream. Produce the dependency and risk register for A-IMP-01.8.</w:t>
      </w:r>
    </w:p>
    <w:p>
      <w:pPr>
        <w:pStyle w:val="ListBullet"/>
        <w:spacing w:after="40"/>
      </w:pPr>
      <w:r>
        <w:t>Correct an obviously wrong layout/profile assignment only when Phase 1 proves that Categories B-F will not regress and the manifest is approved.</w:t>
      </w:r>
    </w:p>
    <w:p>
      <w:pPr>
        <w:pStyle w:val="ListBullet"/>
        <w:spacing w:after="40"/>
      </w:pPr>
      <w:r>
        <w:t>Client HR User and Client Approver must not gain generic Contact CRUD or access to other client-user Contacts as a result of this workstream.</w:t>
      </w:r>
    </w:p>
    <w:p>
      <w:pPr>
        <w:pStyle w:val="ListBullet"/>
        <w:spacing w:after="40"/>
      </w:pPr>
      <w:r>
        <w:t>Contact sharing remains a downstream client-isolation decision. Do not change OWD or sharing sets here unless separately approved.</w:t>
      </w:r>
    </w:p>
    <w:p>
      <w:pPr>
        <w:pStyle w:val="Heading2"/>
        <w:keepNext/>
        <w:keepLines/>
      </w:pPr>
      <w:r>
        <w:t>7.7 Contact history and audit</w:t>
      </w:r>
    </w:p>
    <w:p>
      <w:r>
        <w:t>After the field-capacity and privacy check, enable history only for approved non-PII governance fields: Record Type, Account, Email, Department, Portal Role, Can Approve and Active Client User. Do not track DOB, ID numbers, passport or MyInfo fields in standard Contact history. If the limit is exceeded, stop and propose prioritisation; do not silently omit fields.</w:t>
      </w:r>
    </w:p>
    <w:p>
      <w:pPr>
        <w:pStyle w:val="Heading1"/>
        <w:keepNext/>
        <w:keepLines/>
        <w:pageBreakBefore/>
      </w:pPr>
      <w:r>
        <w:t>8. Data Remediation Controls</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1152"/>
            <w:shd w:fill="17365D"/>
            <w:tcMar>
              <w:top w:w="90" w:type="dxa"/>
              <w:start w:w="100" w:type="dxa"/>
              <w:bottom w:w="90" w:type="dxa"/>
              <w:end w:w="100" w:type="dxa"/>
            </w:tcMar>
          </w:tcPr>
          <w:p>
            <w:pPr>
              <w:jc w:val="left"/>
            </w:pPr>
            <w:r>
              <w:rPr>
                <w:rFonts w:ascii="Arial" w:hAnsi="Arial"/>
                <w:b/>
                <w:color w:val="FFFFFF"/>
                <w:sz w:val="16"/>
              </w:rPr>
              <w:t>Step</w:t>
            </w:r>
          </w:p>
        </w:tc>
        <w:tc>
          <w:tcPr>
            <w:tcW w:type="dxa" w:w="6480"/>
            <w:shd w:fill="17365D"/>
            <w:tcMar>
              <w:top w:w="90" w:type="dxa"/>
              <w:start w:w="100" w:type="dxa"/>
              <w:bottom w:w="90" w:type="dxa"/>
              <w:end w:w="100" w:type="dxa"/>
            </w:tcMar>
          </w:tcPr>
          <w:p>
            <w:pPr>
              <w:jc w:val="left"/>
            </w:pPr>
            <w:r>
              <w:rPr>
                <w:rFonts w:ascii="Arial" w:hAnsi="Arial"/>
                <w:b/>
                <w:color w:val="FFFFFF"/>
                <w:sz w:val="16"/>
              </w:rPr>
              <w:t>Required action</w:t>
            </w:r>
          </w:p>
        </w:tc>
        <w:tc>
          <w:tcPr>
            <w:tcW w:type="dxa" w:w="2736"/>
            <w:shd w:fill="17365D"/>
            <w:tcMar>
              <w:top w:w="90" w:type="dxa"/>
              <w:start w:w="100" w:type="dxa"/>
              <w:bottom w:w="90" w:type="dxa"/>
              <w:end w:w="100" w:type="dxa"/>
            </w:tcMar>
          </w:tcPr>
          <w:p>
            <w:pPr>
              <w:jc w:val="left"/>
            </w:pPr>
            <w:r>
              <w:rPr>
                <w:rFonts w:ascii="Arial" w:hAnsi="Arial"/>
                <w:b/>
                <w:color w:val="FFFFFF"/>
                <w:sz w:val="16"/>
              </w:rPr>
              <w:t>Gate</w:t>
            </w:r>
          </w:p>
        </w:tc>
      </w:tr>
      <w:tr>
        <w:trPr>
          <w:trHeight w:hRule="atLeast"/>
        </w:trPr>
        <w:tc>
          <w:tcPr>
            <w:tcW w:type="dxa" w:w="1152"/>
            <w:tcMar>
              <w:top w:w="90" w:type="dxa"/>
              <w:start w:w="100" w:type="dxa"/>
              <w:bottom w:w="90" w:type="dxa"/>
              <w:end w:w="100" w:type="dxa"/>
            </w:tcMar>
            <w:vAlign w:val="top"/>
            <w:shd w:fill="F4F7FA"/>
          </w:tcPr>
          <w:p>
            <w:r>
              <w:rPr>
                <w:rFonts w:ascii="Arial" w:hAnsi="Arial"/>
                <w:sz w:val="16"/>
              </w:rPr>
              <w:t>1. Export</w:t>
            </w:r>
          </w:p>
        </w:tc>
        <w:tc>
          <w:tcPr>
            <w:tcW w:type="dxa" w:w="6480"/>
            <w:tcMar>
              <w:top w:w="90" w:type="dxa"/>
              <w:start w:w="100" w:type="dxa"/>
              <w:bottom w:w="90" w:type="dxa"/>
              <w:end w:w="100" w:type="dxa"/>
            </w:tcMar>
            <w:vAlign w:val="top"/>
            <w:shd w:fill="F4F7FA"/>
          </w:tcPr>
          <w:p>
            <w:r>
              <w:rPr>
                <w:rFonts w:ascii="Arial" w:hAnsi="Arial"/>
                <w:sz w:val="16"/>
              </w:rPr>
              <w:t>Export affected Contact fields, record type, Account, related User and operational record references. Create a checksum and secure backup.</w:t>
            </w:r>
          </w:p>
        </w:tc>
        <w:tc>
          <w:tcPr>
            <w:tcW w:type="dxa" w:w="2736"/>
            <w:tcMar>
              <w:top w:w="90" w:type="dxa"/>
              <w:start w:w="100" w:type="dxa"/>
              <w:bottom w:w="90" w:type="dxa"/>
              <w:end w:w="100" w:type="dxa"/>
            </w:tcMar>
            <w:vAlign w:val="top"/>
            <w:shd w:fill="F4F7FA"/>
          </w:tcPr>
          <w:p>
            <w:r>
              <w:rPr>
                <w:rFonts w:ascii="Arial" w:hAnsi="Arial"/>
                <w:sz w:val="16"/>
              </w:rPr>
              <w:t>No data change.</w:t>
            </w:r>
          </w:p>
        </w:tc>
      </w:tr>
      <w:tr>
        <w:trPr>
          <w:trHeight w:hRule="atLeast"/>
        </w:trPr>
        <w:tc>
          <w:tcPr>
            <w:tcW w:type="dxa" w:w="1152"/>
            <w:tcMar>
              <w:top w:w="90" w:type="dxa"/>
              <w:start w:w="100" w:type="dxa"/>
              <w:bottom w:w="90" w:type="dxa"/>
              <w:end w:w="100" w:type="dxa"/>
            </w:tcMar>
            <w:vAlign w:val="top"/>
          </w:tcPr>
          <w:p>
            <w:r>
              <w:rPr>
                <w:rFonts w:ascii="Arial" w:hAnsi="Arial"/>
                <w:sz w:val="16"/>
              </w:rPr>
              <w:t>2. Classify</w:t>
            </w:r>
          </w:p>
        </w:tc>
        <w:tc>
          <w:tcPr>
            <w:tcW w:type="dxa" w:w="6480"/>
            <w:tcMar>
              <w:top w:w="90" w:type="dxa"/>
              <w:start w:w="100" w:type="dxa"/>
              <w:bottom w:w="90" w:type="dxa"/>
              <w:end w:w="100" w:type="dxa"/>
            </w:tcMar>
            <w:vAlign w:val="top"/>
          </w:tcPr>
          <w:p>
            <w:r>
              <w:rPr>
                <w:rFonts w:ascii="Arial" w:hAnsi="Arial"/>
                <w:sz w:val="16"/>
              </w:rPr>
              <w:t>Classify wrong-purpose records, Client_User with prohibited PII, data subjects with access fields and duplicate business-email-plus-Account pairs.</w:t>
            </w:r>
          </w:p>
        </w:tc>
        <w:tc>
          <w:tcPr>
            <w:tcW w:type="dxa" w:w="2736"/>
            <w:tcMar>
              <w:top w:w="90" w:type="dxa"/>
              <w:start w:w="100" w:type="dxa"/>
              <w:bottom w:w="90" w:type="dxa"/>
              <w:end w:w="100" w:type="dxa"/>
            </w:tcMar>
            <w:vAlign w:val="top"/>
          </w:tcPr>
          <w:p>
            <w:r>
              <w:rPr>
                <w:rFonts w:ascii="Arial" w:hAnsi="Arial"/>
                <w:sz w:val="16"/>
              </w:rPr>
              <w:t>Business/privacy owner review.</w:t>
            </w:r>
          </w:p>
        </w:tc>
      </w:tr>
      <w:tr>
        <w:trPr>
          <w:trHeight w:hRule="atLeast"/>
        </w:trPr>
        <w:tc>
          <w:tcPr>
            <w:tcW w:type="dxa" w:w="1152"/>
            <w:tcMar>
              <w:top w:w="90" w:type="dxa"/>
              <w:start w:w="100" w:type="dxa"/>
              <w:bottom w:w="90" w:type="dxa"/>
              <w:end w:w="100" w:type="dxa"/>
            </w:tcMar>
            <w:vAlign w:val="top"/>
            <w:shd w:fill="F4F7FA"/>
          </w:tcPr>
          <w:p>
            <w:r>
              <w:rPr>
                <w:rFonts w:ascii="Arial" w:hAnsi="Arial"/>
                <w:sz w:val="16"/>
              </w:rPr>
              <w:t>3. Dry run</w:t>
            </w:r>
          </w:p>
        </w:tc>
        <w:tc>
          <w:tcPr>
            <w:tcW w:type="dxa" w:w="6480"/>
            <w:tcMar>
              <w:top w:w="90" w:type="dxa"/>
              <w:start w:w="100" w:type="dxa"/>
              <w:bottom w:w="90" w:type="dxa"/>
              <w:end w:w="100" w:type="dxa"/>
            </w:tcMar>
            <w:vAlign w:val="top"/>
            <w:shd w:fill="F4F7FA"/>
          </w:tcPr>
          <w:p>
            <w:r>
              <w:rPr>
                <w:rFonts w:ascii="Arial" w:hAnsi="Arial"/>
                <w:sz w:val="16"/>
              </w:rPr>
              <w:t>Prepare reversible CSV/scripts with before values, proposed after values, rationale and excluded records.</w:t>
            </w:r>
          </w:p>
        </w:tc>
        <w:tc>
          <w:tcPr>
            <w:tcW w:type="dxa" w:w="2736"/>
            <w:tcMar>
              <w:top w:w="90" w:type="dxa"/>
              <w:start w:w="100" w:type="dxa"/>
              <w:bottom w:w="90" w:type="dxa"/>
              <w:end w:w="100" w:type="dxa"/>
            </w:tcMar>
            <w:vAlign w:val="top"/>
            <w:shd w:fill="F4F7FA"/>
          </w:tcPr>
          <w:p>
            <w:r>
              <w:rPr>
                <w:rFonts w:ascii="Arial" w:hAnsi="Arial"/>
                <w:sz w:val="16"/>
              </w:rPr>
              <w:t>Reconcile record counts and exceptions.</w:t>
            </w:r>
          </w:p>
        </w:tc>
      </w:tr>
      <w:tr>
        <w:trPr>
          <w:trHeight w:hRule="atLeast"/>
        </w:trPr>
        <w:tc>
          <w:tcPr>
            <w:tcW w:type="dxa" w:w="1152"/>
            <w:tcMar>
              <w:top w:w="90" w:type="dxa"/>
              <w:start w:w="100" w:type="dxa"/>
              <w:bottom w:w="90" w:type="dxa"/>
              <w:end w:w="100" w:type="dxa"/>
            </w:tcMar>
            <w:vAlign w:val="top"/>
          </w:tcPr>
          <w:p>
            <w:r>
              <w:rPr>
                <w:rFonts w:ascii="Arial" w:hAnsi="Arial"/>
                <w:sz w:val="16"/>
              </w:rPr>
              <w:t>4. Approve</w:t>
            </w:r>
          </w:p>
        </w:tc>
        <w:tc>
          <w:tcPr>
            <w:tcW w:type="dxa" w:w="6480"/>
            <w:tcMar>
              <w:top w:w="90" w:type="dxa"/>
              <w:start w:w="100" w:type="dxa"/>
              <w:bottom w:w="90" w:type="dxa"/>
              <w:end w:w="100" w:type="dxa"/>
            </w:tcMar>
            <w:vAlign w:val="top"/>
          </w:tcPr>
          <w:p>
            <w:r>
              <w:rPr>
                <w:rFonts w:ascii="Arial" w:hAnsi="Arial"/>
                <w:sz w:val="16"/>
              </w:rPr>
              <w:t>Obtain explicit approval before clearing, splitting or reclassifying records.</w:t>
            </w:r>
          </w:p>
        </w:tc>
        <w:tc>
          <w:tcPr>
            <w:tcW w:type="dxa" w:w="2736"/>
            <w:tcMar>
              <w:top w:w="90" w:type="dxa"/>
              <w:start w:w="100" w:type="dxa"/>
              <w:bottom w:w="90" w:type="dxa"/>
              <w:end w:w="100" w:type="dxa"/>
            </w:tcMar>
            <w:vAlign w:val="top"/>
          </w:tcPr>
          <w:p>
            <w:r>
              <w:rPr>
                <w:rFonts w:ascii="Arial" w:hAnsi="Arial"/>
                <w:sz w:val="16"/>
              </w:rPr>
              <w:t>No silent destructive cleanup.</w:t>
            </w:r>
          </w:p>
        </w:tc>
      </w:tr>
      <w:tr>
        <w:trPr>
          <w:trHeight w:hRule="atLeast"/>
        </w:trPr>
        <w:tc>
          <w:tcPr>
            <w:tcW w:type="dxa" w:w="1152"/>
            <w:tcMar>
              <w:top w:w="90" w:type="dxa"/>
              <w:start w:w="100" w:type="dxa"/>
              <w:bottom w:w="90" w:type="dxa"/>
              <w:end w:w="100" w:type="dxa"/>
            </w:tcMar>
            <w:vAlign w:val="top"/>
            <w:shd w:fill="F4F7FA"/>
          </w:tcPr>
          <w:p>
            <w:r>
              <w:rPr>
                <w:rFonts w:ascii="Arial" w:hAnsi="Arial"/>
                <w:sz w:val="16"/>
              </w:rPr>
              <w:t>5. Apply</w:t>
            </w:r>
          </w:p>
        </w:tc>
        <w:tc>
          <w:tcPr>
            <w:tcW w:type="dxa" w:w="6480"/>
            <w:tcMar>
              <w:top w:w="90" w:type="dxa"/>
              <w:start w:w="100" w:type="dxa"/>
              <w:bottom w:w="90" w:type="dxa"/>
              <w:end w:w="100" w:type="dxa"/>
            </w:tcMar>
            <w:vAlign w:val="top"/>
            <w:shd w:fill="F4F7FA"/>
          </w:tcPr>
          <w:p>
            <w:r>
              <w:rPr>
                <w:rFonts w:ascii="Arial" w:hAnsi="Arial"/>
                <w:sz w:val="16"/>
              </w:rPr>
              <w:t>Run the approved data fix in Sandbox, preserve separate same-person purpose records and retain audit evidence.</w:t>
            </w:r>
          </w:p>
        </w:tc>
        <w:tc>
          <w:tcPr>
            <w:tcW w:type="dxa" w:w="2736"/>
            <w:tcMar>
              <w:top w:w="90" w:type="dxa"/>
              <w:start w:w="100" w:type="dxa"/>
              <w:bottom w:w="90" w:type="dxa"/>
              <w:end w:w="100" w:type="dxa"/>
            </w:tcMar>
            <w:vAlign w:val="top"/>
            <w:shd w:fill="F4F7FA"/>
          </w:tcPr>
          <w:p>
            <w:r>
              <w:rPr>
                <w:rFonts w:ascii="Arial" w:hAnsi="Arial"/>
                <w:sz w:val="16"/>
              </w:rPr>
              <w:t>Validation activation only after successful reconciliation.</w:t>
            </w:r>
          </w:p>
        </w:tc>
      </w:tr>
      <w:tr>
        <w:trPr>
          <w:trHeight w:hRule="atLeast"/>
        </w:trPr>
        <w:tc>
          <w:tcPr>
            <w:tcW w:type="dxa" w:w="1152"/>
            <w:tcMar>
              <w:top w:w="90" w:type="dxa"/>
              <w:start w:w="100" w:type="dxa"/>
              <w:bottom w:w="90" w:type="dxa"/>
              <w:end w:w="100" w:type="dxa"/>
            </w:tcMar>
            <w:vAlign w:val="top"/>
          </w:tcPr>
          <w:p>
            <w:r>
              <w:rPr>
                <w:rFonts w:ascii="Arial" w:hAnsi="Arial"/>
                <w:sz w:val="16"/>
              </w:rPr>
              <w:t>6. Verify</w:t>
            </w:r>
          </w:p>
        </w:tc>
        <w:tc>
          <w:tcPr>
            <w:tcW w:type="dxa" w:w="6480"/>
            <w:tcMar>
              <w:top w:w="90" w:type="dxa"/>
              <w:start w:w="100" w:type="dxa"/>
              <w:bottom w:w="90" w:type="dxa"/>
              <w:end w:w="100" w:type="dxa"/>
            </w:tcMar>
            <w:vAlign w:val="top"/>
          </w:tcPr>
          <w:p>
            <w:r>
              <w:rPr>
                <w:rFonts w:ascii="Arial" w:hAnsi="Arial"/>
                <w:sz w:val="16"/>
              </w:rPr>
              <w:t>Requery affected records and compare before/after counts, exceptions and related User/operational links.</w:t>
            </w:r>
          </w:p>
        </w:tc>
        <w:tc>
          <w:tcPr>
            <w:tcW w:type="dxa" w:w="2736"/>
            <w:tcMar>
              <w:top w:w="90" w:type="dxa"/>
              <w:start w:w="100" w:type="dxa"/>
              <w:bottom w:w="90" w:type="dxa"/>
              <w:end w:w="100" w:type="dxa"/>
            </w:tcMar>
            <w:vAlign w:val="top"/>
          </w:tcPr>
          <w:p>
            <w:r>
              <w:rPr>
                <w:rFonts w:ascii="Arial" w:hAnsi="Arial"/>
                <w:sz w:val="16"/>
              </w:rPr>
              <w:t>Zero unintended data loss.</w:t>
            </w:r>
          </w:p>
        </w:tc>
      </w:tr>
    </w:tbl>
    <w:p>
      <w:pPr>
        <w:spacing w:after="0"/>
      </w:pPr>
    </w:p>
    <w:p>
      <w:pPr>
        <w:pStyle w:val="Heading1"/>
        <w:keepNext/>
        <w:keepLines/>
        <w:pageBreakBefore/>
      </w:pPr>
      <w:r>
        <w:t>9. Verification and Acceptance Tests</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864"/>
            <w:shd w:fill="17365D"/>
            <w:tcMar>
              <w:top w:w="90" w:type="dxa"/>
              <w:start w:w="100" w:type="dxa"/>
              <w:bottom w:w="90" w:type="dxa"/>
              <w:end w:w="100" w:type="dxa"/>
            </w:tcMar>
          </w:tcPr>
          <w:p>
            <w:pPr>
              <w:jc w:val="left"/>
            </w:pPr>
            <w:r>
              <w:rPr>
                <w:rFonts w:ascii="Arial" w:hAnsi="Arial"/>
                <w:b/>
                <w:color w:val="FFFFFF"/>
                <w:sz w:val="16"/>
              </w:rPr>
              <w:t>Test ID</w:t>
            </w:r>
          </w:p>
        </w:tc>
        <w:tc>
          <w:tcPr>
            <w:tcW w:type="dxa" w:w="4320"/>
            <w:shd w:fill="17365D"/>
            <w:tcMar>
              <w:top w:w="90" w:type="dxa"/>
              <w:start w:w="100" w:type="dxa"/>
              <w:bottom w:w="90" w:type="dxa"/>
              <w:end w:w="100" w:type="dxa"/>
            </w:tcMar>
          </w:tcPr>
          <w:p>
            <w:pPr>
              <w:jc w:val="left"/>
            </w:pPr>
            <w:r>
              <w:rPr>
                <w:rFonts w:ascii="Arial" w:hAnsi="Arial"/>
                <w:b/>
                <w:color w:val="FFFFFF"/>
                <w:sz w:val="16"/>
              </w:rPr>
              <w:t>Scenario</w:t>
            </w:r>
          </w:p>
        </w:tc>
        <w:tc>
          <w:tcPr>
            <w:tcW w:type="dxa" w:w="5184"/>
            <w:shd w:fill="17365D"/>
            <w:tcMar>
              <w:top w:w="90" w:type="dxa"/>
              <w:start w:w="100" w:type="dxa"/>
              <w:bottom w:w="90" w:type="dxa"/>
              <w:end w:w="100" w:type="dxa"/>
            </w:tcMar>
          </w:tcPr>
          <w:p>
            <w:pPr>
              <w:jc w:val="left"/>
            </w:pPr>
            <w:r>
              <w:rPr>
                <w:rFonts w:ascii="Arial" w:hAnsi="Arial"/>
                <w:b/>
                <w:color w:val="FFFFFF"/>
                <w:sz w:val="16"/>
              </w:rPr>
              <w:t>Expected result</w:t>
            </w:r>
          </w:p>
        </w:tc>
      </w:tr>
      <w:tr>
        <w:trPr>
          <w:trHeight w:hRule="atLeast"/>
        </w:trPr>
        <w:tc>
          <w:tcPr>
            <w:tcW w:type="dxa" w:w="864"/>
            <w:tcMar>
              <w:top w:w="90" w:type="dxa"/>
              <w:start w:w="100" w:type="dxa"/>
              <w:bottom w:w="90" w:type="dxa"/>
              <w:end w:w="100" w:type="dxa"/>
            </w:tcMar>
            <w:vAlign w:val="top"/>
            <w:shd w:fill="F4F7FA"/>
          </w:tcPr>
          <w:p>
            <w:r>
              <w:rPr>
                <w:rFonts w:ascii="Arial" w:hAnsi="Arial"/>
                <w:sz w:val="16"/>
              </w:rPr>
              <w:t>T01</w:t>
            </w:r>
          </w:p>
        </w:tc>
        <w:tc>
          <w:tcPr>
            <w:tcW w:type="dxa" w:w="4320"/>
            <w:tcMar>
              <w:top w:w="90" w:type="dxa"/>
              <w:start w:w="100" w:type="dxa"/>
              <w:bottom w:w="90" w:type="dxa"/>
              <w:end w:w="100" w:type="dxa"/>
            </w:tcMar>
            <w:vAlign w:val="top"/>
            <w:shd w:fill="F4F7FA"/>
          </w:tcPr>
          <w:p>
            <w:r>
              <w:rPr>
                <w:rFonts w:ascii="Arial" w:hAnsi="Arial"/>
                <w:sz w:val="16"/>
              </w:rPr>
              <w:t>Create minimal Client_User with Account, standard name, business email, Department and Client HR User role.</w:t>
            </w:r>
          </w:p>
        </w:tc>
        <w:tc>
          <w:tcPr>
            <w:tcW w:type="dxa" w:w="5184"/>
            <w:tcMar>
              <w:top w:w="90" w:type="dxa"/>
              <w:start w:w="100" w:type="dxa"/>
              <w:bottom w:w="90" w:type="dxa"/>
              <w:end w:w="100" w:type="dxa"/>
            </w:tcMar>
            <w:vAlign w:val="top"/>
            <w:shd w:fill="F4F7FA"/>
          </w:tcPr>
          <w:p>
            <w:r>
              <w:rPr>
                <w:rFonts w:ascii="Arial" w:hAnsi="Arial"/>
                <w:sz w:val="16"/>
              </w:rPr>
              <w:t>Save succeeds without DOB, ID type, ID number or employment status.</w:t>
            </w:r>
          </w:p>
        </w:tc>
      </w:tr>
      <w:tr>
        <w:trPr>
          <w:trHeight w:hRule="atLeast"/>
        </w:trPr>
        <w:tc>
          <w:tcPr>
            <w:tcW w:type="dxa" w:w="864"/>
            <w:tcMar>
              <w:top w:w="90" w:type="dxa"/>
              <w:start w:w="100" w:type="dxa"/>
              <w:bottom w:w="90" w:type="dxa"/>
              <w:end w:w="100" w:type="dxa"/>
            </w:tcMar>
            <w:vAlign w:val="top"/>
          </w:tcPr>
          <w:p>
            <w:r>
              <w:rPr>
                <w:rFonts w:ascii="Arial" w:hAnsi="Arial"/>
                <w:sz w:val="16"/>
              </w:rPr>
              <w:t>T02</w:t>
            </w:r>
          </w:p>
        </w:tc>
        <w:tc>
          <w:tcPr>
            <w:tcW w:type="dxa" w:w="4320"/>
            <w:tcMar>
              <w:top w:w="90" w:type="dxa"/>
              <w:start w:w="100" w:type="dxa"/>
              <w:bottom w:w="90" w:type="dxa"/>
              <w:end w:w="100" w:type="dxa"/>
            </w:tcMar>
            <w:vAlign w:val="top"/>
          </w:tcPr>
          <w:p>
            <w:r>
              <w:rPr>
                <w:rFonts w:ascii="Arial" w:hAnsi="Arial"/>
                <w:sz w:val="16"/>
              </w:rPr>
              <w:t>Create Client_User with prohibited data-subject field populated.</w:t>
            </w:r>
          </w:p>
        </w:tc>
        <w:tc>
          <w:tcPr>
            <w:tcW w:type="dxa" w:w="5184"/>
            <w:tcMar>
              <w:top w:w="90" w:type="dxa"/>
              <w:start w:w="100" w:type="dxa"/>
              <w:bottom w:w="90" w:type="dxa"/>
              <w:end w:w="100" w:type="dxa"/>
            </w:tcMar>
            <w:vAlign w:val="top"/>
          </w:tcPr>
          <w:p>
            <w:r>
              <w:rPr>
                <w:rFonts w:ascii="Arial" w:hAnsi="Arial"/>
                <w:sz w:val="16"/>
              </w:rPr>
              <w:t>Save blocked after remediation/validation activation.</w:t>
            </w:r>
          </w:p>
        </w:tc>
      </w:tr>
      <w:tr>
        <w:trPr>
          <w:trHeight w:hRule="atLeast"/>
        </w:trPr>
        <w:tc>
          <w:tcPr>
            <w:tcW w:type="dxa" w:w="864"/>
            <w:tcMar>
              <w:top w:w="90" w:type="dxa"/>
              <w:start w:w="100" w:type="dxa"/>
              <w:bottom w:w="90" w:type="dxa"/>
              <w:end w:w="100" w:type="dxa"/>
            </w:tcMar>
            <w:vAlign w:val="top"/>
            <w:shd w:fill="F4F7FA"/>
          </w:tcPr>
          <w:p>
            <w:r>
              <w:rPr>
                <w:rFonts w:ascii="Arial" w:hAnsi="Arial"/>
                <w:sz w:val="16"/>
              </w:rPr>
              <w:t>T03</w:t>
            </w:r>
          </w:p>
        </w:tc>
        <w:tc>
          <w:tcPr>
            <w:tcW w:type="dxa" w:w="4320"/>
            <w:tcMar>
              <w:top w:w="90" w:type="dxa"/>
              <w:start w:w="100" w:type="dxa"/>
              <w:bottom w:w="90" w:type="dxa"/>
              <w:end w:w="100" w:type="dxa"/>
            </w:tcMar>
            <w:vAlign w:val="top"/>
            <w:shd w:fill="F4F7FA"/>
          </w:tcPr>
          <w:p>
            <w:r>
              <w:rPr>
                <w:rFonts w:ascii="Arial" w:hAnsi="Arial"/>
                <w:sz w:val="16"/>
              </w:rPr>
              <w:t>Create Client_User with Email.</w:t>
            </w:r>
          </w:p>
        </w:tc>
        <w:tc>
          <w:tcPr>
            <w:tcW w:type="dxa" w:w="5184"/>
            <w:tcMar>
              <w:top w:w="90" w:type="dxa"/>
              <w:start w:w="100" w:type="dxa"/>
              <w:bottom w:w="90" w:type="dxa"/>
              <w:end w:w="100" w:type="dxa"/>
            </w:tcMar>
            <w:vAlign w:val="top"/>
            <w:shd w:fill="F4F7FA"/>
          </w:tcPr>
          <w:p>
            <w:r>
              <w:rPr>
                <w:rFonts w:ascii="Arial" w:hAnsi="Arial"/>
                <w:sz w:val="16"/>
              </w:rPr>
              <w:t>No Consent_Request_Item__c is created and no consent/report/departure lifecycle is entered.</w:t>
            </w:r>
          </w:p>
        </w:tc>
      </w:tr>
      <w:tr>
        <w:trPr>
          <w:trHeight w:hRule="atLeast"/>
        </w:trPr>
        <w:tc>
          <w:tcPr>
            <w:tcW w:type="dxa" w:w="864"/>
            <w:tcMar>
              <w:top w:w="90" w:type="dxa"/>
              <w:start w:w="100" w:type="dxa"/>
              <w:bottom w:w="90" w:type="dxa"/>
              <w:end w:w="100" w:type="dxa"/>
            </w:tcMar>
            <w:vAlign w:val="top"/>
          </w:tcPr>
          <w:p>
            <w:r>
              <w:rPr>
                <w:rFonts w:ascii="Arial" w:hAnsi="Arial"/>
                <w:sz w:val="16"/>
              </w:rPr>
              <w:t>T04</w:t>
            </w:r>
          </w:p>
        </w:tc>
        <w:tc>
          <w:tcPr>
            <w:tcW w:type="dxa" w:w="4320"/>
            <w:tcMar>
              <w:top w:w="90" w:type="dxa"/>
              <w:start w:w="100" w:type="dxa"/>
              <w:bottom w:w="90" w:type="dxa"/>
              <w:end w:w="100" w:type="dxa"/>
            </w:tcMar>
            <w:vAlign w:val="top"/>
          </w:tcPr>
          <w:p>
            <w:r>
              <w:rPr>
                <w:rFonts w:ascii="Arial" w:hAnsi="Arial"/>
                <w:sz w:val="16"/>
              </w:rPr>
              <w:t>Create each qualifying data-subject type with the proven mandatory fields.</w:t>
            </w:r>
          </w:p>
        </w:tc>
        <w:tc>
          <w:tcPr>
            <w:tcW w:type="dxa" w:w="5184"/>
            <w:tcMar>
              <w:top w:w="90" w:type="dxa"/>
              <w:start w:w="100" w:type="dxa"/>
              <w:bottom w:w="90" w:type="dxa"/>
              <w:end w:w="100" w:type="dxa"/>
            </w:tcMar>
            <w:vAlign w:val="top"/>
          </w:tcPr>
          <w:p>
            <w:r>
              <w:rPr>
                <w:rFonts w:ascii="Arial" w:hAnsi="Arial"/>
                <w:sz w:val="16"/>
              </w:rPr>
              <w:t>Existing Category B-approved consent-item behaviour continues and no client-access fields are populated.</w:t>
            </w:r>
          </w:p>
        </w:tc>
      </w:tr>
      <w:tr>
        <w:trPr>
          <w:trHeight w:hRule="atLeast"/>
        </w:trPr>
        <w:tc>
          <w:tcPr>
            <w:tcW w:type="dxa" w:w="864"/>
            <w:tcMar>
              <w:top w:w="90" w:type="dxa"/>
              <w:start w:w="100" w:type="dxa"/>
              <w:bottom w:w="90" w:type="dxa"/>
              <w:end w:w="100" w:type="dxa"/>
            </w:tcMar>
            <w:vAlign w:val="top"/>
            <w:shd w:fill="F4F7FA"/>
          </w:tcPr>
          <w:p>
            <w:r>
              <w:rPr>
                <w:rFonts w:ascii="Arial" w:hAnsi="Arial"/>
                <w:sz w:val="16"/>
              </w:rPr>
              <w:t>T05</w:t>
            </w:r>
          </w:p>
        </w:tc>
        <w:tc>
          <w:tcPr>
            <w:tcW w:type="dxa" w:w="4320"/>
            <w:tcMar>
              <w:top w:w="90" w:type="dxa"/>
              <w:start w:w="100" w:type="dxa"/>
              <w:bottom w:w="90" w:type="dxa"/>
              <w:end w:w="100" w:type="dxa"/>
            </w:tcMar>
            <w:vAlign w:val="top"/>
            <w:shd w:fill="F4F7FA"/>
          </w:tcPr>
          <w:p>
            <w:r>
              <w:rPr>
                <w:rFonts w:ascii="Arial" w:hAnsi="Arial"/>
                <w:sz w:val="16"/>
              </w:rPr>
              <w:t>Repeat the data-subject create/update condition.</w:t>
            </w:r>
          </w:p>
        </w:tc>
        <w:tc>
          <w:tcPr>
            <w:tcW w:type="dxa" w:w="5184"/>
            <w:tcMar>
              <w:top w:w="90" w:type="dxa"/>
              <w:start w:w="100" w:type="dxa"/>
              <w:bottom w:w="90" w:type="dxa"/>
              <w:end w:w="100" w:type="dxa"/>
            </w:tcMar>
            <w:vAlign w:val="top"/>
            <w:shd w:fill="F4F7FA"/>
          </w:tcPr>
          <w:p>
            <w:r>
              <w:rPr>
                <w:rFonts w:ascii="Arial" w:hAnsi="Arial"/>
                <w:sz w:val="16"/>
              </w:rPr>
              <w:t>No duplicate current Consent_Request_Item__c is created according to the approved uniqueness rule.</w:t>
            </w:r>
          </w:p>
        </w:tc>
      </w:tr>
      <w:tr>
        <w:trPr>
          <w:trHeight w:hRule="atLeast"/>
        </w:trPr>
        <w:tc>
          <w:tcPr>
            <w:tcW w:type="dxa" w:w="864"/>
            <w:tcMar>
              <w:top w:w="90" w:type="dxa"/>
              <w:start w:w="100" w:type="dxa"/>
              <w:bottom w:w="90" w:type="dxa"/>
              <w:end w:w="100" w:type="dxa"/>
            </w:tcMar>
            <w:vAlign w:val="top"/>
          </w:tcPr>
          <w:p>
            <w:r>
              <w:rPr>
                <w:rFonts w:ascii="Arial" w:hAnsi="Arial"/>
                <w:sz w:val="16"/>
              </w:rPr>
              <w:t>T06</w:t>
            </w:r>
          </w:p>
        </w:tc>
        <w:tc>
          <w:tcPr>
            <w:tcW w:type="dxa" w:w="4320"/>
            <w:tcMar>
              <w:top w:w="90" w:type="dxa"/>
              <w:start w:w="100" w:type="dxa"/>
              <w:bottom w:w="90" w:type="dxa"/>
              <w:end w:w="100" w:type="dxa"/>
            </w:tcMar>
            <w:vAlign w:val="top"/>
          </w:tcPr>
          <w:p>
            <w:r>
              <w:rPr>
                <w:rFonts w:ascii="Arial" w:hAnsi="Arial"/>
                <w:sz w:val="16"/>
              </w:rPr>
              <w:t>Force the Contact-create Flow fault in a test context.</w:t>
            </w:r>
          </w:p>
        </w:tc>
        <w:tc>
          <w:tcPr>
            <w:tcW w:type="dxa" w:w="5184"/>
            <w:tcMar>
              <w:top w:w="90" w:type="dxa"/>
              <w:start w:w="100" w:type="dxa"/>
              <w:bottom w:w="90" w:type="dxa"/>
              <w:end w:w="100" w:type="dxa"/>
            </w:tcMar>
            <w:vAlign w:val="top"/>
          </w:tcPr>
          <w:p>
            <w:r>
              <w:rPr>
                <w:rFonts w:ascii="Arial" w:hAnsi="Arial"/>
                <w:sz w:val="16"/>
              </w:rPr>
              <w:t>Durable sanitised error evidence and authorised notification are produced; no silent failure.</w:t>
            </w:r>
          </w:p>
        </w:tc>
      </w:tr>
      <w:tr>
        <w:trPr>
          <w:trHeight w:hRule="atLeast"/>
        </w:trPr>
        <w:tc>
          <w:tcPr>
            <w:tcW w:type="dxa" w:w="864"/>
            <w:tcMar>
              <w:top w:w="90" w:type="dxa"/>
              <w:start w:w="100" w:type="dxa"/>
              <w:bottom w:w="90" w:type="dxa"/>
              <w:end w:w="100" w:type="dxa"/>
            </w:tcMar>
            <w:vAlign w:val="top"/>
            <w:shd w:fill="F4F7FA"/>
          </w:tcPr>
          <w:p>
            <w:r>
              <w:rPr>
                <w:rFonts w:ascii="Arial" w:hAnsi="Arial"/>
                <w:sz w:val="16"/>
              </w:rPr>
              <w:t>T07</w:t>
            </w:r>
          </w:p>
        </w:tc>
        <w:tc>
          <w:tcPr>
            <w:tcW w:type="dxa" w:w="4320"/>
            <w:tcMar>
              <w:top w:w="90" w:type="dxa"/>
              <w:start w:w="100" w:type="dxa"/>
              <w:bottom w:w="90" w:type="dxa"/>
              <w:end w:w="100" w:type="dxa"/>
            </w:tcMar>
            <w:vAlign w:val="top"/>
            <w:shd w:fill="F4F7FA"/>
          </w:tcPr>
          <w:p>
            <w:r>
              <w:rPr>
                <w:rFonts w:ascii="Arial" w:hAnsi="Arial"/>
                <w:sz w:val="16"/>
              </w:rPr>
              <w:t>Business Development permission context.</w:t>
            </w:r>
          </w:p>
        </w:tc>
        <w:tc>
          <w:tcPr>
            <w:tcW w:type="dxa" w:w="5184"/>
            <w:tcMar>
              <w:top w:w="90" w:type="dxa"/>
              <w:start w:w="100" w:type="dxa"/>
              <w:bottom w:w="90" w:type="dxa"/>
              <w:end w:w="100" w:type="dxa"/>
            </w:tcMar>
            <w:vAlign w:val="top"/>
            <w:shd w:fill="F4F7FA"/>
          </w:tcPr>
          <w:p>
            <w:r>
              <w:rPr>
                <w:rFonts w:ascii="Arial" w:hAnsi="Arial"/>
                <w:sz w:val="16"/>
              </w:rPr>
              <w:t>Can create/edit Client_User minimum fields; cannot create data-subject types, access PII, delete, change record type or activate User.</w:t>
            </w:r>
          </w:p>
        </w:tc>
      </w:tr>
      <w:tr>
        <w:trPr>
          <w:trHeight w:hRule="atLeast"/>
        </w:trPr>
        <w:tc>
          <w:tcPr>
            <w:tcW w:type="dxa" w:w="864"/>
            <w:tcMar>
              <w:top w:w="90" w:type="dxa"/>
              <w:start w:w="100" w:type="dxa"/>
              <w:bottom w:w="90" w:type="dxa"/>
              <w:end w:w="100" w:type="dxa"/>
            </w:tcMar>
            <w:vAlign w:val="top"/>
          </w:tcPr>
          <w:p>
            <w:r>
              <w:rPr>
                <w:rFonts w:ascii="Arial" w:hAnsi="Arial"/>
                <w:sz w:val="16"/>
              </w:rPr>
              <w:t>T08</w:t>
            </w:r>
          </w:p>
        </w:tc>
        <w:tc>
          <w:tcPr>
            <w:tcW w:type="dxa" w:w="4320"/>
            <w:tcMar>
              <w:top w:w="90" w:type="dxa"/>
              <w:start w:w="100" w:type="dxa"/>
              <w:bottom w:w="90" w:type="dxa"/>
              <w:end w:w="100" w:type="dxa"/>
            </w:tcMar>
            <w:vAlign w:val="top"/>
          </w:tcPr>
          <w:p>
            <w:r>
              <w:rPr>
                <w:rFonts w:ascii="Arial" w:hAnsi="Arial"/>
                <w:sz w:val="16"/>
              </w:rPr>
              <w:t>Client HR User and Client Approver contexts.</w:t>
            </w:r>
          </w:p>
        </w:tc>
        <w:tc>
          <w:tcPr>
            <w:tcW w:type="dxa" w:w="5184"/>
            <w:tcMar>
              <w:top w:w="90" w:type="dxa"/>
              <w:start w:w="100" w:type="dxa"/>
              <w:bottom w:w="90" w:type="dxa"/>
              <w:end w:w="100" w:type="dxa"/>
            </w:tcMar>
            <w:vAlign w:val="top"/>
          </w:tcPr>
          <w:p>
            <w:r>
              <w:rPr>
                <w:rFonts w:ascii="Arial" w:hAnsi="Arial"/>
                <w:sz w:val="16"/>
              </w:rPr>
              <w:t>No generic Contact list/CRUD, role change, active-status edit or access to other Client_User Contacts.</w:t>
            </w:r>
          </w:p>
        </w:tc>
      </w:tr>
      <w:tr>
        <w:trPr>
          <w:trHeight w:hRule="atLeast"/>
        </w:trPr>
        <w:tc>
          <w:tcPr>
            <w:tcW w:type="dxa" w:w="864"/>
            <w:tcMar>
              <w:top w:w="90" w:type="dxa"/>
              <w:start w:w="100" w:type="dxa"/>
              <w:bottom w:w="90" w:type="dxa"/>
              <w:end w:w="100" w:type="dxa"/>
            </w:tcMar>
            <w:vAlign w:val="top"/>
            <w:shd w:fill="F4F7FA"/>
          </w:tcPr>
          <w:p>
            <w:r>
              <w:rPr>
                <w:rFonts w:ascii="Arial" w:hAnsi="Arial"/>
                <w:sz w:val="16"/>
              </w:rPr>
              <w:t>T09</w:t>
            </w:r>
          </w:p>
        </w:tc>
        <w:tc>
          <w:tcPr>
            <w:tcW w:type="dxa" w:w="4320"/>
            <w:tcMar>
              <w:top w:w="90" w:type="dxa"/>
              <w:start w:w="100" w:type="dxa"/>
              <w:bottom w:w="90" w:type="dxa"/>
              <w:end w:w="100" w:type="dxa"/>
            </w:tcMar>
            <w:vAlign w:val="top"/>
            <w:shd w:fill="F4F7FA"/>
          </w:tcPr>
          <w:p>
            <w:r>
              <w:rPr>
                <w:rFonts w:ascii="Arial" w:hAnsi="Arial"/>
                <w:sz w:val="16"/>
              </w:rPr>
              <w:t>Processing user context.</w:t>
            </w:r>
          </w:p>
        </w:tc>
        <w:tc>
          <w:tcPr>
            <w:tcW w:type="dxa" w:w="5184"/>
            <w:tcMar>
              <w:top w:w="90" w:type="dxa"/>
              <w:start w:w="100" w:type="dxa"/>
              <w:bottom w:w="90" w:type="dxa"/>
              <w:end w:w="100" w:type="dxa"/>
            </w:tcMar>
            <w:vAlign w:val="top"/>
            <w:shd w:fill="F4F7FA"/>
          </w:tcPr>
          <w:p>
            <w:r>
              <w:rPr>
                <w:rFonts w:ascii="Arial" w:hAnsi="Arial"/>
                <w:sz w:val="16"/>
              </w:rPr>
              <w:t>Data-subject process remains operational; no Client User access-governance fields.</w:t>
            </w:r>
          </w:p>
        </w:tc>
      </w:tr>
      <w:tr>
        <w:trPr>
          <w:trHeight w:hRule="atLeast"/>
        </w:trPr>
        <w:tc>
          <w:tcPr>
            <w:tcW w:type="dxa" w:w="864"/>
            <w:tcMar>
              <w:top w:w="90" w:type="dxa"/>
              <w:start w:w="100" w:type="dxa"/>
              <w:bottom w:w="90" w:type="dxa"/>
              <w:end w:w="100" w:type="dxa"/>
            </w:tcMar>
            <w:vAlign w:val="top"/>
          </w:tcPr>
          <w:p>
            <w:r>
              <w:rPr>
                <w:rFonts w:ascii="Arial" w:hAnsi="Arial"/>
                <w:sz w:val="16"/>
              </w:rPr>
              <w:t>T10</w:t>
            </w:r>
          </w:p>
        </w:tc>
        <w:tc>
          <w:tcPr>
            <w:tcW w:type="dxa" w:w="4320"/>
            <w:tcMar>
              <w:top w:w="90" w:type="dxa"/>
              <w:start w:w="100" w:type="dxa"/>
              <w:bottom w:w="90" w:type="dxa"/>
              <w:end w:w="100" w:type="dxa"/>
            </w:tcMar>
            <w:vAlign w:val="top"/>
          </w:tcPr>
          <w:p>
            <w:r>
              <w:rPr>
                <w:rFonts w:ascii="Arial" w:hAnsi="Arial"/>
                <w:sz w:val="16"/>
              </w:rPr>
              <w:t>Duplicate Client_User with same Account and business Email.</w:t>
            </w:r>
          </w:p>
        </w:tc>
        <w:tc>
          <w:tcPr>
            <w:tcW w:type="dxa" w:w="5184"/>
            <w:tcMar>
              <w:top w:w="90" w:type="dxa"/>
              <w:start w:w="100" w:type="dxa"/>
              <w:bottom w:w="90" w:type="dxa"/>
              <w:end w:w="100" w:type="dxa"/>
            </w:tcMar>
            <w:vAlign w:val="top"/>
          </w:tcPr>
          <w:p>
            <w:r>
              <w:rPr>
                <w:rFonts w:ascii="Arial" w:hAnsi="Arial"/>
                <w:sz w:val="16"/>
              </w:rPr>
              <w:t>Blocked or requires the approved auditable administrator override.</w:t>
            </w:r>
          </w:p>
        </w:tc>
      </w:tr>
      <w:tr>
        <w:trPr>
          <w:trHeight w:hRule="atLeast"/>
        </w:trPr>
        <w:tc>
          <w:tcPr>
            <w:tcW w:type="dxa" w:w="864"/>
            <w:tcMar>
              <w:top w:w="90" w:type="dxa"/>
              <w:start w:w="100" w:type="dxa"/>
              <w:bottom w:w="90" w:type="dxa"/>
              <w:end w:w="100" w:type="dxa"/>
            </w:tcMar>
            <w:vAlign w:val="top"/>
            <w:shd w:fill="F4F7FA"/>
          </w:tcPr>
          <w:p>
            <w:r>
              <w:rPr>
                <w:rFonts w:ascii="Arial" w:hAnsi="Arial"/>
                <w:sz w:val="16"/>
              </w:rPr>
              <w:t>T11</w:t>
            </w:r>
          </w:p>
        </w:tc>
        <w:tc>
          <w:tcPr>
            <w:tcW w:type="dxa" w:w="4320"/>
            <w:tcMar>
              <w:top w:w="90" w:type="dxa"/>
              <w:start w:w="100" w:type="dxa"/>
              <w:bottom w:w="90" w:type="dxa"/>
              <w:end w:w="100" w:type="dxa"/>
            </w:tcMar>
            <w:vAlign w:val="top"/>
            <w:shd w:fill="F4F7FA"/>
          </w:tcPr>
          <w:p>
            <w:r>
              <w:rPr>
                <w:rFonts w:ascii="Arial" w:hAnsi="Arial"/>
                <w:sz w:val="16"/>
              </w:rPr>
              <w:t>Same person has both purposes.</w:t>
            </w:r>
          </w:p>
        </w:tc>
        <w:tc>
          <w:tcPr>
            <w:tcW w:type="dxa" w:w="5184"/>
            <w:tcMar>
              <w:top w:w="90" w:type="dxa"/>
              <w:start w:w="100" w:type="dxa"/>
              <w:bottom w:w="90" w:type="dxa"/>
              <w:end w:w="100" w:type="dxa"/>
            </w:tcMar>
            <w:vAlign w:val="top"/>
            <w:shd w:fill="F4F7FA"/>
          </w:tcPr>
          <w:p>
            <w:r>
              <w:rPr>
                <w:rFonts w:ascii="Arial" w:hAnsi="Arial"/>
                <w:sz w:val="16"/>
              </w:rPr>
              <w:t>Two separate Contacts are supported; neither is converted to the other purpose.</w:t>
            </w:r>
          </w:p>
        </w:tc>
      </w:tr>
      <w:tr>
        <w:trPr>
          <w:trHeight w:hRule="atLeast"/>
        </w:trPr>
        <w:tc>
          <w:tcPr>
            <w:tcW w:type="dxa" w:w="864"/>
            <w:tcMar>
              <w:top w:w="90" w:type="dxa"/>
              <w:start w:w="100" w:type="dxa"/>
              <w:bottom w:w="90" w:type="dxa"/>
              <w:end w:w="100" w:type="dxa"/>
            </w:tcMar>
            <w:vAlign w:val="top"/>
          </w:tcPr>
          <w:p>
            <w:r>
              <w:rPr>
                <w:rFonts w:ascii="Arial" w:hAnsi="Arial"/>
                <w:sz w:val="16"/>
              </w:rPr>
              <w:t>T12</w:t>
            </w:r>
          </w:p>
        </w:tc>
        <w:tc>
          <w:tcPr>
            <w:tcW w:type="dxa" w:w="4320"/>
            <w:tcMar>
              <w:top w:w="90" w:type="dxa"/>
              <w:start w:w="100" w:type="dxa"/>
              <w:bottom w:w="90" w:type="dxa"/>
              <w:end w:w="100" w:type="dxa"/>
            </w:tcMar>
            <w:vAlign w:val="top"/>
          </w:tcPr>
          <w:p>
            <w:r>
              <w:rPr>
                <w:rFonts w:ascii="Arial" w:hAnsi="Arial"/>
                <w:sz w:val="16"/>
              </w:rPr>
              <w:t>Metadata re-retrieval and diff.</w:t>
            </w:r>
          </w:p>
        </w:tc>
        <w:tc>
          <w:tcPr>
            <w:tcW w:type="dxa" w:w="5184"/>
            <w:tcMar>
              <w:top w:w="90" w:type="dxa"/>
              <w:start w:w="100" w:type="dxa"/>
              <w:bottom w:w="90" w:type="dxa"/>
              <w:end w:w="100" w:type="dxa"/>
            </w:tcMar>
            <w:vAlign w:val="top"/>
          </w:tcPr>
          <w:p>
            <w:r>
              <w:rPr>
                <w:rFonts w:ascii="Arial" w:hAnsi="Arial"/>
                <w:sz w:val="16"/>
              </w:rPr>
              <w:t>Only approved manifest changes exist; active Flow count, page assignments, required flags, validation and history match the design.</w:t>
            </w:r>
          </w:p>
        </w:tc>
      </w:tr>
      <w:tr>
        <w:trPr>
          <w:trHeight w:hRule="atLeast"/>
        </w:trPr>
        <w:tc>
          <w:tcPr>
            <w:tcW w:type="dxa" w:w="864"/>
            <w:tcMar>
              <w:top w:w="90" w:type="dxa"/>
              <w:start w:w="100" w:type="dxa"/>
              <w:bottom w:w="90" w:type="dxa"/>
              <w:end w:w="100" w:type="dxa"/>
            </w:tcMar>
            <w:vAlign w:val="top"/>
            <w:shd w:fill="F4F7FA"/>
          </w:tcPr>
          <w:p>
            <w:r>
              <w:rPr>
                <w:rFonts w:ascii="Arial" w:hAnsi="Arial"/>
                <w:sz w:val="16"/>
              </w:rPr>
              <w:t>T13</w:t>
            </w:r>
          </w:p>
        </w:tc>
        <w:tc>
          <w:tcPr>
            <w:tcW w:type="dxa" w:w="4320"/>
            <w:tcMar>
              <w:top w:w="90" w:type="dxa"/>
              <w:start w:w="100" w:type="dxa"/>
              <w:bottom w:w="90" w:type="dxa"/>
              <w:end w:w="100" w:type="dxa"/>
            </w:tcMar>
            <w:vAlign w:val="top"/>
            <w:shd w:fill="F4F7FA"/>
          </w:tcPr>
          <w:p>
            <w:r>
              <w:rPr>
                <w:rFonts w:ascii="Arial" w:hAnsi="Arial"/>
                <w:sz w:val="16"/>
              </w:rPr>
              <w:t>Categories B-F regression suite.</w:t>
            </w:r>
          </w:p>
        </w:tc>
        <w:tc>
          <w:tcPr>
            <w:tcW w:type="dxa" w:w="5184"/>
            <w:tcMar>
              <w:top w:w="90" w:type="dxa"/>
              <w:start w:w="100" w:type="dxa"/>
              <w:bottom w:w="90" w:type="dxa"/>
              <w:end w:w="100" w:type="dxa"/>
            </w:tcMar>
            <w:vAlign w:val="top"/>
            <w:shd w:fill="F4F7FA"/>
          </w:tcPr>
          <w:p>
            <w:r>
              <w:rPr>
                <w:rFonts w:ascii="Arial" w:hAnsi="Arial"/>
                <w:sz w:val="16"/>
              </w:rPr>
              <w:t>Consent creation, upload, departure, report and Experience routes show no unintended regression.</w:t>
            </w:r>
          </w:p>
        </w:tc>
      </w:tr>
      <w:tr>
        <w:trPr>
          <w:trHeight w:hRule="atLeast"/>
        </w:trPr>
        <w:tc>
          <w:tcPr>
            <w:tcW w:type="dxa" w:w="864"/>
            <w:tcMar>
              <w:top w:w="90" w:type="dxa"/>
              <w:start w:w="100" w:type="dxa"/>
              <w:bottom w:w="90" w:type="dxa"/>
              <w:end w:w="100" w:type="dxa"/>
            </w:tcMar>
            <w:vAlign w:val="top"/>
          </w:tcPr>
          <w:p>
            <w:r>
              <w:rPr>
                <w:rFonts w:ascii="Arial" w:hAnsi="Arial"/>
                <w:sz w:val="16"/>
              </w:rPr>
              <w:t>T14</w:t>
            </w:r>
          </w:p>
        </w:tc>
        <w:tc>
          <w:tcPr>
            <w:tcW w:type="dxa" w:w="4320"/>
            <w:tcMar>
              <w:top w:w="90" w:type="dxa"/>
              <w:start w:w="100" w:type="dxa"/>
              <w:bottom w:w="90" w:type="dxa"/>
              <w:end w:w="100" w:type="dxa"/>
            </w:tcMar>
            <w:vAlign w:val="top"/>
          </w:tcPr>
          <w:p>
            <w:r>
              <w:rPr>
                <w:rFonts w:ascii="Arial" w:hAnsi="Arial"/>
                <w:sz w:val="16"/>
              </w:rPr>
              <w:t>Check-only deployment and local tests.</w:t>
            </w:r>
          </w:p>
        </w:tc>
        <w:tc>
          <w:tcPr>
            <w:tcW w:type="dxa" w:w="5184"/>
            <w:tcMar>
              <w:top w:w="90" w:type="dxa"/>
              <w:start w:w="100" w:type="dxa"/>
              <w:bottom w:w="90" w:type="dxa"/>
              <w:end w:w="100" w:type="dxa"/>
            </w:tcMar>
            <w:vAlign w:val="top"/>
          </w:tcPr>
          <w:p>
            <w:r>
              <w:rPr>
                <w:rFonts w:ascii="Arial" w:hAnsi="Arial"/>
                <w:sz w:val="16"/>
              </w:rPr>
              <w:t>All relevant Apex/Flow tests pass; no unresolved P1/P2 defect.</w:t>
            </w:r>
          </w:p>
        </w:tc>
      </w:tr>
    </w:tbl>
    <w:p>
      <w:pPr>
        <w:spacing w:after="0"/>
      </w:pPr>
    </w:p>
    <w:p>
      <w:pPr>
        <w:pStyle w:val="Heading1"/>
        <w:keepNext/>
        <w:keepLines/>
        <w:pageBreakBefore/>
      </w:pPr>
      <w:r>
        <w:t>10. Required Cursor Deliverables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168"/>
            <w:shd w:fill="17365D"/>
            <w:tcMar>
              <w:top w:w="90" w:type="dxa"/>
              <w:start w:w="100" w:type="dxa"/>
              <w:bottom w:w="90" w:type="dxa"/>
              <w:end w:w="100" w:type="dxa"/>
            </w:tcMar>
          </w:tcPr>
          <w:p>
            <w:pPr>
              <w:jc w:val="left"/>
            </w:pPr>
            <w:r>
              <w:rPr>
                <w:rFonts w:ascii="Arial" w:hAnsi="Arial"/>
                <w:b/>
                <w:color w:val="FFFFFF"/>
                <w:sz w:val="16"/>
              </w:rPr>
              <w:t>Required file</w:t>
            </w:r>
          </w:p>
        </w:tc>
        <w:tc>
          <w:tcPr>
            <w:tcW w:type="dxa" w:w="7200"/>
            <w:shd w:fill="17365D"/>
            <w:tcMar>
              <w:top w:w="90" w:type="dxa"/>
              <w:start w:w="100" w:type="dxa"/>
              <w:bottom w:w="90" w:type="dxa"/>
              <w:end w:w="100" w:type="dxa"/>
            </w:tcMar>
          </w:tcPr>
          <w:p>
            <w:pPr>
              <w:jc w:val="left"/>
            </w:pPr>
            <w:r>
              <w:rPr>
                <w:rFonts w:ascii="Arial" w:hAnsi="Arial"/>
                <w:b/>
                <w:color w:val="FFFFFF"/>
                <w:sz w:val="16"/>
              </w:rPr>
              <w:t>Minimum content</w:t>
            </w:r>
          </w:p>
        </w:tc>
      </w:tr>
      <w:tr>
        <w:trPr>
          <w:trHeight w:hRule="atLeast"/>
        </w:trPr>
        <w:tc>
          <w:tcPr>
            <w:tcW w:type="dxa" w:w="3168"/>
            <w:tcMar>
              <w:top w:w="90" w:type="dxa"/>
              <w:start w:w="100" w:type="dxa"/>
              <w:bottom w:w="90" w:type="dxa"/>
              <w:end w:w="100" w:type="dxa"/>
            </w:tcMar>
            <w:vAlign w:val="top"/>
            <w:shd w:fill="F4F7FA"/>
          </w:tcPr>
          <w:p>
            <w:r>
              <w:rPr>
                <w:rFonts w:ascii="Arial" w:hAnsi="Arial"/>
                <w:sz w:val="16"/>
              </w:rPr>
              <w:t>01_pre_change_impact_report.md</w:t>
            </w:r>
          </w:p>
        </w:tc>
        <w:tc>
          <w:tcPr>
            <w:tcW w:type="dxa" w:w="7200"/>
            <w:tcMar>
              <w:top w:w="90" w:type="dxa"/>
              <w:start w:w="100" w:type="dxa"/>
              <w:bottom w:w="90" w:type="dxa"/>
              <w:end w:w="100" w:type="dxa"/>
            </w:tcMar>
            <w:vAlign w:val="top"/>
            <w:shd w:fill="F4F7FA"/>
          </w:tcPr>
          <w:p>
            <w:r>
              <w:rPr>
                <w:rFonts w:ascii="Arial" w:hAnsi="Arial"/>
                <w:sz w:val="16"/>
              </w:rPr>
              <w:t>Baseline verification, dependency graph, runtime queries, data profile, feature/licence findings, risks and stop conditions.</w:t>
            </w:r>
          </w:p>
        </w:tc>
      </w:tr>
      <w:tr>
        <w:trPr>
          <w:trHeight w:hRule="atLeast"/>
        </w:trPr>
        <w:tc>
          <w:tcPr>
            <w:tcW w:type="dxa" w:w="3168"/>
            <w:tcMar>
              <w:top w:w="90" w:type="dxa"/>
              <w:start w:w="100" w:type="dxa"/>
              <w:bottom w:w="90" w:type="dxa"/>
              <w:end w:w="100" w:type="dxa"/>
            </w:tcMar>
            <w:vAlign w:val="top"/>
          </w:tcPr>
          <w:p>
            <w:r>
              <w:rPr>
                <w:rFonts w:ascii="Arial" w:hAnsi="Arial"/>
                <w:sz w:val="16"/>
              </w:rPr>
              <w:t>02_exact_metadata_manifest.csv</w:t>
            </w:r>
          </w:p>
        </w:tc>
        <w:tc>
          <w:tcPr>
            <w:tcW w:type="dxa" w:w="7200"/>
            <w:tcMar>
              <w:top w:w="90" w:type="dxa"/>
              <w:start w:w="100" w:type="dxa"/>
              <w:bottom w:w="90" w:type="dxa"/>
              <w:end w:w="100" w:type="dxa"/>
            </w:tcMar>
            <w:vAlign w:val="top"/>
          </w:tcPr>
          <w:p>
            <w:r>
              <w:rPr>
                <w:rFonts w:ascii="Arial" w:hAnsi="Arial"/>
                <w:sz w:val="16"/>
              </w:rPr>
              <w:t>Component type, API name, action, current state, target state, requirement, design decision, dependency, deployment wave and rollback.</w:t>
            </w:r>
          </w:p>
        </w:tc>
      </w:tr>
      <w:tr>
        <w:trPr>
          <w:trHeight w:hRule="atLeast"/>
        </w:trPr>
        <w:tc>
          <w:tcPr>
            <w:tcW w:type="dxa" w:w="3168"/>
            <w:tcMar>
              <w:top w:w="90" w:type="dxa"/>
              <w:start w:w="100" w:type="dxa"/>
              <w:bottom w:w="90" w:type="dxa"/>
              <w:end w:w="100" w:type="dxa"/>
            </w:tcMar>
            <w:vAlign w:val="top"/>
            <w:shd w:fill="F4F7FA"/>
          </w:tcPr>
          <w:p>
            <w:r>
              <w:rPr>
                <w:rFonts w:ascii="Arial" w:hAnsi="Arial"/>
                <w:sz w:val="16"/>
              </w:rPr>
              <w:t>03_data_remediation_dry_run.csv</w:t>
            </w:r>
          </w:p>
        </w:tc>
        <w:tc>
          <w:tcPr>
            <w:tcW w:type="dxa" w:w="7200"/>
            <w:tcMar>
              <w:top w:w="90" w:type="dxa"/>
              <w:start w:w="100" w:type="dxa"/>
              <w:bottom w:w="90" w:type="dxa"/>
              <w:end w:w="100" w:type="dxa"/>
            </w:tcMar>
            <w:vAlign w:val="top"/>
            <w:shd w:fill="F4F7FA"/>
          </w:tcPr>
          <w:p>
            <w:r>
              <w:rPr>
                <w:rFonts w:ascii="Arial" w:hAnsi="Arial"/>
                <w:sz w:val="16"/>
              </w:rPr>
              <w:t>Record ID, purpose, affected fields, before value, proposed after value, reason, approval status and exception.</w:t>
            </w:r>
          </w:p>
        </w:tc>
      </w:tr>
      <w:tr>
        <w:trPr>
          <w:trHeight w:hRule="atLeast"/>
        </w:trPr>
        <w:tc>
          <w:tcPr>
            <w:tcW w:type="dxa" w:w="3168"/>
            <w:tcMar>
              <w:top w:w="90" w:type="dxa"/>
              <w:start w:w="100" w:type="dxa"/>
              <w:bottom w:w="90" w:type="dxa"/>
              <w:end w:w="100" w:type="dxa"/>
            </w:tcMar>
            <w:vAlign w:val="top"/>
          </w:tcPr>
          <w:p>
            <w:r>
              <w:rPr>
                <w:rFonts w:ascii="Arial" w:hAnsi="Arial"/>
                <w:sz w:val="16"/>
              </w:rPr>
              <w:t>04_implementation_log.md</w:t>
            </w:r>
          </w:p>
        </w:tc>
        <w:tc>
          <w:tcPr>
            <w:tcW w:type="dxa" w:w="7200"/>
            <w:tcMar>
              <w:top w:w="90" w:type="dxa"/>
              <w:start w:w="100" w:type="dxa"/>
              <w:bottom w:w="90" w:type="dxa"/>
              <w:end w:w="100" w:type="dxa"/>
            </w:tcMar>
            <w:vAlign w:val="top"/>
          </w:tcPr>
          <w:p>
            <w:r>
              <w:rPr>
                <w:rFonts w:ascii="Arial" w:hAnsi="Arial"/>
                <w:sz w:val="16"/>
              </w:rPr>
              <w:t>Approved manifest reference, file-by-file changes, decisions, commands and deviations.</w:t>
            </w:r>
          </w:p>
        </w:tc>
      </w:tr>
      <w:tr>
        <w:trPr>
          <w:trHeight w:hRule="atLeast"/>
        </w:trPr>
        <w:tc>
          <w:tcPr>
            <w:tcW w:type="dxa" w:w="3168"/>
            <w:tcMar>
              <w:top w:w="90" w:type="dxa"/>
              <w:start w:w="100" w:type="dxa"/>
              <w:bottom w:w="90" w:type="dxa"/>
              <w:end w:w="100" w:type="dxa"/>
            </w:tcMar>
            <w:vAlign w:val="top"/>
            <w:shd w:fill="F4F7FA"/>
          </w:tcPr>
          <w:p>
            <w:r>
              <w:rPr>
                <w:rFonts w:ascii="Arial" w:hAnsi="Arial"/>
                <w:sz w:val="16"/>
              </w:rPr>
              <w:t>05_test_and_regression_report.md</w:t>
            </w:r>
          </w:p>
        </w:tc>
        <w:tc>
          <w:tcPr>
            <w:tcW w:type="dxa" w:w="7200"/>
            <w:tcMar>
              <w:top w:w="90" w:type="dxa"/>
              <w:start w:w="100" w:type="dxa"/>
              <w:bottom w:w="90" w:type="dxa"/>
              <w:end w:w="100" w:type="dxa"/>
            </w:tcMar>
            <w:vAlign w:val="top"/>
            <w:shd w:fill="F4F7FA"/>
          </w:tcPr>
          <w:p>
            <w:r>
              <w:rPr>
                <w:rFonts w:ascii="Arial" w:hAnsi="Arial"/>
                <w:sz w:val="16"/>
              </w:rPr>
              <w:t>Test IDs T01-T14, evidence, results, failures, coverage and Category B-F regression.</w:t>
            </w:r>
          </w:p>
        </w:tc>
      </w:tr>
      <w:tr>
        <w:trPr>
          <w:trHeight w:hRule="atLeast"/>
        </w:trPr>
        <w:tc>
          <w:tcPr>
            <w:tcW w:type="dxa" w:w="3168"/>
            <w:tcMar>
              <w:top w:w="90" w:type="dxa"/>
              <w:start w:w="100" w:type="dxa"/>
              <w:bottom w:w="90" w:type="dxa"/>
              <w:end w:w="100" w:type="dxa"/>
            </w:tcMar>
            <w:vAlign w:val="top"/>
          </w:tcPr>
          <w:p>
            <w:r>
              <w:rPr>
                <w:rFonts w:ascii="Arial" w:hAnsi="Arial"/>
                <w:sz w:val="16"/>
              </w:rPr>
              <w:t>06_deployment_runbook.md</w:t>
            </w:r>
          </w:p>
        </w:tc>
        <w:tc>
          <w:tcPr>
            <w:tcW w:type="dxa" w:w="7200"/>
            <w:tcMar>
              <w:top w:w="90" w:type="dxa"/>
              <w:start w:w="100" w:type="dxa"/>
              <w:bottom w:w="90" w:type="dxa"/>
              <w:end w:w="100" w:type="dxa"/>
            </w:tcMar>
            <w:vAlign w:val="top"/>
          </w:tcPr>
          <w:p>
            <w:r>
              <w:rPr>
                <w:rFonts w:ascii="Arial" w:hAnsi="Arial"/>
                <w:sz w:val="16"/>
              </w:rPr>
              <w:t>Check-only and Sandbox deployment commands, activation order, assignments, post-deploy actions and verification.</w:t>
            </w:r>
          </w:p>
        </w:tc>
      </w:tr>
      <w:tr>
        <w:trPr>
          <w:trHeight w:hRule="atLeast"/>
        </w:trPr>
        <w:tc>
          <w:tcPr>
            <w:tcW w:type="dxa" w:w="3168"/>
            <w:tcMar>
              <w:top w:w="90" w:type="dxa"/>
              <w:start w:w="100" w:type="dxa"/>
              <w:bottom w:w="90" w:type="dxa"/>
              <w:end w:w="100" w:type="dxa"/>
            </w:tcMar>
            <w:vAlign w:val="top"/>
            <w:shd w:fill="F4F7FA"/>
          </w:tcPr>
          <w:p>
            <w:r>
              <w:rPr>
                <w:rFonts w:ascii="Arial" w:hAnsi="Arial"/>
                <w:sz w:val="16"/>
              </w:rPr>
              <w:t>07_rollback_runbook.md</w:t>
            </w:r>
          </w:p>
        </w:tc>
        <w:tc>
          <w:tcPr>
            <w:tcW w:type="dxa" w:w="7200"/>
            <w:tcMar>
              <w:top w:w="90" w:type="dxa"/>
              <w:start w:w="100" w:type="dxa"/>
              <w:bottom w:w="90" w:type="dxa"/>
              <w:end w:w="100" w:type="dxa"/>
            </w:tcMar>
            <w:vAlign w:val="top"/>
            <w:shd w:fill="F4F7FA"/>
          </w:tcPr>
          <w:p>
            <w:r>
              <w:rPr>
                <w:rFonts w:ascii="Arial" w:hAnsi="Arial"/>
                <w:sz w:val="16"/>
              </w:rPr>
              <w:t>Deactivation, metadata restore, data restore, assignment restore, verification and rollback authority.</w:t>
            </w:r>
          </w:p>
        </w:tc>
      </w:tr>
      <w:tr>
        <w:trPr>
          <w:trHeight w:hRule="atLeast"/>
        </w:trPr>
        <w:tc>
          <w:tcPr>
            <w:tcW w:type="dxa" w:w="3168"/>
            <w:tcMar>
              <w:top w:w="90" w:type="dxa"/>
              <w:start w:w="100" w:type="dxa"/>
              <w:bottom w:w="90" w:type="dxa"/>
              <w:end w:w="100" w:type="dxa"/>
            </w:tcMar>
            <w:vAlign w:val="top"/>
          </w:tcPr>
          <w:p>
            <w:r>
              <w:rPr>
                <w:rFonts w:ascii="Arial" w:hAnsi="Arial"/>
                <w:sz w:val="16"/>
              </w:rPr>
              <w:t>08_as_built_evidence.md</w:t>
            </w:r>
          </w:p>
        </w:tc>
        <w:tc>
          <w:tcPr>
            <w:tcW w:type="dxa" w:w="7200"/>
            <w:tcMar>
              <w:top w:w="90" w:type="dxa"/>
              <w:start w:w="100" w:type="dxa"/>
              <w:bottom w:w="90" w:type="dxa"/>
              <w:end w:w="100" w:type="dxa"/>
            </w:tcMar>
            <w:vAlign w:val="top"/>
          </w:tcPr>
          <w:p>
            <w:r>
              <w:rPr>
                <w:rFonts w:ascii="Arial" w:hAnsi="Arial"/>
                <w:sz w:val="16"/>
              </w:rPr>
              <w:t>Fresh metadata ZIP/hash, source diff, runtime evidence, requirement/decision/acceptance reconciliation.</w:t>
            </w:r>
          </w:p>
        </w:tc>
      </w:tr>
      <w:tr>
        <w:trPr>
          <w:trHeight w:hRule="atLeast"/>
        </w:trPr>
        <w:tc>
          <w:tcPr>
            <w:tcW w:type="dxa" w:w="3168"/>
            <w:tcMar>
              <w:top w:w="90" w:type="dxa"/>
              <w:start w:w="100" w:type="dxa"/>
              <w:bottom w:w="90" w:type="dxa"/>
              <w:end w:w="100" w:type="dxa"/>
            </w:tcMar>
            <w:vAlign w:val="top"/>
            <w:shd w:fill="F4F7FA"/>
          </w:tcPr>
          <w:p>
            <w:r>
              <w:rPr>
                <w:rFonts w:ascii="Arial" w:hAnsi="Arial"/>
                <w:sz w:val="16"/>
              </w:rPr>
              <w:t>package-A-IMP-02.xml</w:t>
            </w:r>
          </w:p>
        </w:tc>
        <w:tc>
          <w:tcPr>
            <w:tcW w:type="dxa" w:w="7200"/>
            <w:tcMar>
              <w:top w:w="90" w:type="dxa"/>
              <w:start w:w="100" w:type="dxa"/>
              <w:bottom w:w="90" w:type="dxa"/>
              <w:end w:w="100" w:type="dxa"/>
            </w:tcMar>
            <w:vAlign w:val="top"/>
            <w:shd w:fill="F4F7FA"/>
          </w:tcPr>
          <w:p>
            <w:r>
              <w:rPr>
                <w:rFonts w:ascii="Arial" w:hAnsi="Arial"/>
                <w:sz w:val="16"/>
              </w:rPr>
              <w:t>Exact deployable metadata for this approved workstream only.</w:t>
            </w:r>
          </w:p>
        </w:tc>
      </w:tr>
      <w:tr>
        <w:trPr>
          <w:trHeight w:hRule="atLeast"/>
        </w:trPr>
        <w:tc>
          <w:tcPr>
            <w:tcW w:type="dxa" w:w="3168"/>
            <w:tcMar>
              <w:top w:w="90" w:type="dxa"/>
              <w:start w:w="100" w:type="dxa"/>
              <w:bottom w:w="90" w:type="dxa"/>
              <w:end w:w="100" w:type="dxa"/>
            </w:tcMar>
            <w:vAlign w:val="top"/>
          </w:tcPr>
          <w:p>
            <w:r>
              <w:rPr>
                <w:rFonts w:ascii="Arial" w:hAnsi="Arial"/>
                <w:sz w:val="16"/>
              </w:rPr>
              <w:t>destructiveChanges.xml</w:t>
            </w:r>
          </w:p>
        </w:tc>
        <w:tc>
          <w:tcPr>
            <w:tcW w:type="dxa" w:w="7200"/>
            <w:tcMar>
              <w:top w:w="90" w:type="dxa"/>
              <w:start w:w="100" w:type="dxa"/>
              <w:bottom w:w="90" w:type="dxa"/>
              <w:end w:w="100" w:type="dxa"/>
            </w:tcMar>
            <w:vAlign w:val="top"/>
          </w:tcPr>
          <w:p>
            <w:r>
              <w:rPr>
                <w:rFonts w:ascii="Arial" w:hAnsi="Arial"/>
                <w:sz w:val="16"/>
              </w:rPr>
              <w:t>Must be empty unless a separately approved deletion is recorded.</w:t>
            </w:r>
          </w:p>
        </w:tc>
      </w:tr>
    </w:tbl>
    <w:p>
      <w:pPr>
        <w:spacing w:after="0"/>
      </w:pPr>
    </w:p>
    <w:p>
      <w:pPr>
        <w:pStyle w:val="Heading1"/>
        <w:keepNext/>
        <w:keepLines/>
        <w:pageBreakBefore/>
      </w:pPr>
      <w:r>
        <w:t>11. Mandatory Stop Conditions</w:t>
      </w:r>
    </w:p>
    <w:p>
      <w:pPr>
        <w:pStyle w:val="ListBullet"/>
        <w:spacing w:after="40"/>
      </w:pPr>
      <w:r>
        <w:t>Any Client_User creation still creates or updates a Consent_Request_Item__c.</w:t>
      </w:r>
    </w:p>
    <w:p>
      <w:pPr>
        <w:pStyle w:val="ListBullet"/>
        <w:spacing w:after="40"/>
      </w:pPr>
      <w:r>
        <w:t>Any proposed change risks deleting or overwriting valid data-subject identity, consent, report or departure evidence.</w:t>
      </w:r>
    </w:p>
    <w:p>
      <w:pPr>
        <w:pStyle w:val="ListBullet"/>
        <w:spacing w:after="40"/>
      </w:pPr>
      <w:r>
        <w:t>Category B mandatory identity or consent-item uniqueness rules cannot be determined from approved sources.</w:t>
      </w:r>
    </w:p>
    <w:p>
      <w:pPr>
        <w:pStyle w:val="ListBullet"/>
        <w:spacing w:after="40"/>
      </w:pPr>
      <w:r>
        <w:t>Permission or page changes would break Categories B-F or expose cross-client/PII data.</w:t>
      </w:r>
    </w:p>
    <w:p>
      <w:pPr>
        <w:pStyle w:val="ListBullet"/>
        <w:spacing w:after="40"/>
      </w:pPr>
      <w:r>
        <w:t>Two active flows could create the same Consent_Request_Item__c.</w:t>
      </w:r>
    </w:p>
    <w:p>
      <w:pPr>
        <w:pStyle w:val="ListBullet"/>
        <w:spacing w:after="40"/>
      </w:pPr>
      <w:r>
        <w:t>The org lacks capacity for the proposed history fields or metadata names conflict with existing components.</w:t>
      </w:r>
    </w:p>
    <w:p>
      <w:pPr>
        <w:pStyle w:val="ListBullet"/>
        <w:spacing w:after="40"/>
      </w:pPr>
      <w:r>
        <w:t>A custom object, Apex service or Experience route would be required but is not explicitly approved.</w:t>
      </w:r>
    </w:p>
    <w:p>
      <w:pPr>
        <w:pStyle w:val="ListBullet"/>
        <w:spacing w:after="40"/>
      </w:pPr>
      <w:r>
        <w:t>Check-only deployment, relevant tests or data reconciliation fail.</w:t>
      </w:r>
    </w:p>
    <w:p>
      <w:pPr>
        <w:pStyle w:val="ListBullet"/>
        <w:spacing w:after="40"/>
      </w:pPr>
      <w:r>
        <w:t>Any production deployment or UAT action is requested.</w:t>
      </w:r>
    </w:p>
    <w:p>
      <w:pPr>
        <w:pStyle w:val="Heading1"/>
        <w:keepNext/>
        <w:keepLines/>
        <w:pageBreakBefore/>
      </w:pPr>
      <w:r>
        <w:t>12. Copy/Paste Cursor Execution Prompt</w:t>
      </w:r>
    </w:p>
    <w:p>
      <w:pPr>
        <w:spacing w:before="80" w:after="120"/>
        <w:ind w:left="173" w:right="72"/>
        <w:shd w:fill="D9EAF7"/>
        <w:pBdr>
          <w:left w:val="single" w:sz="18" w:space="6" w:color="1F4E79"/>
        </w:pBdr>
      </w:pPr>
      <w:r>
        <w:rPr>
          <w:b/>
          <w:color w:val="17365D"/>
        </w:rPr>
        <w:t>How to use</w:t>
        <w:br/>
      </w:r>
      <w:r>
        <w:t>Paste the full prompt below into Cursor while connected to the CBS Salesforce repository and Sandbox. On the first run it must perform Phase 1 only and stop for manifest approval.</w:t>
      </w:r>
    </w:p>
    <w:p>
      <w:pPr>
        <w:pStyle w:val="PromptCode"/>
        <w:shd w:fill="F2F2F2"/>
      </w:pPr>
      <w:r>
        <w:t>You are executing CBS Salesforce Category A workstream A-IMP-02: Client User and Data Subject Separation.</w:t>
      </w:r>
    </w:p>
    <w:p>
      <w:pPr>
        <w:pStyle w:val="PromptCode"/>
        <w:shd w:fill="F2F2F2"/>
      </w:pPr>
      <w:r>
        <w:t xml:space="preserve"> </w:t>
      </w:r>
    </w:p>
    <w:p>
      <w:pPr>
        <w:pStyle w:val="PromptCode"/>
        <w:shd w:fill="F2F2F2"/>
      </w:pPr>
      <w:r>
        <w:t>AUTHORITY AND BASELINE</w:t>
      </w:r>
    </w:p>
    <w:p>
      <w:pPr>
        <w:pStyle w:val="PromptCode"/>
        <w:shd w:fill="F2F2F2"/>
      </w:pPr>
      <w:r>
        <w:t>- Authoritative target design: CBS Category A Solution Design v1.4, Section 11.</w:t>
      </w:r>
    </w:p>
    <w:p>
      <w:pPr>
        <w:pStyle w:val="PromptCode"/>
        <w:shd w:fill="F2F2F2"/>
      </w:pPr>
      <w:r>
        <w:t>- Approved implementation plan: A-IMP-01 v1.1.</w:t>
      </w:r>
    </w:p>
    <w:p>
      <w:pPr>
        <w:pStyle w:val="PromptCode"/>
        <w:shd w:fill="F2F2F2"/>
      </w:pPr>
      <w:r>
        <w:t>- Latest technical baseline: Credit Bureau Sandbox 20260715.zip.</w:t>
      </w:r>
    </w:p>
    <w:p>
      <w:pPr>
        <w:pStyle w:val="PromptCode"/>
        <w:shd w:fill="F2F2F2"/>
      </w:pPr>
      <w:r>
        <w:t>- Expected SHA-256: a3c337d997a556dca2cd53492a5621dce09a39b4f9454ac0d24e7d88a6a93a80.</w:t>
      </w:r>
    </w:p>
    <w:p>
      <w:pPr>
        <w:pStyle w:val="PromptCode"/>
        <w:shd w:fill="F2F2F2"/>
      </w:pPr>
      <w:r>
        <w:t>- Salesforce source API version: 67.0.</w:t>
      </w:r>
    </w:p>
    <w:p>
      <w:pPr>
        <w:pStyle w:val="PromptCode"/>
        <w:shd w:fill="F2F2F2"/>
      </w:pPr>
      <w:r>
        <w:t>- Scope: Sandbox only. Production deployment and UAT are prohibited.</w:t>
      </w:r>
    </w:p>
    <w:p>
      <w:pPr>
        <w:pStyle w:val="PromptCode"/>
        <w:shd w:fill="F2F2F2"/>
      </w:pPr>
      <w:r>
        <w:t>- Traceability: A-REQ-007, A-REQ-009, A-REQ-010, A-REQ-018; A-DD-001, A-DD-003, A-DD-004; A-WS01-AC01 to A-WS01-AC15.</w:t>
      </w:r>
    </w:p>
    <w:p>
      <w:pPr>
        <w:pStyle w:val="PromptCode"/>
        <w:shd w:fill="F2F2F2"/>
      </w:pPr>
      <w:r>
        <w:t xml:space="preserve"> </w:t>
      </w:r>
    </w:p>
    <w:p>
      <w:pPr>
        <w:pStyle w:val="PromptCode"/>
        <w:shd w:fill="F2F2F2"/>
      </w:pPr>
      <w:r>
        <w:t>NON-NEGOTIABLE RULES</w:t>
      </w:r>
    </w:p>
    <w:p>
      <w:pPr>
        <w:pStyle w:val="PromptCode"/>
        <w:shd w:fill="F2F2F2"/>
      </w:pPr>
      <w:r>
        <w:t>1. Standard Salesforce configuration first. Do not create a new custom business object.</w:t>
      </w:r>
    </w:p>
    <w:p>
      <w:pPr>
        <w:pStyle w:val="PromptCode"/>
        <w:shd w:fill="F2F2F2"/>
      </w:pPr>
      <w:r>
        <w:t>2. Do not rename an existing API name, create an unapproved field/object/route, or delete metadata/data without explicit approval.</w:t>
      </w:r>
    </w:p>
    <w:p>
      <w:pPr>
        <w:pStyle w:val="PromptCode"/>
        <w:shd w:fill="F2F2F2"/>
      </w:pPr>
      <w:r>
        <w:t>3. Existing metadata is current-state evidence, not automatically the desired target state.</w:t>
      </w:r>
    </w:p>
    <w:p>
      <w:pPr>
        <w:pStyle w:val="PromptCode"/>
        <w:shd w:fill="F2F2F2"/>
      </w:pPr>
      <w:r>
        <w:t>4. Client_User and Data Subject purposes must remain separate. The same natural person may have two separate purpose-specific Contacts; do not convert one purpose into the other.</w:t>
      </w:r>
    </w:p>
    <w:p>
      <w:pPr>
        <w:pStyle w:val="PromptCode"/>
        <w:shd w:fill="F2F2F2"/>
      </w:pPr>
      <w:r>
        <w:t>5. Creating or editing a Client_User must never create a Consent_Request_Item__c or enter consent, report, departure or matching lifecycles.</w:t>
      </w:r>
    </w:p>
    <w:p>
      <w:pPr>
        <w:pStyle w:val="PromptCode"/>
        <w:shd w:fill="F2F2F2"/>
      </w:pPr>
      <w:r>
        <w:t>6. Preserve the approved Category B data-subject process and Categories B-F routes.</w:t>
      </w:r>
    </w:p>
    <w:p>
      <w:pPr>
        <w:pStyle w:val="PromptCode"/>
        <w:shd w:fill="F2F2F2"/>
      </w:pPr>
      <w:r>
        <w:t>7. Do not remove broad legacy external permissions until dependencies and replacement controls are approved in the later security workstream.</w:t>
      </w:r>
    </w:p>
    <w:p>
      <w:pPr>
        <w:pStyle w:val="PromptCode"/>
        <w:shd w:fill="F2F2F2"/>
      </w:pPr>
      <w:r>
        <w:t>8. Do not deploy to production and do not generate or execute UAT.</w:t>
      </w:r>
    </w:p>
    <w:p>
      <w:pPr>
        <w:pStyle w:val="PromptCode"/>
        <w:shd w:fill="F2F2F2"/>
      </w:pPr>
      <w:r>
        <w:t>9. On any conflict, stop and record a deviation. Do not invent an alternative.</w:t>
      </w:r>
    </w:p>
    <w:p>
      <w:pPr>
        <w:pStyle w:val="PromptCode"/>
        <w:shd w:fill="F2F2F2"/>
      </w:pPr>
      <w:r>
        <w:t xml:space="preserve"> </w:t>
      </w:r>
    </w:p>
    <w:p>
      <w:pPr>
        <w:pStyle w:val="PromptCode"/>
        <w:shd w:fill="F2F2F2"/>
      </w:pPr>
      <w:r>
        <w:t>TWO-GATE EXECUTION</w:t>
      </w:r>
    </w:p>
    <w:p>
      <w:pPr>
        <w:pStyle w:val="PromptCode"/>
        <w:shd w:fill="F2F2F2"/>
      </w:pPr>
      <w:r>
        <w:t>PHASE 1 IS ANALYSIS ONLY. Do not modify any source file, metadata component or org configuration during Phase 1.</w:t>
      </w:r>
    </w:p>
    <w:p>
      <w:pPr>
        <w:pStyle w:val="PromptCode"/>
        <w:shd w:fill="F2F2F2"/>
      </w:pPr>
      <w:r>
        <w:t>After producing all Phase 1 outputs, stop and print exactly: AWAITING A-IMP-02 MANIFEST APPROVAL.</w:t>
      </w:r>
    </w:p>
    <w:p>
      <w:pPr>
        <w:pStyle w:val="PromptCode"/>
        <w:shd w:fill="F2F2F2"/>
      </w:pPr>
      <w:r>
        <w:t>Continue to Phase 2 only after I state exactly: APPROVE A-IMP-02 MANIFEST.</w:t>
      </w:r>
    </w:p>
    <w:p>
      <w:pPr>
        <w:pStyle w:val="PromptCode"/>
        <w:shd w:fill="F2F2F2"/>
      </w:pPr>
      <w:r>
        <w:t xml:space="preserve"> </w:t>
      </w:r>
    </w:p>
    <w:p>
      <w:pPr>
        <w:pStyle w:val="PromptCode"/>
        <w:shd w:fill="F2F2F2"/>
      </w:pPr>
      <w:r>
        <w:t>PHASE 1 - PRE-CHANGE IMPACT ANALYSIS</w:t>
      </w:r>
    </w:p>
    <w:p>
      <w:pPr>
        <w:pStyle w:val="PromptCode"/>
        <w:shd w:fill="F2F2F2"/>
      </w:pPr>
      <w:r>
        <w:t>A. Verify the repository and connected Sandbox against the baseline and record all drift.</w:t>
      </w:r>
    </w:p>
    <w:p>
      <w:pPr>
        <w:pStyle w:val="PromptCode"/>
        <w:shd w:fill="F2F2F2"/>
      </w:pPr>
      <w:r>
        <w:t>B. Inspect at minimum:</w:t>
      </w:r>
    </w:p>
    <w:p>
      <w:pPr>
        <w:pStyle w:val="PromptCode"/>
        <w:shd w:fill="F2F2F2"/>
      </w:pPr>
      <w:r>
        <w:t xml:space="preserve">   - Contact record types: Client_User, Data_Subject, Singpass, Non_Singpass.</w:t>
      </w:r>
    </w:p>
    <w:p>
      <w:pPr>
        <w:pStyle w:val="PromptCode"/>
        <w:shd w:fill="F2F2F2"/>
      </w:pPr>
      <w:r>
        <w:t xml:space="preserve">   - All Contact fields, especially Full_Name__c, ID_Type__c, ID_Number__c, Employment_Status__c, DOB/Birthdate fields, NRIC/FIN/passport/MyInfo fields, Portal_Role__c, Can_Approve__c, Can_Send_Reminder__c and Is_Active_Client_User__c.</w:t>
      </w:r>
    </w:p>
    <w:p>
      <w:pPr>
        <w:pStyle w:val="PromptCode"/>
        <w:shd w:fill="F2F2F2"/>
      </w:pPr>
      <w:r>
        <w:t xml:space="preserve">   - Contact layouts, Lightning pages and assignments.</w:t>
      </w:r>
    </w:p>
    <w:p>
      <w:pPr>
        <w:pStyle w:val="PromptCode"/>
        <w:shd w:fill="F2F2F2"/>
      </w:pPr>
      <w:r>
        <w:t xml:space="preserve">   - Flows: contactApproveCreateConsentRequest, ConsentInsertUpdateConsentRequestItem, InsertDeparturesUpdateContact, UpdateConsentRequestInsertCase, Update_Contact_Life_Cycle and every other Contact/Consent_Request_Item automation.</w:t>
      </w:r>
    </w:p>
    <w:p>
      <w:pPr>
        <w:pStyle w:val="PromptCode"/>
        <w:shd w:fill="F2F2F2"/>
      </w:pPr>
      <w:r>
        <w:t xml:space="preserve">   - Apex, LWC, reports, integrations and Experience routes that query, create, update, display, export or serialise Contact or the affected fields.</w:t>
      </w:r>
    </w:p>
    <w:p>
      <w:pPr>
        <w:pStyle w:val="PromptCode"/>
        <w:shd w:fill="F2F2F2"/>
      </w:pPr>
      <w:r>
        <w:t xml:space="preserve">   - Profiles, permission sets/groups and Network member groups, including CBS_Client_HR_User, CBS_Client_Approver, Set_Custom_Object_To_Partner and partner_community_User_Permissions_set.</w:t>
      </w:r>
    </w:p>
    <w:p>
      <w:pPr>
        <w:pStyle w:val="PromptCode"/>
        <w:shd w:fill="F2F2F2"/>
      </w:pPr>
      <w:r>
        <w:t xml:space="preserve">   - Duplicate rules, matching rules, Contact OWD, sharing rules, sharing sets and Account mappings.</w:t>
      </w:r>
    </w:p>
    <w:p>
      <w:pPr>
        <w:pStyle w:val="PromptCode"/>
        <w:shd w:fill="F2F2F2"/>
      </w:pPr>
      <w:r>
        <w:t>C. Query runtime counts and samples by record type. Identify:</w:t>
      </w:r>
    </w:p>
    <w:p>
      <w:pPr>
        <w:pStyle w:val="PromptCode"/>
        <w:shd w:fill="F2F2F2"/>
      </w:pPr>
      <w:r>
        <w:t xml:space="preserve">   - Client_User records containing prohibited PII/data-subject fields.</w:t>
      </w:r>
    </w:p>
    <w:p>
      <w:pPr>
        <w:pStyle w:val="PromptCode"/>
        <w:shd w:fill="F2F2F2"/>
      </w:pPr>
      <w:r>
        <w:t xml:space="preserve">   - Data-subject records containing Portal Role, Can Approve or Active Client User values.</w:t>
      </w:r>
    </w:p>
    <w:p>
      <w:pPr>
        <w:pStyle w:val="PromptCode"/>
        <w:shd w:fill="F2F2F2"/>
      </w:pPr>
      <w:r>
        <w:t xml:space="preserve">   - Duplicate Client_User business email plus Account combinations.</w:t>
      </w:r>
    </w:p>
    <w:p>
      <w:pPr>
        <w:pStyle w:val="PromptCode"/>
        <w:shd w:fill="F2F2F2"/>
      </w:pPr>
      <w:r>
        <w:t xml:space="preserve">   - Related Experience Cloud Users and operational records.</w:t>
      </w:r>
    </w:p>
    <w:p>
      <w:pPr>
        <w:pStyle w:val="PromptCode"/>
        <w:shd w:fill="F2F2F2"/>
      </w:pPr>
      <w:r>
        <w:t>D. Determine the authoritative current Consent_Request_Item uniqueness and creation rules. If they cannot be proven, treat this as a stop condition.</w:t>
      </w:r>
    </w:p>
    <w:p>
      <w:pPr>
        <w:pStyle w:val="PromptCode"/>
        <w:shd w:fill="F2F2F2"/>
      </w:pPr>
      <w:r>
        <w:t>E. Assess Contact history-field capacity and privacy constraints.</w:t>
      </w:r>
    </w:p>
    <w:p>
      <w:pPr>
        <w:pStyle w:val="PromptCode"/>
        <w:shd w:fill="F2F2F2"/>
      </w:pPr>
      <w:r>
        <w:t>F. Produce these files under docs/category-a/A-IMP-02/:</w:t>
      </w:r>
    </w:p>
    <w:p>
      <w:pPr>
        <w:pStyle w:val="PromptCode"/>
        <w:shd w:fill="F2F2F2"/>
      </w:pPr>
      <w:r>
        <w:t xml:space="preserve">   01_pre_change_impact_report.md</w:t>
      </w:r>
    </w:p>
    <w:p>
      <w:pPr>
        <w:pStyle w:val="PromptCode"/>
        <w:shd w:fill="F2F2F2"/>
      </w:pPr>
      <w:r>
        <w:t xml:space="preserve">   02_exact_metadata_manifest.csv</w:t>
      </w:r>
    </w:p>
    <w:p>
      <w:pPr>
        <w:pStyle w:val="PromptCode"/>
        <w:shd w:fill="F2F2F2"/>
      </w:pPr>
      <w:r>
        <w:t xml:space="preserve">   03_data_remediation_dry_run.csv</w:t>
      </w:r>
    </w:p>
    <w:p>
      <w:pPr>
        <w:pStyle w:val="PromptCode"/>
        <w:shd w:fill="F2F2F2"/>
      </w:pPr>
      <w:r>
        <w:t xml:space="preserve">   05_test_and_regression_plan.md</w:t>
      </w:r>
    </w:p>
    <w:p>
      <w:pPr>
        <w:pStyle w:val="PromptCode"/>
        <w:shd w:fill="F2F2F2"/>
      </w:pPr>
      <w:r>
        <w:t xml:space="preserve">   06_deployment_runbook_draft.md</w:t>
      </w:r>
    </w:p>
    <w:p>
      <w:pPr>
        <w:pStyle w:val="PromptCode"/>
        <w:shd w:fill="F2F2F2"/>
      </w:pPr>
      <w:r>
        <w:t xml:space="preserve">   07_rollback_runbook_draft.md</w:t>
      </w:r>
    </w:p>
    <w:p>
      <w:pPr>
        <w:pStyle w:val="PromptCode"/>
        <w:shd w:fill="F2F2F2"/>
      </w:pPr>
      <w:r>
        <w:t>G. The exact manifest must state create/modify/retain/hide/deactivate/delete for every component. Deletion should be empty unless separately approved.</w:t>
      </w:r>
    </w:p>
    <w:p>
      <w:pPr>
        <w:pStyle w:val="PromptCode"/>
        <w:shd w:fill="F2F2F2"/>
      </w:pPr>
      <w:r>
        <w:t>H. Stop without changing source files and print: AWAITING A-IMP-02 MANIFEST APPROVAL.</w:t>
      </w:r>
    </w:p>
    <w:p>
      <w:pPr>
        <w:pStyle w:val="PromptCode"/>
        <w:shd w:fill="F2F2F2"/>
      </w:pPr>
      <w:r>
        <w:t xml:space="preserve"> </w:t>
      </w:r>
    </w:p>
    <w:p>
      <w:pPr>
        <w:pStyle w:val="PromptCode"/>
        <w:shd w:fill="F2F2F2"/>
      </w:pPr>
      <w:r>
        <w:t>PHASE 2 - IMPLEMENT ONLY THE APPROVED MANIFEST</w:t>
      </w:r>
    </w:p>
    <w:p>
      <w:pPr>
        <w:pStyle w:val="PromptCode"/>
        <w:shd w:fill="F2F2F2"/>
      </w:pPr>
      <w:r>
        <w:t>1. Set Full_Name__c, ID_Type__c, ID_Number__c and Employment_Status__c to required=false at field metadata level.</w:t>
      </w:r>
    </w:p>
    <w:p>
      <w:pPr>
        <w:pStyle w:val="PromptCode"/>
        <w:shd w:fill="F2F2F2"/>
      </w:pPr>
      <w:r>
        <w:t>2. Add staged record-type-specific validation:</w:t>
      </w:r>
    </w:p>
    <w:p>
      <w:pPr>
        <w:pStyle w:val="PromptCode"/>
        <w:shd w:fill="F2F2F2"/>
      </w:pPr>
      <w:r>
        <w:t xml:space="preserve">   - CBS_CU_Required_Core: Client_User requires Account, standard First/Last Name, Email, Department and Portal Role.</w:t>
      </w:r>
    </w:p>
    <w:p>
      <w:pPr>
        <w:pStyle w:val="PromptCode"/>
        <w:shd w:fill="F2F2F2"/>
      </w:pPr>
      <w:r>
        <w:t xml:space="preserve">   - CBS_CU_Prohibit_Data_Subject_Data: Client_User cannot contain DOB, ID, passport, NRIC/FIN, MyInfo, employment-status, consent, report, departure or matching fields. Keep inactive until approved data remediation is complete.</w:t>
      </w:r>
    </w:p>
    <w:p>
      <w:pPr>
        <w:pStyle w:val="PromptCode"/>
        <w:shd w:fill="F2F2F2"/>
      </w:pPr>
      <w:r>
        <w:t xml:space="preserve">   - CBS_DS_Required_Identity: data-subject family uses only the Category B-approved mandatory identity rules. Do not guess.</w:t>
      </w:r>
    </w:p>
    <w:p>
      <w:pPr>
        <w:pStyle w:val="PromptCode"/>
        <w:shd w:fill="F2F2F2"/>
      </w:pPr>
      <w:r>
        <w:t xml:space="preserve">   - CBS_DS_Prohibit_Client_Access_Data: data-subject family cannot contain Portal Role, Can Approve or Active Client User.</w:t>
      </w:r>
    </w:p>
    <w:p>
      <w:pPr>
        <w:pStyle w:val="PromptCode"/>
        <w:shd w:fill="F2F2F2"/>
      </w:pPr>
      <w:r>
        <w:t xml:space="preserve">   - CBS_CU_Role_Approval_Consistency: derive or validate Can_Approve__c from Portal_Role__c.</w:t>
      </w:r>
    </w:p>
    <w:p>
      <w:pPr>
        <w:pStyle w:val="PromptCode"/>
        <w:shd w:fill="F2F2F2"/>
      </w:pPr>
      <w:r>
        <w:t>3. Correct contactApproveCreateConsentRequest safely:</w:t>
      </w:r>
    </w:p>
    <w:p>
      <w:pPr>
        <w:pStyle w:val="PromptCode"/>
        <w:shd w:fill="F2F2F2"/>
      </w:pPr>
      <w:r>
        <w:t xml:space="preserve">   - Modify in place when references require it; otherwise deploy a new inactive CBS_Contact_Purpose_Guard, test it, activate one creator and deactivate the old creator in the same controlled release.</w:t>
      </w:r>
    </w:p>
    <w:p>
      <w:pPr>
        <w:pStyle w:val="PromptCode"/>
        <w:shd w:fill="F2F2F2"/>
      </w:pPr>
      <w:r>
        <w:t xml:space="preserve">   - Trigger only for RecordType.DeveloperName Data_Subject, Singpass or Non_Singpass. Explicitly exclude Client_User. Do not hard-code record-type IDs.</w:t>
      </w:r>
    </w:p>
    <w:p>
      <w:pPr>
        <w:pStyle w:val="PromptCode"/>
        <w:shd w:fill="F2F2F2"/>
      </w:pPr>
      <w:r>
        <w:t xml:space="preserve">   - Preserve only proven Category B readiness criteria.</w:t>
      </w:r>
    </w:p>
    <w:p>
      <w:pPr>
        <w:pStyle w:val="PromptCode"/>
        <w:shd w:fill="F2F2F2"/>
      </w:pPr>
      <w:r>
        <w:t xml:space="preserve">   - Check the approved current Consent_Request_Item uniqueness before creation.</w:t>
      </w:r>
    </w:p>
    <w:p>
      <w:pPr>
        <w:pStyle w:val="PromptCode"/>
        <w:shd w:fill="F2F2F2"/>
      </w:pPr>
      <w:r>
        <w:t xml:space="preserve">   - Copy identity fields only from qualifying data-subject Contacts.</w:t>
      </w:r>
    </w:p>
    <w:p>
      <w:pPr>
        <w:pStyle w:val="PromptCode"/>
        <w:shd w:fill="F2F2F2"/>
      </w:pPr>
      <w:r>
        <w:t xml:space="preserve">   - Replace the silent fault marker with durable, sanitised operational evidence and authorised notification using an already approved shared mechanism. If a new object/service is needed, stop for approval.</w:t>
      </w:r>
    </w:p>
    <w:p>
      <w:pPr>
        <w:pStyle w:val="PromptCode"/>
        <w:shd w:fill="F2F2F2"/>
      </w:pPr>
      <w:r>
        <w:t>4. Add safe Client User before-save normalisation where approved:</w:t>
      </w:r>
    </w:p>
    <w:p>
      <w:pPr>
        <w:pStyle w:val="PromptCode"/>
        <w:shd w:fill="F2F2F2"/>
      </w:pPr>
      <w:r>
        <w:t xml:space="preserve">   - Normalise Portal Role.</w:t>
      </w:r>
    </w:p>
    <w:p>
      <w:pPr>
        <w:pStyle w:val="PromptCode"/>
        <w:shd w:fill="F2F2F2"/>
      </w:pPr>
      <w:r>
        <w:t xml:space="preserve">   - Derive Can_Approve__c.</w:t>
      </w:r>
    </w:p>
    <w:p>
      <w:pPr>
        <w:pStyle w:val="PromptCode"/>
        <w:shd w:fill="F2F2F2"/>
      </w:pPr>
      <w:r>
        <w:t xml:space="preserve">   - Prevent manual Is_Active_Client_User__c changes.</w:t>
      </w:r>
    </w:p>
    <w:p>
      <w:pPr>
        <w:pStyle w:val="PromptCode"/>
        <w:shd w:fill="F2F2F2"/>
      </w:pPr>
      <w:r>
        <w:t xml:space="preserve">   - Never silently clear legacy PII; use the approved remediation file.</w:t>
      </w:r>
    </w:p>
    <w:p>
      <w:pPr>
        <w:pStyle w:val="PromptCode"/>
        <w:shd w:fill="F2F2F2"/>
      </w:pPr>
      <w:r>
        <w:t>5. Create/assign the dedicated Client_User internal layout and Lightning record page using standard components. Include only approved business identity and read-only access summary. Remove routine destructive/admin actions.</w:t>
      </w:r>
    </w:p>
    <w:p>
      <w:pPr>
        <w:pStyle w:val="PromptCode"/>
        <w:shd w:fill="F2F2F2"/>
      </w:pPr>
      <w:r>
        <w:t>6. Remove client-access fields and portal administration actions from data-subject pages only where the approved manifest proves no Category B-F regression.</w:t>
      </w:r>
    </w:p>
    <w:p>
      <w:pPr>
        <w:pStyle w:val="PromptCode"/>
        <w:shd w:fill="F2F2F2"/>
      </w:pPr>
      <w:r>
        <w:t>7. Implement the approved Client_User duplicate control for exact business Email plus Account. If matching-rule scoping is not technically reliable, stop and request approval for a deterministic alternative.</w:t>
      </w:r>
    </w:p>
    <w:p>
      <w:pPr>
        <w:pStyle w:val="PromptCode"/>
        <w:shd w:fill="F2F2F2"/>
      </w:pPr>
      <w:r>
        <w:t>8. Enable selected non-PII Contact history only after the capacity/privacy gate: Record Type, Account, Email, Department, Portal Role, Can Approve and Active Client User. Never track DOB, IDs, passport or MyInfo in standard history.</w:t>
      </w:r>
    </w:p>
    <w:p>
      <w:pPr>
        <w:pStyle w:val="PromptCode"/>
        <w:shd w:fill="F2F2F2"/>
      </w:pPr>
      <w:r>
        <w:t>9. Do not retire legacy partner permission sets, change Contact OWD/sharing sets or publish the final Experience Cloud self-profile in this workstream unless separately approved in the exact manifest.</w:t>
      </w:r>
    </w:p>
    <w:p>
      <w:pPr>
        <w:pStyle w:val="PromptCode"/>
        <w:shd w:fill="F2F2F2"/>
      </w:pPr>
      <w:r>
        <w:t>10. Apply only approved non-destructive data remediation. Preserve backups, before/after values, counts and exceptions.</w:t>
      </w:r>
    </w:p>
    <w:p>
      <w:pPr>
        <w:pStyle w:val="PromptCode"/>
        <w:shd w:fill="F2F2F2"/>
      </w:pPr>
      <w:r>
        <w:t xml:space="preserve"> </w:t>
      </w:r>
    </w:p>
    <w:p>
      <w:pPr>
        <w:pStyle w:val="PromptCode"/>
        <w:shd w:fill="F2F2F2"/>
      </w:pPr>
      <w:r>
        <w:t>TESTS AND ACCEPTANCE</w:t>
      </w:r>
    </w:p>
    <w:p>
      <w:pPr>
        <w:pStyle w:val="PromptCode"/>
        <w:shd w:fill="F2F2F2"/>
      </w:pPr>
      <w:r>
        <w:t>Execute and evidence at minimum:</w:t>
      </w:r>
    </w:p>
    <w:p>
      <w:pPr>
        <w:pStyle w:val="PromptCode"/>
        <w:shd w:fill="F2F2F2"/>
      </w:pPr>
      <w:r>
        <w:t>- Minimal Client_User creation succeeds without DOB/ID/employment fields.</w:t>
      </w:r>
    </w:p>
    <w:p>
      <w:pPr>
        <w:pStyle w:val="PromptCode"/>
        <w:shd w:fill="F2F2F2"/>
      </w:pPr>
      <w:r>
        <w:t>- Client_User with prohibited data is blocked after remediation and validation activation.</w:t>
      </w:r>
    </w:p>
    <w:p>
      <w:pPr>
        <w:pStyle w:val="PromptCode"/>
        <w:shd w:fill="F2F2F2"/>
      </w:pPr>
      <w:r>
        <w:t>- Client_User creation with Email creates no Consent_Request_Item__c.</w:t>
      </w:r>
    </w:p>
    <w:p>
      <w:pPr>
        <w:pStyle w:val="PromptCode"/>
        <w:shd w:fill="F2F2F2"/>
      </w:pPr>
      <w:r>
        <w:t>- Qualifying Data_Subject, Singpass and Non_Singpass processing continues.</w:t>
      </w:r>
    </w:p>
    <w:p>
      <w:pPr>
        <w:pStyle w:val="PromptCode"/>
        <w:shd w:fill="F2F2F2"/>
      </w:pPr>
      <w:r>
        <w:t>- Duplicate consent-request creation is prevented by the proven Category B rule.</w:t>
      </w:r>
    </w:p>
    <w:p>
      <w:pPr>
        <w:pStyle w:val="PromptCode"/>
        <w:shd w:fill="F2F2F2"/>
      </w:pPr>
      <w:r>
        <w:t>- Flow faults create durable sanitised evidence and notification.</w:t>
      </w:r>
    </w:p>
    <w:p>
      <w:pPr>
        <w:pStyle w:val="PromptCode"/>
        <w:shd w:fill="F2F2F2"/>
      </w:pPr>
      <w:r>
        <w:t>- Business Development can manage only approved Client_User fields and cannot create data subjects, view PII, delete, change record type or activate User.</w:t>
      </w:r>
    </w:p>
    <w:p>
      <w:pPr>
        <w:pStyle w:val="PromptCode"/>
        <w:shd w:fill="F2F2F2"/>
      </w:pPr>
      <w:r>
        <w:t>- External Client HR User/Approver has no generic Contact CRUD/list, cannot change role/active status and cannot browse other Client_User Contacts.</w:t>
      </w:r>
    </w:p>
    <w:p>
      <w:pPr>
        <w:pStyle w:val="PromptCode"/>
        <w:shd w:fill="F2F2F2"/>
      </w:pPr>
      <w:r>
        <w:t>- Processing user retains approved data-subject capabilities without Client User governance fields.</w:t>
      </w:r>
    </w:p>
    <w:p>
      <w:pPr>
        <w:pStyle w:val="PromptCode"/>
        <w:shd w:fill="F2F2F2"/>
      </w:pPr>
      <w:r>
        <w:t>- Duplicate Client_User business Email plus Account is blocked or uses the approved auditable override.</w:t>
      </w:r>
    </w:p>
    <w:p>
      <w:pPr>
        <w:pStyle w:val="PromptCode"/>
        <w:shd w:fill="F2F2F2"/>
      </w:pPr>
      <w:r>
        <w:t>- Same-person dual purpose uses separate Contacts.</w:t>
      </w:r>
    </w:p>
    <w:p>
      <w:pPr>
        <w:pStyle w:val="PromptCode"/>
        <w:shd w:fill="F2F2F2"/>
      </w:pPr>
      <w:r>
        <w:t>- Categories B-F regression suite passes.</w:t>
      </w:r>
    </w:p>
    <w:p>
      <w:pPr>
        <w:pStyle w:val="PromptCode"/>
        <w:shd w:fill="F2F2F2"/>
      </w:pPr>
      <w:r>
        <w:t>- Check-only deployment and all relevant Apex/Flow tests pass.</w:t>
      </w:r>
    </w:p>
    <w:p>
      <w:pPr>
        <w:pStyle w:val="PromptCode"/>
        <w:shd w:fill="F2F2F2"/>
      </w:pPr>
      <w:r>
        <w:t>- Fresh metadata retrieval matches the approved manifest.</w:t>
      </w:r>
    </w:p>
    <w:p>
      <w:pPr>
        <w:pStyle w:val="PromptCode"/>
        <w:shd w:fill="F2F2F2"/>
      </w:pPr>
      <w:r>
        <w:t xml:space="preserve"> </w:t>
      </w:r>
    </w:p>
    <w:p>
      <w:pPr>
        <w:pStyle w:val="PromptCode"/>
        <w:shd w:fill="F2F2F2"/>
      </w:pPr>
      <w:r>
        <w:t>REQUIRED FINAL OUTPUTS</w:t>
      </w:r>
    </w:p>
    <w:p>
      <w:pPr>
        <w:pStyle w:val="PromptCode"/>
        <w:shd w:fill="F2F2F2"/>
      </w:pPr>
      <w:r>
        <w:t>Update/create under docs/category-a/A-IMP-02/:</w:t>
      </w:r>
    </w:p>
    <w:p>
      <w:pPr>
        <w:pStyle w:val="PromptCode"/>
        <w:shd w:fill="F2F2F2"/>
      </w:pPr>
      <w:r>
        <w:t>01_pre_change_impact_report.md</w:t>
      </w:r>
    </w:p>
    <w:p>
      <w:pPr>
        <w:pStyle w:val="PromptCode"/>
        <w:shd w:fill="F2F2F2"/>
      </w:pPr>
      <w:r>
        <w:t>02_exact_metadata_manifest.csv</w:t>
      </w:r>
    </w:p>
    <w:p>
      <w:pPr>
        <w:pStyle w:val="PromptCode"/>
        <w:shd w:fill="F2F2F2"/>
      </w:pPr>
      <w:r>
        <w:t>03_data_remediation_dry_run.csv</w:t>
      </w:r>
    </w:p>
    <w:p>
      <w:pPr>
        <w:pStyle w:val="PromptCode"/>
        <w:shd w:fill="F2F2F2"/>
      </w:pPr>
      <w:r>
        <w:t>04_implementation_log.md</w:t>
      </w:r>
    </w:p>
    <w:p>
      <w:pPr>
        <w:pStyle w:val="PromptCode"/>
        <w:shd w:fill="F2F2F2"/>
      </w:pPr>
      <w:r>
        <w:t>05_test_and_regression_report.md</w:t>
      </w:r>
    </w:p>
    <w:p>
      <w:pPr>
        <w:pStyle w:val="PromptCode"/>
        <w:shd w:fill="F2F2F2"/>
      </w:pPr>
      <w:r>
        <w:t>06_deployment_runbook.md</w:t>
      </w:r>
    </w:p>
    <w:p>
      <w:pPr>
        <w:pStyle w:val="PromptCode"/>
        <w:shd w:fill="F2F2F2"/>
      </w:pPr>
      <w:r>
        <w:t>07_rollback_runbook.md</w:t>
      </w:r>
    </w:p>
    <w:p>
      <w:pPr>
        <w:pStyle w:val="PromptCode"/>
        <w:shd w:fill="F2F2F2"/>
      </w:pPr>
      <w:r>
        <w:t>08_as_built_evidence.md</w:t>
      </w:r>
    </w:p>
    <w:p>
      <w:pPr>
        <w:pStyle w:val="PromptCode"/>
        <w:shd w:fill="F2F2F2"/>
      </w:pPr>
      <w:r>
        <w:t>package-A-IMP-02.xml</w:t>
      </w:r>
    </w:p>
    <w:p>
      <w:pPr>
        <w:pStyle w:val="PromptCode"/>
        <w:shd w:fill="F2F2F2"/>
      </w:pPr>
      <w:r>
        <w:t>destructiveChanges.xml (empty unless separately approved)</w:t>
      </w:r>
    </w:p>
    <w:p>
      <w:pPr>
        <w:pStyle w:val="PromptCode"/>
        <w:shd w:fill="F2F2F2"/>
      </w:pPr>
      <w:r>
        <w:t xml:space="preserve"> </w:t>
      </w:r>
    </w:p>
    <w:p>
      <w:pPr>
        <w:pStyle w:val="PromptCode"/>
        <w:shd w:fill="F2F2F2"/>
      </w:pPr>
      <w:r>
        <w:t>Also provide:</w:t>
      </w:r>
    </w:p>
    <w:p>
      <w:pPr>
        <w:pStyle w:val="PromptCode"/>
        <w:shd w:fill="F2F2F2"/>
      </w:pPr>
      <w:r>
        <w:t>- Source-control diff and plain-language explanation for every changed component.</w:t>
      </w:r>
    </w:p>
    <w:p>
      <w:pPr>
        <w:pStyle w:val="PromptCode"/>
        <w:shd w:fill="F2F2F2"/>
      </w:pPr>
      <w:r>
        <w:t>- Check-only and Sandbox deployment commands using a TARGET_ORG placeholder.</w:t>
      </w:r>
    </w:p>
    <w:p>
      <w:pPr>
        <w:pStyle w:val="PromptCode"/>
        <w:shd w:fill="F2F2F2"/>
      </w:pPr>
      <w:r>
        <w:t>- Relevant test results and coverage.</w:t>
      </w:r>
    </w:p>
    <w:p>
      <w:pPr>
        <w:pStyle w:val="PromptCode"/>
        <w:shd w:fill="F2F2F2"/>
      </w:pPr>
      <w:r>
        <w:t>- Fresh metadata ZIP name and SHA-256.</w:t>
      </w:r>
    </w:p>
    <w:p>
      <w:pPr>
        <w:pStyle w:val="PromptCode"/>
        <w:shd w:fill="F2F2F2"/>
      </w:pPr>
      <w:r>
        <w:t>- Explicit deviation register.</w:t>
      </w:r>
    </w:p>
    <w:p>
      <w:pPr>
        <w:pStyle w:val="PromptCode"/>
        <w:shd w:fill="F2F2F2"/>
      </w:pPr>
      <w:r>
        <w:t xml:space="preserve"> </w:t>
      </w:r>
    </w:p>
    <w:p>
      <w:pPr>
        <w:pStyle w:val="PromptCode"/>
        <w:shd w:fill="F2F2F2"/>
      </w:pPr>
      <w:r>
        <w:t>STOP CONDITIONS</w:t>
      </w:r>
    </w:p>
    <w:p>
      <w:pPr>
        <w:pStyle w:val="PromptCode"/>
        <w:shd w:fill="F2F2F2"/>
      </w:pPr>
      <w:r>
        <w:t>Stop immediately for P1 privacy, cross-client access, Client_User consent contamination, data loss, unproven Category B uniqueness/readiness, duplicate active creator flows, permission regression, metadata collision, failed check-only deployment or failed regression test.</w:t>
      </w:r>
    </w:p>
    <w:p>
      <w:pPr>
        <w:pStyle w:val="PromptCode"/>
        <w:shd w:fill="F2F2F2"/>
      </w:pPr>
      <w:r>
        <w:t>Do not proceed to the next Category A workstream. Do not deploy to production. Do not create or run UAT.</w:t>
      </w:r>
    </w:p>
    <w:p>
      <w:pPr>
        <w:pStyle w:val="Heading1"/>
        <w:keepNext/>
        <w:keepLines/>
        <w:pageBreakBefore/>
      </w:pPr>
      <w:r>
        <w:t>Appendix A - Approval and Completion Checklist</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2160"/>
            <w:shd w:fill="17365D"/>
            <w:tcMar>
              <w:top w:w="90" w:type="dxa"/>
              <w:start w:w="100" w:type="dxa"/>
              <w:bottom w:w="90" w:type="dxa"/>
              <w:end w:w="100" w:type="dxa"/>
            </w:tcMar>
          </w:tcPr>
          <w:p>
            <w:pPr>
              <w:jc w:val="left"/>
            </w:pPr>
            <w:r>
              <w:rPr>
                <w:rFonts w:ascii="Arial" w:hAnsi="Arial"/>
                <w:b/>
                <w:color w:val="FFFFFF"/>
                <w:sz w:val="17"/>
              </w:rPr>
              <w:t>Gate</w:t>
            </w:r>
          </w:p>
        </w:tc>
        <w:tc>
          <w:tcPr>
            <w:tcW w:type="dxa" w:w="6192"/>
            <w:shd w:fill="17365D"/>
            <w:tcMar>
              <w:top w:w="90" w:type="dxa"/>
              <w:start w:w="100" w:type="dxa"/>
              <w:bottom w:w="90" w:type="dxa"/>
              <w:end w:w="100" w:type="dxa"/>
            </w:tcMar>
          </w:tcPr>
          <w:p>
            <w:pPr>
              <w:jc w:val="left"/>
            </w:pPr>
            <w:r>
              <w:rPr>
                <w:rFonts w:ascii="Arial" w:hAnsi="Arial"/>
                <w:b/>
                <w:color w:val="FFFFFF"/>
                <w:sz w:val="17"/>
              </w:rPr>
              <w:t>Required approval evidence</w:t>
            </w:r>
          </w:p>
        </w:tc>
        <w:tc>
          <w:tcPr>
            <w:tcW w:type="dxa" w:w="2016"/>
            <w:shd w:fill="17365D"/>
            <w:tcMar>
              <w:top w:w="90" w:type="dxa"/>
              <w:start w:w="100" w:type="dxa"/>
              <w:bottom w:w="90" w:type="dxa"/>
              <w:end w:w="100" w:type="dxa"/>
            </w:tcMar>
          </w:tcPr>
          <w:p>
            <w:pPr>
              <w:jc w:val="left"/>
            </w:pPr>
            <w:r>
              <w:rPr>
                <w:rFonts w:ascii="Arial" w:hAnsi="Arial"/>
                <w:b/>
                <w:color w:val="FFFFFF"/>
                <w:sz w:val="17"/>
              </w:rPr>
              <w:t>Status at issue</w:t>
            </w:r>
          </w:p>
        </w:tc>
      </w:tr>
      <w:tr>
        <w:trPr>
          <w:trHeight w:hRule="atLeast"/>
        </w:trPr>
        <w:tc>
          <w:tcPr>
            <w:tcW w:type="dxa" w:w="2160"/>
            <w:tcMar>
              <w:top w:w="90" w:type="dxa"/>
              <w:start w:w="100" w:type="dxa"/>
              <w:bottom w:w="90" w:type="dxa"/>
              <w:end w:w="100" w:type="dxa"/>
            </w:tcMar>
            <w:vAlign w:val="top"/>
            <w:shd w:fill="F4F7FA"/>
          </w:tcPr>
          <w:p>
            <w:r>
              <w:rPr>
                <w:rFonts w:ascii="Arial" w:hAnsi="Arial"/>
                <w:sz w:val="17"/>
              </w:rPr>
              <w:t>A-IMP-01 v1.1 approval</w:t>
            </w:r>
          </w:p>
        </w:tc>
        <w:tc>
          <w:tcPr>
            <w:tcW w:type="dxa" w:w="6192"/>
            <w:tcMar>
              <w:top w:w="90" w:type="dxa"/>
              <w:start w:w="100" w:type="dxa"/>
              <w:bottom w:w="90" w:type="dxa"/>
              <w:end w:w="100" w:type="dxa"/>
            </w:tcMar>
            <w:vAlign w:val="top"/>
            <w:shd w:fill="F4F7FA"/>
          </w:tcPr>
          <w:p>
            <w:r>
              <w:rPr>
                <w:rFonts w:ascii="Arial" w:hAnsi="Arial"/>
                <w:sz w:val="17"/>
              </w:rPr>
              <w:t>User approval recorded on 19 July 2026.</w:t>
            </w:r>
          </w:p>
        </w:tc>
        <w:tc>
          <w:tcPr>
            <w:tcW w:type="dxa" w:w="2016"/>
            <w:tcMar>
              <w:top w:w="90" w:type="dxa"/>
              <w:start w:w="100" w:type="dxa"/>
              <w:bottom w:w="90" w:type="dxa"/>
              <w:end w:w="100" w:type="dxa"/>
            </w:tcMar>
            <w:vAlign w:val="top"/>
            <w:shd w:fill="F4F7FA"/>
          </w:tcPr>
          <w:p>
            <w:r>
              <w:rPr>
                <w:rFonts w:ascii="Arial" w:hAnsi="Arial"/>
                <w:sz w:val="17"/>
              </w:rPr>
              <w:t>Approved</w:t>
            </w:r>
          </w:p>
        </w:tc>
      </w:tr>
      <w:tr>
        <w:trPr>
          <w:trHeight w:hRule="atLeast"/>
        </w:trPr>
        <w:tc>
          <w:tcPr>
            <w:tcW w:type="dxa" w:w="2160"/>
            <w:tcMar>
              <w:top w:w="90" w:type="dxa"/>
              <w:start w:w="100" w:type="dxa"/>
              <w:bottom w:w="90" w:type="dxa"/>
              <w:end w:w="100" w:type="dxa"/>
            </w:tcMar>
            <w:vAlign w:val="top"/>
          </w:tcPr>
          <w:p>
            <w:r>
              <w:rPr>
                <w:rFonts w:ascii="Arial" w:hAnsi="Arial"/>
                <w:sz w:val="17"/>
              </w:rPr>
              <w:t>A-IMP-02 Phase 1</w:t>
            </w:r>
          </w:p>
        </w:tc>
        <w:tc>
          <w:tcPr>
            <w:tcW w:type="dxa" w:w="6192"/>
            <w:tcMar>
              <w:top w:w="90" w:type="dxa"/>
              <w:start w:w="100" w:type="dxa"/>
              <w:bottom w:w="90" w:type="dxa"/>
              <w:end w:w="100" w:type="dxa"/>
            </w:tcMar>
            <w:vAlign w:val="top"/>
          </w:tcPr>
          <w:p>
            <w:r>
              <w:rPr>
                <w:rFonts w:ascii="Arial" w:hAnsi="Arial"/>
                <w:sz w:val="17"/>
              </w:rPr>
              <w:t>Impact report, manifest, dry run, test plan and rollback draft.</w:t>
            </w:r>
          </w:p>
        </w:tc>
        <w:tc>
          <w:tcPr>
            <w:tcW w:type="dxa" w:w="2016"/>
            <w:tcMar>
              <w:top w:w="90" w:type="dxa"/>
              <w:start w:w="100" w:type="dxa"/>
              <w:bottom w:w="90" w:type="dxa"/>
              <w:end w:w="100" w:type="dxa"/>
            </w:tcMar>
            <w:vAlign w:val="top"/>
          </w:tcPr>
          <w:p>
            <w:r>
              <w:rPr>
                <w:rFonts w:ascii="Arial" w:hAnsi="Arial"/>
                <w:sz w:val="17"/>
              </w:rPr>
              <w:t>Pending Cursor analysis</w:t>
            </w:r>
          </w:p>
        </w:tc>
      </w:tr>
      <w:tr>
        <w:trPr>
          <w:trHeight w:hRule="atLeast"/>
        </w:trPr>
        <w:tc>
          <w:tcPr>
            <w:tcW w:type="dxa" w:w="2160"/>
            <w:tcMar>
              <w:top w:w="90" w:type="dxa"/>
              <w:start w:w="100" w:type="dxa"/>
              <w:bottom w:w="90" w:type="dxa"/>
              <w:end w:w="100" w:type="dxa"/>
            </w:tcMar>
            <w:vAlign w:val="top"/>
            <w:shd w:fill="F4F7FA"/>
          </w:tcPr>
          <w:p>
            <w:r>
              <w:rPr>
                <w:rFonts w:ascii="Arial" w:hAnsi="Arial"/>
                <w:sz w:val="17"/>
              </w:rPr>
              <w:t>A-IMP-02 manifest approval</w:t>
            </w:r>
          </w:p>
        </w:tc>
        <w:tc>
          <w:tcPr>
            <w:tcW w:type="dxa" w:w="6192"/>
            <w:tcMar>
              <w:top w:w="90" w:type="dxa"/>
              <w:start w:w="100" w:type="dxa"/>
              <w:bottom w:w="90" w:type="dxa"/>
              <w:end w:w="100" w:type="dxa"/>
            </w:tcMar>
            <w:vAlign w:val="top"/>
            <w:shd w:fill="F4F7FA"/>
          </w:tcPr>
          <w:p>
            <w:r>
              <w:rPr>
                <w:rFonts w:ascii="Arial" w:hAnsi="Arial"/>
                <w:sz w:val="17"/>
              </w:rPr>
              <w:t>Explicit user statement: APPROVE A-IMP-02 MANIFEST.</w:t>
            </w:r>
          </w:p>
        </w:tc>
        <w:tc>
          <w:tcPr>
            <w:tcW w:type="dxa" w:w="2016"/>
            <w:tcMar>
              <w:top w:w="90" w:type="dxa"/>
              <w:start w:w="100" w:type="dxa"/>
              <w:bottom w:w="90" w:type="dxa"/>
              <w:end w:w="100" w:type="dxa"/>
            </w:tcMar>
            <w:vAlign w:val="top"/>
            <w:shd w:fill="F4F7FA"/>
          </w:tcPr>
          <w:p>
            <w:r>
              <w:rPr>
                <w:rFonts w:ascii="Arial" w:hAnsi="Arial"/>
                <w:sz w:val="17"/>
              </w:rPr>
              <w:t>Not yet approved</w:t>
            </w:r>
          </w:p>
        </w:tc>
      </w:tr>
      <w:tr>
        <w:trPr>
          <w:trHeight w:hRule="atLeast"/>
        </w:trPr>
        <w:tc>
          <w:tcPr>
            <w:tcW w:type="dxa" w:w="2160"/>
            <w:tcMar>
              <w:top w:w="90" w:type="dxa"/>
              <w:start w:w="100" w:type="dxa"/>
              <w:bottom w:w="90" w:type="dxa"/>
              <w:end w:w="100" w:type="dxa"/>
            </w:tcMar>
            <w:vAlign w:val="top"/>
          </w:tcPr>
          <w:p>
            <w:r>
              <w:rPr>
                <w:rFonts w:ascii="Arial" w:hAnsi="Arial"/>
                <w:sz w:val="17"/>
              </w:rPr>
              <w:t>Sandbox implementation</w:t>
            </w:r>
          </w:p>
        </w:tc>
        <w:tc>
          <w:tcPr>
            <w:tcW w:type="dxa" w:w="6192"/>
            <w:tcMar>
              <w:top w:w="90" w:type="dxa"/>
              <w:start w:w="100" w:type="dxa"/>
              <w:bottom w:w="90" w:type="dxa"/>
              <w:end w:w="100" w:type="dxa"/>
            </w:tcMar>
            <w:vAlign w:val="top"/>
          </w:tcPr>
          <w:p>
            <w:r>
              <w:rPr>
                <w:rFonts w:ascii="Arial" w:hAnsi="Arial"/>
                <w:sz w:val="17"/>
              </w:rPr>
              <w:t>Approved manifest, source changes, tests and check-only deploy.</w:t>
            </w:r>
          </w:p>
        </w:tc>
        <w:tc>
          <w:tcPr>
            <w:tcW w:type="dxa" w:w="2016"/>
            <w:tcMar>
              <w:top w:w="90" w:type="dxa"/>
              <w:start w:w="100" w:type="dxa"/>
              <w:bottom w:w="90" w:type="dxa"/>
              <w:end w:w="100" w:type="dxa"/>
            </w:tcMar>
            <w:vAlign w:val="top"/>
          </w:tcPr>
          <w:p>
            <w:r>
              <w:rPr>
                <w:rFonts w:ascii="Arial" w:hAnsi="Arial"/>
                <w:sz w:val="17"/>
              </w:rPr>
              <w:t>Not started</w:t>
            </w:r>
          </w:p>
        </w:tc>
      </w:tr>
      <w:tr>
        <w:trPr>
          <w:trHeight w:hRule="atLeast"/>
        </w:trPr>
        <w:tc>
          <w:tcPr>
            <w:tcW w:type="dxa" w:w="2160"/>
            <w:tcMar>
              <w:top w:w="90" w:type="dxa"/>
              <w:start w:w="100" w:type="dxa"/>
              <w:bottom w:w="90" w:type="dxa"/>
              <w:end w:w="100" w:type="dxa"/>
            </w:tcMar>
            <w:vAlign w:val="top"/>
            <w:shd w:fill="F4F7FA"/>
          </w:tcPr>
          <w:p>
            <w:r>
              <w:rPr>
                <w:rFonts w:ascii="Arial" w:hAnsi="Arial"/>
                <w:sz w:val="17"/>
              </w:rPr>
              <w:t>As-built verification</w:t>
            </w:r>
          </w:p>
        </w:tc>
        <w:tc>
          <w:tcPr>
            <w:tcW w:type="dxa" w:w="6192"/>
            <w:tcMar>
              <w:top w:w="90" w:type="dxa"/>
              <w:start w:w="100" w:type="dxa"/>
              <w:bottom w:w="90" w:type="dxa"/>
              <w:end w:w="100" w:type="dxa"/>
            </w:tcMar>
            <w:vAlign w:val="top"/>
            <w:shd w:fill="F4F7FA"/>
          </w:tcPr>
          <w:p>
            <w:r>
              <w:rPr>
                <w:rFonts w:ascii="Arial" w:hAnsi="Arial"/>
                <w:sz w:val="17"/>
              </w:rPr>
              <w:t>Fresh metadata/hash and complete reconciliation.</w:t>
            </w:r>
          </w:p>
        </w:tc>
        <w:tc>
          <w:tcPr>
            <w:tcW w:type="dxa" w:w="2016"/>
            <w:tcMar>
              <w:top w:w="90" w:type="dxa"/>
              <w:start w:w="100" w:type="dxa"/>
              <w:bottom w:w="90" w:type="dxa"/>
              <w:end w:w="100" w:type="dxa"/>
            </w:tcMar>
            <w:vAlign w:val="top"/>
            <w:shd w:fill="F4F7FA"/>
          </w:tcPr>
          <w:p>
            <w:r>
              <w:rPr>
                <w:rFonts w:ascii="Arial" w:hAnsi="Arial"/>
                <w:sz w:val="17"/>
              </w:rPr>
              <w:t>Not started</w:t>
            </w:r>
          </w:p>
        </w:tc>
      </w:tr>
      <w:tr>
        <w:trPr>
          <w:trHeight w:hRule="atLeast"/>
        </w:trPr>
        <w:tc>
          <w:tcPr>
            <w:tcW w:type="dxa" w:w="2160"/>
            <w:tcMar>
              <w:top w:w="90" w:type="dxa"/>
              <w:start w:w="100" w:type="dxa"/>
              <w:bottom w:w="90" w:type="dxa"/>
              <w:end w:w="100" w:type="dxa"/>
            </w:tcMar>
            <w:vAlign w:val="top"/>
          </w:tcPr>
          <w:p>
            <w:r>
              <w:rPr>
                <w:rFonts w:ascii="Arial" w:hAnsi="Arial"/>
                <w:sz w:val="17"/>
              </w:rPr>
              <w:t>Production/UAT</w:t>
            </w:r>
          </w:p>
        </w:tc>
        <w:tc>
          <w:tcPr>
            <w:tcW w:type="dxa" w:w="6192"/>
            <w:tcMar>
              <w:top w:w="90" w:type="dxa"/>
              <w:start w:w="100" w:type="dxa"/>
              <w:bottom w:w="90" w:type="dxa"/>
              <w:end w:w="100" w:type="dxa"/>
            </w:tcMar>
            <w:vAlign w:val="top"/>
          </w:tcPr>
          <w:p>
            <w:r>
              <w:rPr>
                <w:rFonts w:ascii="Arial" w:hAnsi="Arial"/>
                <w:sz w:val="17"/>
              </w:rPr>
              <w:t>Separate later approvals.</w:t>
            </w:r>
          </w:p>
        </w:tc>
        <w:tc>
          <w:tcPr>
            <w:tcW w:type="dxa" w:w="2016"/>
            <w:tcMar>
              <w:top w:w="90" w:type="dxa"/>
              <w:start w:w="100" w:type="dxa"/>
              <w:bottom w:w="90" w:type="dxa"/>
              <w:end w:w="100" w:type="dxa"/>
            </w:tcMar>
            <w:vAlign w:val="top"/>
          </w:tcPr>
          <w:p>
            <w:r>
              <w:rPr>
                <w:rFonts w:ascii="Arial" w:hAnsi="Arial"/>
                <w:sz w:val="17"/>
              </w:rPr>
              <w:t>Not authorised</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Controlled Project Document | Sandbox only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CBS Category A | A-IMP-02 | Controlled Execution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F4E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40" w:line="240" w:lineRule="auto"/>
      <w:ind w:left="259" w:right="7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CBS Category A A-IMP-02 Client User and Data Subject Separation Cursor Execution Prompt</dc:title>
  <dc:subject>Controlled Salesforce implementation prompt</dc:subject>
  <dc:creator>CBS Salesforce Project</dc:creator>
  <cp:keywords/>
  <dc:description>Generated from approved Category A Solution Design v1.4 and A-IMP-01 v1.1.</dc:description>
  <cp:lastModifiedBy/>
  <cp:revision>1</cp:revision>
  <dcterms:created xsi:type="dcterms:W3CDTF">2013-12-23T23:15:00Z</dcterms:created>
  <dcterms:modified xsi:type="dcterms:W3CDTF">2013-12-23T23:15:00Z</dcterms:modified>
  <cp:category/>
</cp:coreProperties>
</file>