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left w:type="dxa" w:w="1701"/>
              <w:right w:type="dxa" w:w="1701"/>
            </w:tcMar>
            <w:vAlign w:val="top"/>
          </w:tcPr>
          <w:p>
            <w:pPr>
              <w:spacing w:before="4004"/>
            </w:pPr>
          </w:p>
          <w:p>
            <w:pPr>
              <w:spacing w:after="300"/>
              <w:jc w:val="center"/>
            </w:pPr>
            <w:r>
              <w:rPr>
                <w:rFonts w:ascii="Times New Roman" w:eastAsia="SimHei"/>
                <w:b/>
                <w:bCs/>
                <w:sz w:val="72"/>
                <w:szCs w:val="72"/>
              </w:rPr>
              <w:t xml:space="preserve">模型核心公式手册</w:t>
            </w:r>
          </w:p>
          <w:p>
            <w:pPr>
              <w:spacing w:after="200"/>
              <w:jc w:val="center"/>
            </w:pPr>
            <w:r>
              <w:rPr>
                <w:rFonts w:ascii="Times New Roman" w:eastAsia="SimSun"/>
                <w:sz w:val="30"/>
                <w:szCs w:val="30"/>
              </w:rPr>
              <w:t xml:space="preserve">病虫·杂草双引擎检测模型 · 核心公式与参数取值</w:t>
            </w:r>
          </w:p>
          <w:p>
            <w:pPr>
              <w:spacing w:before="1586"/>
            </w:pPr>
          </w:p>
          <w:tbl>
            <w:tblPr>
              <w:tblW w:type="pct" w:w="295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967"/>
              <w:gridCol w:w="5058"/>
            </w:tblGrid>
            <w:tr>
              <w:tc>
                <w:tcPr>
                  <w:tcW w:type="pct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文档类型：</w:t>
                  </w:r>
                </w:p>
              </w:tc>
              <w:tc>
                <w:tcPr>
                  <w:tcW w:type="pct" w:w="360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技术参考手册</w:t>
                  </w:r>
                </w:p>
              </w:tc>
            </w:tr>
            <w:tr>
              <w:tc>
                <w:tcPr>
                  <w:tcW w:type="pct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病虫引擎：</w:t>
                  </w:r>
                </w:p>
              </w:tc>
              <w:tc>
                <w:tcPr>
                  <w:tcW w:type="pct" w:w="360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PP-YOLOE+_CRN_S-640</w:t>
                  </w:r>
                </w:p>
              </w:tc>
            </w:tr>
            <w:tr>
              <w:tc>
                <w:tcPr>
                  <w:tcW w:type="pct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杂草引擎：</w:t>
                  </w:r>
                </w:p>
              </w:tc>
              <w:tc>
                <w:tcPr>
                  <w:tcW w:type="pct" w:w="360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PP-PicoDet-L-640</w:t>
                  </w:r>
                </w:p>
              </w:tc>
            </w:tr>
            <w:tr>
              <w:tc>
                <w:tcPr>
                  <w:tcW w:type="pct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参数取值：</w:t>
                  </w:r>
                </w:p>
              </w:tc>
              <w:tc>
                <w:tcPr>
                  <w:tcW w:type="pct" w:w="360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两引擎训练配置实值</w:t>
                  </w:r>
                </w:p>
              </w:tc>
            </w:tr>
            <w:tr>
              <w:tc>
                <w:tcPr>
                  <w:tcW w:type="pct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编制日期：</w:t>
                  </w:r>
                </w:p>
              </w:tc>
              <w:tc>
                <w:tcPr>
                  <w:tcW w:type="pct" w:w="360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2026 年 10 月 10 日</w:t>
                  </w:r>
                </w:p>
              </w:tc>
            </w:tr>
          </w:tbl>
          <w:p>
            <w:pPr>
              <w:spacing w:before="4800"/>
            </w:pP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keepNext/>
        <w:spacing w:after="160" w:before="360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一、总训练目标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模型训练以分类、回归双分支联合优化，总损失为三部分加权和：</w:t>
      </w:r>
    </w:p>
    <w:p>
      <w:pPr>
        <w:tabs>
          <w:tab w:val="right" w:pos="8788"/>
        </w:tabs>
        <w:spacing w:after="120" w:before="120" w:line="360"/>
      </w:pPr>
      <m:oMath>
        <m:r>
          <m:t xml:space="preserve">L = </m:t>
        </m:r>
        <m:sSub>
          <m:sSubPr/>
          <m:e>
            <m:r>
              <m:t>L</m:t>
            </m:r>
          </m:e>
          <m:sub>
            <m:r>
              <m:t>VFL</m:t>
            </m:r>
          </m:sub>
        </m:sSub>
        <m:r>
          <m:t xml:space="preserve"> + 2.5·</m:t>
        </m:r>
        <m:sSub>
          <m:sSubPr/>
          <m:e>
            <m:r>
              <m:t>L</m:t>
            </m:r>
          </m:e>
          <m:sub>
            <m:r>
              <m:t>GIoU</m:t>
            </m:r>
          </m:sub>
        </m:sSub>
        <m:r>
          <m:t xml:space="preserve"> + 0.5·</m:t>
        </m:r>
        <m:sSub>
          <m:sSubPr/>
          <m:e>
            <m:r>
              <m:t>L</m:t>
            </m:r>
          </m:e>
          <m:sub>
            <m:r>
              <m:t>DFL</m:t>
            </m:r>
          </m:sub>
        </m:sSub>
      </m:oMath>
      <w:r>
        <w:rPr>
          <w:rFonts w:ascii="Times New Roman"/>
          <w:color w:val="404040"/>
          <w:sz w:val="22"/>
          <w:szCs w:val="22"/>
        </w:rPr>
        <w:t xml:space="preserve">	(1)</w:t>
      </w:r>
    </w:p>
    <w:p>
      <w:pPr>
        <w:spacing w:after="160" w:before="40" w:line="312"/>
        <w:jc w:val="both"/>
      </w:pPr>
      <w:r>
        <w:rPr>
          <w:rFonts w:ascii="Times New Roman" w:eastAsia="SimSun"/>
          <w:i w:val="false"/>
          <w:iCs w:val="false"/>
          <w:color w:val="404040"/>
          <w:sz w:val="21"/>
          <w:szCs w:val="21"/>
        </w:rPr>
        <w:t xml:space="preserve">式中权重 1.0 / 2.5 / 0.5 来自训练配置 loss_weight（class / iou / dfl），两引擎取值一致（附录 A）。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本手册覆盖双引擎：病虫引擎 PP-YOLOE+_S（14 类病虫害）与杂草引擎 PicoDet-L（12 类棉田杂草）。两者均为无锚框（anchor-free）检测器：分类分支输出各位置类别概率，回归分支输出边界偏移，损失函数完全同款；差异在骨干网络容量与少量超参数（附录 A 对照）。</w:t>
      </w:r>
    </w:p>
    <w:p>
      <w:pPr>
        <w:pStyle w:val="Heading1"/>
        <w:keepNext/>
        <w:spacing w:after="160" w:before="360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二、分类损失：VarifocalLoss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VarifocalLoss 对正、负样本采用非对称形式。正样本的分类目标 q 取预测框与真值框的 IoU（定位质量感知），负样本按 focal 方式压低易分样本权重：</w:t>
      </w:r>
    </w:p>
    <w:p>
      <w:pPr>
        <w:tabs>
          <w:tab w:val="right" w:pos="8788"/>
        </w:tabs>
        <w:spacing w:after="120" w:before="120" w:line="360"/>
      </w:pPr>
      <m:oMath>
        <m:sSub>
          <m:sSubPr/>
          <m:e>
            <m:r>
              <m:t>L</m:t>
            </m:r>
          </m:e>
          <m:sub>
            <m:r>
              <m:t>VFL</m:t>
            </m:r>
          </m:sub>
        </m:sSub>
        <m:r>
          <m:t>(p, q) = −q[ q·log p + (1−q)·log(1−p) ]　（q &gt; 0，正样本）</m:t>
        </m:r>
      </m:oMath>
      <w:r>
        <w:rPr>
          <w:rFonts w:ascii="Times New Roman"/>
          <w:color w:val="404040"/>
          <w:sz w:val="22"/>
          <w:szCs w:val="22"/>
        </w:rPr>
        <w:t xml:space="preserve">	(2a)</w:t>
      </w:r>
    </w:p>
    <w:p>
      <w:pPr>
        <w:tabs>
          <w:tab w:val="right" w:pos="8788"/>
        </w:tabs>
        <w:spacing w:after="120" w:before="120" w:line="360"/>
      </w:pPr>
      <m:oMath>
        <m:sSub>
          <m:sSubPr/>
          <m:e>
            <m:r>
              <m:t>L</m:t>
            </m:r>
          </m:e>
          <m:sub>
            <m:r>
              <m:t>VFL</m:t>
            </m:r>
          </m:sub>
        </m:sSub>
        <m:r>
          <m:t>(p, 0) = −α·</m:t>
        </m:r>
        <m:sSup>
          <m:sSupPr/>
          <m:e>
            <m:r>
              <m:t>p</m:t>
            </m:r>
          </m:e>
          <m:sup>
            <m:r>
              <m:t>γ</m:t>
            </m:r>
          </m:sup>
        </m:sSup>
        <m:r>
          <m:t>·log(1−p)　（q = 0，负样本）</m:t>
        </m:r>
      </m:oMath>
      <w:r>
        <w:rPr>
          <w:rFonts w:ascii="Times New Roman"/>
          <w:color w:val="404040"/>
          <w:sz w:val="22"/>
          <w:szCs w:val="22"/>
        </w:rPr>
        <w:t xml:space="preserve">	(2b)</w:t>
      </w:r>
    </w:p>
    <w:p>
      <w:pPr>
        <w:spacing w:after="160" w:before="40" w:line="312"/>
        <w:jc w:val="both"/>
      </w:pPr>
      <w:r>
        <w:rPr>
          <w:rFonts w:ascii="Times New Roman" w:eastAsia="SimSun"/>
          <w:i w:val="false"/>
          <w:iCs w:val="false"/>
          <w:color w:val="404040"/>
          <w:sz w:val="21"/>
          <w:szCs w:val="21"/>
        </w:rPr>
        <w:t xml:space="preserve">式中：p 为预测分类得分；q 为正样本目标（预测框与真值的 IoU）；α = 0.75、γ = 2.0 为框架默认。出处：Zhang et al., VarifocalNet, CVPR 2021。</w:t>
      </w:r>
    </w:p>
    <w:p>
      <w:pPr>
        <w:pStyle w:val="Heading1"/>
        <w:keepNext/>
        <w:spacing w:after="160" w:before="360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三、回归损失：GIoU 与 DFL</w:t>
      </w:r>
    </w:p>
    <w:p>
      <w:pPr>
        <w:pStyle w:val="Heading2"/>
        <w:keepNext/>
        <w:spacing w:after="120" w:before="240"/>
      </w:pPr>
      <w:r>
        <w:rPr>
          <w:rFonts w:ascii="Times New Roman" w:eastAsia="SimHei"/>
          <w:b/>
          <w:bCs/>
          <w:color w:val="1F3864"/>
          <w:sz w:val="26"/>
          <w:szCs w:val="26"/>
        </w:rPr>
        <w:t xml:space="preserve">3.1 GIoU 损失</w:t>
      </w:r>
    </w:p>
    <w:p>
      <w:pPr>
        <w:tabs>
          <w:tab w:val="right" w:pos="8788"/>
        </w:tabs>
        <w:spacing w:after="120" w:before="120" w:line="360"/>
      </w:pPr>
      <m:oMath>
        <m:r>
          <m:t xml:space="preserve">GIoU = </m:t>
        </m:r>
        <m:f>
          <m:num>
            <m:r>
              <m:t>|A∩B|</m:t>
            </m:r>
          </m:num>
          <m:den>
            <m:r>
              <m:t>|A∪B|</m:t>
            </m:r>
          </m:den>
        </m:f>
        <m:r>
          <m:t xml:space="preserve"> − </m:t>
        </m:r>
        <m:f>
          <m:num>
            <m:r>
              <m:t>|C∖(A∪B)|</m:t>
            </m:r>
          </m:num>
          <m:den>
            <m:r>
              <m:t>|C|</m:t>
            </m:r>
          </m:den>
        </m:f>
      </m:oMath>
      <w:r>
        <w:rPr>
          <w:rFonts w:ascii="Times New Roman"/>
          <w:color w:val="404040"/>
          <w:sz w:val="22"/>
          <w:szCs w:val="22"/>
        </w:rPr>
        <w:t xml:space="preserve">	(3)</w:t>
      </w:r>
    </w:p>
    <w:p>
      <w:pPr>
        <w:tabs>
          <w:tab w:val="right" w:pos="8788"/>
        </w:tabs>
        <w:spacing w:after="120" w:before="120" w:line="360"/>
      </w:pPr>
      <m:oMath>
        <m:sSub>
          <m:sSubPr/>
          <m:e>
            <m:r>
              <m:t>L</m:t>
            </m:r>
          </m:e>
          <m:sub>
            <m:r>
              <m:t>GIoU</m:t>
            </m:r>
          </m:sub>
        </m:sSub>
        <m:r>
          <m:t xml:space="preserve"> = 1 − GIoU</m:t>
        </m:r>
      </m:oMath>
      <w:r>
        <w:rPr>
          <w:rFonts w:ascii="Times New Roman"/>
          <w:color w:val="404040"/>
          <w:sz w:val="22"/>
          <w:szCs w:val="22"/>
        </w:rPr>
        <w:t xml:space="preserve">	(4)</w:t>
      </w:r>
    </w:p>
    <w:p>
      <w:pPr>
        <w:spacing w:after="160" w:before="40" w:line="312"/>
        <w:jc w:val="both"/>
      </w:pPr>
      <w:r>
        <w:rPr>
          <w:rFonts w:ascii="Times New Roman" w:eastAsia="SimSun"/>
          <w:i w:val="false"/>
          <w:iCs w:val="false"/>
          <w:color w:val="404040"/>
          <w:sz w:val="21"/>
          <w:szCs w:val="21"/>
        </w:rPr>
        <w:t xml:space="preserve">式中：A、B 为预测框与真值框；C 为两者的轴对齐最小包围框，第二项惩罚“离得远”的预测。出处：Rezatofighi et al., CVPR 2019。</w:t>
      </w:r>
    </w:p>
    <w:p>
      <w:pPr>
        <w:pStyle w:val="Heading2"/>
        <w:keepNext/>
        <w:spacing w:after="120" w:before="240"/>
      </w:pPr>
      <w:r>
        <w:rPr>
          <w:rFonts w:ascii="Times New Roman" w:eastAsia="SimHei"/>
          <w:b/>
          <w:bCs/>
          <w:color w:val="1F3864"/>
          <w:sz w:val="26"/>
          <w:szCs w:val="26"/>
        </w:rPr>
        <w:t xml:space="preserve">3.2 DFL（Distribution Focal Loss）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DFL 将边界偏移建模为 reg_max + 1 个离散位置上的分布 S（softmax 概率）——PP-YOLOE+_S 共 17 个位置、PicoDet-L 共 8 个；训练时只拉近真值 y 两侧相邻的位置：</w:t>
      </w:r>
    </w:p>
    <w:p>
      <w:pPr>
        <w:tabs>
          <w:tab w:val="right" w:pos="8788"/>
        </w:tabs>
        <w:spacing w:after="120" w:before="120" w:line="360"/>
      </w:pPr>
      <m:oMath>
        <m:sSub>
          <m:sSubPr/>
          <m:e>
            <m:r>
              <m:t>L</m:t>
            </m:r>
          </m:e>
          <m:sub>
            <m:r>
              <m:t>DFL</m:t>
            </m:r>
          </m:sub>
        </m:sSub>
        <m:r>
          <m:t>(S, y) = −[ (</m:t>
        </m:r>
        <m:sSub>
          <m:sSubPr/>
          <m:e>
            <m:r>
              <m:t>y</m:t>
            </m:r>
          </m:e>
          <m:sub>
            <m:r>
              <m:t>r</m:t>
            </m:r>
          </m:sub>
        </m:sSub>
        <m:r>
          <m:t xml:space="preserve">−y)·log </m:t>
        </m:r>
        <m:sSub>
          <m:sSubPr/>
          <m:e>
            <m:r>
              <m:t>S</m:t>
            </m:r>
          </m:e>
          <m:sub>
            <m:r>
              <m:t>l</m:t>
            </m:r>
          </m:sub>
        </m:sSub>
        <m:r>
          <m:t xml:space="preserve"> + (y−</m:t>
        </m:r>
        <m:sSub>
          <m:sSubPr/>
          <m:e>
            <m:r>
              <m:t>y</m:t>
            </m:r>
          </m:e>
          <m:sub>
            <m:r>
              <m:t>l</m:t>
            </m:r>
          </m:sub>
        </m:sSub>
        <m:r>
          <m:t xml:space="preserve">)·log </m:t>
        </m:r>
        <m:sSub>
          <m:sSubPr/>
          <m:e>
            <m:r>
              <m:t>S</m:t>
            </m:r>
          </m:e>
          <m:sub>
            <m:r>
              <m:t>r</m:t>
            </m:r>
          </m:sub>
        </m:sSub>
        <m:r>
          <m:t xml:space="preserve"> ]</m:t>
        </m:r>
      </m:oMath>
      <w:r>
        <w:rPr>
          <w:rFonts w:ascii="Times New Roman"/>
          <w:color w:val="404040"/>
          <w:sz w:val="22"/>
          <w:szCs w:val="22"/>
        </w:rPr>
        <w:t xml:space="preserve">	(5)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推理时取分布期望作为回归值：</w:t>
      </w:r>
    </w:p>
    <w:p>
      <w:pPr>
        <w:tabs>
          <w:tab w:val="right" w:pos="8788"/>
        </w:tabs>
        <w:spacing w:after="120" w:before="120" w:line="360"/>
      </w:pPr>
      <m:oMath>
        <m:r>
          <m:t xml:space="preserve">ŷ = </m:t>
        </m:r>
        <m:nary>
          <m:naryPr>
            <m:chr m:val="∑"/>
            <m:limLoc m:val="undOvr"/>
          </m:naryPr>
          <m:sub>
            <m:r>
              <m:t>i=0</m:t>
            </m:r>
          </m:sub>
          <m:sup>
            <m:r>
              <m:t>R</m:t>
            </m:r>
          </m:sup>
          <m:e>
            <m:r>
              <m:t>P(i)·</m:t>
            </m:r>
            <m:f>
              <m:num>
                <m:r>
                  <m:t>i</m:t>
                </m:r>
              </m:num>
              <m:den>
                <m:r>
                  <m:t>R</m:t>
                </m:r>
              </m:den>
            </m:f>
          </m:e>
        </m:nary>
      </m:oMath>
      <w:r>
        <w:rPr>
          <w:rFonts w:ascii="Times New Roman"/>
          <w:color w:val="404040"/>
          <w:sz w:val="22"/>
          <w:szCs w:val="22"/>
        </w:rPr>
        <w:t xml:space="preserve">	(6)</w:t>
      </w:r>
    </w:p>
    <w:p>
      <w:pPr>
        <w:spacing w:after="160" w:before="40" w:line="312"/>
        <w:jc w:val="both"/>
      </w:pPr>
      <w:r>
        <w:rPr>
          <w:rFonts w:ascii="Times New Roman" w:eastAsia="SimSun"/>
          <w:i w:val="false"/>
          <w:iCs w:val="false"/>
          <w:color w:val="404040"/>
          <w:sz w:val="21"/>
          <w:szCs w:val="21"/>
        </w:rPr>
        <w:t xml:space="preserve">式中：R = reg_max 为偏移范围（PP-YOLOE+_S 取 16，离散位置共 17 个；PicoDet-L 取 7，共 8 个）；l、r 为与 y 相邻的两侧位置下标。出处：Li et al., Generalized Focal Loss, NeurIPS 2020。边界模糊的病斑目标对该建模方式尤为受益。</w:t>
      </w:r>
    </w:p>
    <w:p>
      <w:pPr>
        <w:pStyle w:val="Heading1"/>
        <w:keepNext/>
        <w:spacing w:after="160" w:before="360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四、标签分配：任务对齐度量 TAL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TaskAlignedAssigner 以分类分数与定位质量的几何组合度量对齐程度，选 t 值最高的 top-k 个位置为正样本：</w:t>
      </w:r>
    </w:p>
    <w:p>
      <w:pPr>
        <w:tabs>
          <w:tab w:val="right" w:pos="8788"/>
        </w:tabs>
        <w:spacing w:after="120" w:before="120" w:line="360"/>
      </w:pPr>
      <m:oMath>
        <m:r>
          <m:t xml:space="preserve">t = </m:t>
        </m:r>
        <m:sSup>
          <m:sSupPr/>
          <m:e>
            <m:r>
              <m:t>s</m:t>
            </m:r>
          </m:e>
          <m:sup>
            <m:r>
              <m:t>α</m:t>
            </m:r>
          </m:sup>
        </m:sSup>
        <m:r>
          <m:t>·</m:t>
        </m:r>
        <m:sSup>
          <m:sSupPr/>
          <m:e>
            <m:r>
              <m:t>u</m:t>
            </m:r>
          </m:e>
          <m:sup>
            <m:r>
              <m:t>β</m:t>
            </m:r>
          </m:sup>
        </m:sSup>
      </m:oMath>
      <w:r>
        <w:rPr>
          <w:rFonts w:ascii="Times New Roman"/>
          <w:color w:val="404040"/>
          <w:sz w:val="22"/>
          <w:szCs w:val="22"/>
        </w:rPr>
        <w:t xml:space="preserve">	(7)</w:t>
      </w:r>
    </w:p>
    <w:p>
      <w:pPr>
        <w:spacing w:after="160" w:before="40" w:line="312"/>
        <w:jc w:val="both"/>
      </w:pPr>
      <w:r>
        <w:rPr>
          <w:rFonts w:ascii="Times New Roman" w:eastAsia="SimSun"/>
          <w:i w:val="false"/>
          <w:iCs w:val="false"/>
          <w:color w:val="404040"/>
          <w:sz w:val="21"/>
          <w:szCs w:val="21"/>
        </w:rPr>
        <w:t xml:space="preserve">式中：s 为分类分数，u 为预测框与真值的 IoU；两引擎均取 α = 1.0、β = 6.0、top-k = 13（热身期以 ATSS 静态分配、top-k = 9：病虫引擎前 30 epoch、杂草引擎前 100 epoch）。PicoDet-L 推理时另以同式 t 融合分类与定位作为输出分数（use_align_head）。出处：Feng et al., TOOD, ICCV 2021。</w:t>
      </w:r>
    </w:p>
    <w:p>
      <w:pPr>
        <w:pStyle w:val="Heading1"/>
        <w:keepNext/>
        <w:spacing w:after="160" w:before="360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五、训练日程</w:t>
      </w:r>
    </w:p>
    <w:p>
      <w:pPr>
        <w:pStyle w:val="Heading2"/>
        <w:keepNext/>
        <w:spacing w:after="120" w:before="240"/>
      </w:pPr>
      <w:r>
        <w:rPr>
          <w:rFonts w:ascii="Times New Roman" w:eastAsia="SimHei"/>
          <w:b/>
          <w:bCs/>
          <w:color w:val="1F3864"/>
          <w:sz w:val="26"/>
          <w:szCs w:val="26"/>
        </w:rPr>
        <w:t xml:space="preserve">5.1 余弦退火学习率</w:t>
      </w:r>
    </w:p>
    <w:p>
      <w:pPr>
        <w:tabs>
          <w:tab w:val="right" w:pos="8788"/>
        </w:tabs>
        <w:spacing w:after="120" w:before="120" w:line="360"/>
      </w:pPr>
      <m:oMath>
        <m:sSub>
          <m:sSubPr/>
          <m:e>
            <m:r>
              <m:t>η</m:t>
            </m:r>
          </m:e>
          <m:sub>
            <m:r>
              <m:t>t</m:t>
            </m:r>
          </m:sub>
        </m:sSub>
        <m:r>
          <m:t xml:space="preserve"> = </m:t>
        </m:r>
        <m:f>
          <m:num>
            <m:sSub>
              <m:sSubPr/>
              <m:e>
                <m:r>
                  <m:t>η</m:t>
                </m:r>
              </m:e>
              <m:sub>
                <m:r>
                  <m:t>max</m:t>
                </m:r>
              </m:sub>
            </m:sSub>
          </m:num>
          <m:den>
            <m:r>
              <m:t>2</m:t>
            </m:r>
          </m:den>
        </m:f>
        <m:r>
          <m:t>·( 1 + cos</m:t>
        </m:r>
        <m:f>
          <m:num>
            <m:r>
              <m:t>πt</m:t>
            </m:r>
          </m:num>
          <m:den>
            <m:r>
              <m:t>T</m:t>
            </m:r>
          </m:den>
        </m:f>
        <m:r>
          <m:t xml:space="preserve"> )</m:t>
        </m:r>
      </m:oMath>
      <w:r>
        <w:rPr>
          <w:rFonts w:ascii="Times New Roman"/>
          <w:color w:val="404040"/>
          <w:sz w:val="22"/>
          <w:szCs w:val="22"/>
        </w:rPr>
        <w:t xml:space="preserve">	(8)</w:t>
      </w:r>
    </w:p>
    <w:p>
      <w:pPr>
        <w:spacing w:after="160" w:before="40" w:line="312"/>
        <w:jc w:val="both"/>
      </w:pPr>
      <w:r>
        <w:rPr>
          <w:rFonts w:ascii="Times New Roman" w:eastAsia="SimSun"/>
          <w:i w:val="false"/>
          <w:iCs w:val="false"/>
          <w:color w:val="404040"/>
          <w:sz w:val="21"/>
          <w:szCs w:val="21"/>
        </w:rPr>
        <w:t xml:space="preserve">病虫引擎 η_max = 2×10⁻⁴、T = 100（QAT 微调为 50）；杂草引擎 η_max = 0.015、T = 200；框架按 iteration 平滑衰减。</w:t>
      </w:r>
    </w:p>
    <w:p>
      <w:pPr>
        <w:pStyle w:val="Heading2"/>
        <w:keepNext/>
        <w:spacing w:after="120" w:before="240"/>
      </w:pPr>
      <w:r>
        <w:rPr>
          <w:rFonts w:ascii="Times New Roman" w:eastAsia="SimHei"/>
          <w:b/>
          <w:bCs/>
          <w:color w:val="1F3864"/>
          <w:sz w:val="26"/>
          <w:szCs w:val="26"/>
        </w:rPr>
        <w:t xml:space="preserve">5.2 学习率线性缩放规则</w:t>
      </w:r>
    </w:p>
    <w:p>
      <w:pPr>
        <w:tabs>
          <w:tab w:val="right" w:pos="8788"/>
        </w:tabs>
        <w:spacing w:after="120" w:before="120" w:line="360"/>
      </w:pPr>
      <m:oMath>
        <m:r>
          <m:t xml:space="preserve">η = </m:t>
        </m:r>
        <m:f>
          <m:num>
            <m:r>
              <m:t>B</m:t>
            </m:r>
          </m:num>
          <m:den>
            <m:sSub>
              <m:sSubPr/>
              <m:e>
                <m:r>
                  <m:t>B</m:t>
                </m:r>
              </m:e>
              <m:sub>
                <m:r>
                  <m:t>ref</m:t>
                </m:r>
              </m:sub>
            </m:sSub>
          </m:den>
        </m:f>
        <m:r>
          <m:t xml:space="preserve"> · </m:t>
        </m:r>
        <m:sSub>
          <m:sSubPr/>
          <m:e>
            <m:r>
              <m:t>η</m:t>
            </m:r>
          </m:e>
          <m:sub>
            <m:r>
              <m:t>ref</m:t>
            </m:r>
          </m:sub>
        </m:sSub>
      </m:oMath>
      <w:r>
        <w:rPr>
          <w:rFonts w:ascii="Times New Roman"/>
          <w:color w:val="404040"/>
          <w:sz w:val="22"/>
          <w:szCs w:val="22"/>
        </w:rPr>
        <w:t xml:space="preserve">	(9)</w:t>
      </w:r>
    </w:p>
    <w:p>
      <w:pPr>
        <w:spacing w:after="160" w:before="40" w:line="312"/>
        <w:jc w:val="both"/>
      </w:pPr>
      <w:r>
        <w:rPr>
          <w:rFonts w:ascii="Times New Roman" w:eastAsia="SimSun"/>
          <w:i w:val="false"/>
          <w:iCs w:val="false"/>
          <w:color w:val="404040"/>
          <w:sz w:val="21"/>
          <w:szCs w:val="21"/>
        </w:rPr>
        <w:t xml:space="preserve">式中：B 为实际训练 batch（两引擎均 12），B_ref、η_ref 为官方参考配置的 batch 与学习率。病虫引擎：0.001@64 → 近似取 2×10⁻⁴（严格 1.875×10⁻⁴）；杂草引擎：0.06@48 → 0.015（Goyal et al., 2017 线性缩放规则）。</w:t>
      </w:r>
    </w:p>
    <w:p>
      <w:pPr>
        <w:pStyle w:val="Heading2"/>
        <w:keepNext/>
        <w:spacing w:after="120" w:before="240"/>
      </w:pPr>
      <w:r>
        <w:rPr>
          <w:rFonts w:ascii="Times New Roman" w:eastAsia="SimHei"/>
          <w:b/>
          <w:bCs/>
          <w:color w:val="1F3864"/>
          <w:sz w:val="26"/>
          <w:szCs w:val="26"/>
        </w:rPr>
        <w:t xml:space="preserve">5.3 EMA 参数滑动平均</w:t>
      </w:r>
    </w:p>
    <w:p>
      <w:pPr>
        <w:tabs>
          <w:tab w:val="right" w:pos="8788"/>
        </w:tabs>
        <w:spacing w:after="120" w:before="120" w:line="360"/>
      </w:pPr>
      <m:oMath>
        <m:sSub>
          <m:sSubPr/>
          <m:e>
            <m:r>
              <m:t>θ</m:t>
            </m:r>
          </m:e>
          <m:sub>
            <m:r>
              <m:t>EMA,t</m:t>
            </m:r>
          </m:sub>
        </m:sSub>
        <m:r>
          <m:t xml:space="preserve"> = μ·</m:t>
        </m:r>
        <m:sSub>
          <m:sSubPr/>
          <m:e>
            <m:r>
              <m:t>θ</m:t>
            </m:r>
          </m:e>
          <m:sub>
            <m:r>
              <m:t>EMA,t−1</m:t>
            </m:r>
          </m:sub>
        </m:sSub>
        <m:r>
          <m:t xml:space="preserve"> + (1−μ)·</m:t>
        </m:r>
        <m:sSub>
          <m:sSubPr/>
          <m:e>
            <m:r>
              <m:t>θ</m:t>
            </m:r>
          </m:e>
          <m:sub>
            <m:r>
              <m:t>t</m:t>
            </m:r>
          </m:sub>
        </m:sSub>
      </m:oMath>
      <w:r>
        <w:rPr>
          <w:rFonts w:ascii="Times New Roman"/>
          <w:color w:val="404040"/>
          <w:sz w:val="22"/>
          <w:szCs w:val="22"/>
        </w:rPr>
        <w:t xml:space="preserve">	(10)</w:t>
      </w:r>
    </w:p>
    <w:p>
      <w:pPr>
        <w:spacing w:after="160" w:before="40" w:line="312"/>
        <w:jc w:val="both"/>
      </w:pPr>
      <w:r>
        <w:rPr>
          <w:rFonts w:ascii="Times New Roman" w:eastAsia="SimSun"/>
          <w:i w:val="false"/>
          <w:iCs w:val="false"/>
          <w:color w:val="404040"/>
          <w:sz w:val="21"/>
          <w:szCs w:val="21"/>
        </w:rPr>
        <w:t xml:space="preserve">式中：θ_EMA 为滑动平均后的参数（推理使用），θ_t 为当前训练参数；μ = 0.9998（ema_decay，两引擎同）；proj_conv 权重不参与 EMA。</w:t>
      </w:r>
    </w:p>
    <w:p>
      <w:pPr>
        <w:pStyle w:val="Heading1"/>
        <w:keepNext/>
        <w:spacing w:after="160" w:before="360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六、INT8 量化（病虫引擎 QAT）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病虫引擎采用量化感知训练 QAT（下式 (11)(12)）：INT8 体积较 FP32 降低 74%，mAP 仅下降 1.1 点。杂草引擎实测 PTQ 全图静态量化后 mAP50 由 0.9646 崩至 0.209（两轮不同校准集一致），故以 FP32 部署——量化式 (11) 对两者同样成立，差别在缩放因子 S 的获取方式：QAT 在训练中学习（PACT 截断），PTQ 由校准集统计。</w:t>
      </w:r>
    </w:p>
    <w:p>
      <w:pPr>
        <w:pStyle w:val="Heading2"/>
        <w:keepNext/>
        <w:spacing w:after="120" w:before="240"/>
      </w:pPr>
      <w:r>
        <w:rPr>
          <w:rFonts w:ascii="Times New Roman" w:eastAsia="SimHei"/>
          <w:b/>
          <w:bCs/>
          <w:color w:val="1F3864"/>
          <w:sz w:val="26"/>
          <w:szCs w:val="26"/>
        </w:rPr>
        <w:t xml:space="preserve">6.1 对称逐通道权重量化</w:t>
      </w:r>
    </w:p>
    <w:p>
      <w:pPr>
        <w:tabs>
          <w:tab w:val="right" w:pos="8788"/>
        </w:tabs>
        <w:spacing w:after="120" w:before="120" w:line="360"/>
      </w:pPr>
      <m:oMath>
        <m:sSub>
          <m:sSubPr/>
          <m:e>
            <m:r>
              <m:t>W</m:t>
            </m:r>
          </m:e>
          <m:sub>
            <m:r>
              <m:t>q</m:t>
            </m:r>
          </m:sub>
        </m:sSub>
        <m:r>
          <m:t xml:space="preserve"> = round</m:t>
        </m:r>
        <m:r>
          <m:t xml:space="preserve">( </m:t>
        </m:r>
        <m:f>
          <m:num>
            <m:r>
              <m:t>W</m:t>
            </m:r>
          </m:num>
          <m:den>
            <m:r>
              <m:t>S</m:t>
            </m:r>
          </m:den>
        </m:f>
        <m:r>
          <m:t xml:space="preserve"> )　，　S = </m:t>
        </m:r>
        <m:f>
          <m:num>
            <m:r>
              <m:t>max|W|</m:t>
            </m:r>
          </m:num>
          <m:den>
            <m:r>
              <m:t>127</m:t>
            </m:r>
          </m:den>
        </m:f>
        <m:r>
          <m:t xml:space="preserve">　，　W ≈ S·</m:t>
        </m:r>
        <m:sSub>
          <m:sSubPr/>
          <m:e>
            <m:r>
              <m:t>W</m:t>
            </m:r>
          </m:e>
          <m:sub>
            <m:r>
              <m:t>q</m:t>
            </m:r>
          </m:sub>
        </m:sSub>
      </m:oMath>
      <w:r>
        <w:rPr>
          <w:rFonts w:ascii="Times New Roman"/>
          <w:color w:val="404040"/>
          <w:sz w:val="22"/>
          <w:szCs w:val="22"/>
        </w:rPr>
        <w:t xml:space="preserve">	(11)</w:t>
      </w:r>
    </w:p>
    <w:p>
      <w:pPr>
        <w:spacing w:after="160" w:before="40" w:line="312"/>
        <w:jc w:val="both"/>
      </w:pPr>
      <w:r>
        <w:rPr>
          <w:rFonts w:ascii="Times New Roman" w:eastAsia="SimSun"/>
          <w:i w:val="false"/>
          <w:iCs w:val="false"/>
          <w:color w:val="404040"/>
          <w:sz w:val="21"/>
          <w:szCs w:val="21"/>
        </w:rPr>
        <w:t xml:space="preserve">式中：W 为浮点权重，W_q 为量化后的 INT8 整型权重（q = quantized，逐通道），S 为缩放因子。出处：Jacob et al., CVPR 2018 等标准写法。</w:t>
      </w:r>
    </w:p>
    <w:p>
      <w:pPr>
        <w:pStyle w:val="Heading2"/>
        <w:keepNext/>
        <w:spacing w:after="120" w:before="240"/>
      </w:pPr>
      <w:r>
        <w:rPr>
          <w:rFonts w:ascii="Times New Roman" w:eastAsia="SimHei"/>
          <w:b/>
          <w:bCs/>
          <w:color w:val="1F3864"/>
          <w:sz w:val="26"/>
          <w:szCs w:val="26"/>
        </w:rPr>
        <w:t xml:space="preserve">6.2 PACT 激活截断</w:t>
      </w:r>
    </w:p>
    <w:p>
      <w:pPr>
        <w:tabs>
          <w:tab w:val="right" w:pos="8788"/>
        </w:tabs>
        <w:spacing w:after="120" w:before="120" w:line="360"/>
      </w:pPr>
      <m:oMath>
        <m:r>
          <m:t>PACT(x) = min( max(x, 0), α )</m:t>
        </m:r>
      </m:oMath>
      <w:r>
        <w:rPr>
          <w:rFonts w:ascii="Times New Roman"/>
          <w:color w:val="404040"/>
          <w:sz w:val="22"/>
          <w:szCs w:val="22"/>
        </w:rPr>
        <w:t xml:space="preserve">	(12)</w:t>
      </w:r>
    </w:p>
    <w:p>
      <w:pPr>
        <w:spacing w:after="160" w:before="40" w:line="312"/>
        <w:jc w:val="both"/>
      </w:pPr>
      <w:r>
        <w:rPr>
          <w:rFonts w:ascii="Times New Roman" w:eastAsia="SimSun"/>
          <w:i w:val="false"/>
          <w:iCs w:val="false"/>
          <w:color w:val="404040"/>
          <w:sz w:val="21"/>
          <w:szCs w:val="21"/>
        </w:rPr>
        <w:t xml:space="preserve">式中：α 为可学习截断阈值（训练日志中的 act_preprocess.alpha 即此参数）。量化配置：8 bit、逐通道权重 + 滑动平均绝对值激活量化、窗口 10000、滑动率 0.9。</w:t>
      </w:r>
    </w:p>
    <w:p>
      <w:pPr>
        <w:pStyle w:val="Heading1"/>
        <w:keepNext/>
        <w:spacing w:after="160" w:before="360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七、评测辅助：置信度校准误差 ECE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用于度量模型置信分数与实际命中率的偏差（病虫引擎实测 0.0546，10 分箱；杂草引擎未测）：</w:t>
      </w:r>
    </w:p>
    <w:p>
      <w:pPr>
        <w:tabs>
          <w:tab w:val="right" w:pos="8788"/>
        </w:tabs>
        <w:spacing w:after="120" w:before="120" w:line="360"/>
      </w:pPr>
      <m:oMath>
        <m:r>
          <m:t xml:space="preserve">ECE = </m:t>
        </m:r>
        <m:nary>
          <m:naryPr>
            <m:chr m:val="∑"/>
            <m:limLoc m:val="undOvr"/>
          </m:naryPr>
          <m:sub>
            <m:r>
              <m:t>b=1</m:t>
            </m:r>
          </m:sub>
          <m:sup>
            <m:r>
              <m:t>B</m:t>
            </m:r>
          </m:sup>
          <m:e>
            <m:f>
              <m:num>
                <m:sSub>
                  <m:sSubPr/>
                  <m:e>
                    <m:r>
                      <m:t>n</m:t>
                    </m:r>
                  </m:e>
                  <m:sub>
                    <m:r>
                      <m:t>b</m:t>
                    </m:r>
                  </m:sub>
                </m:sSub>
              </m:num>
              <m:den>
                <m:r>
                  <m:t>N</m:t>
                </m:r>
              </m:den>
            </m:f>
            <m:r>
              <m:t>·| acc(b) − conf(b) |</m:t>
            </m:r>
          </m:e>
        </m:nary>
      </m:oMath>
      <w:r>
        <w:rPr>
          <w:rFonts w:ascii="Times New Roman"/>
          <w:color w:val="404040"/>
          <w:sz w:val="22"/>
          <w:szCs w:val="22"/>
        </w:rPr>
        <w:t xml:space="preserve">	(13)</w:t>
      </w:r>
    </w:p>
    <w:p>
      <w:pPr>
        <w:spacing w:after="160" w:before="40" w:line="312"/>
        <w:jc w:val="both"/>
      </w:pPr>
      <w:r>
        <w:rPr>
          <w:rFonts w:ascii="Times New Roman" w:eastAsia="SimSun"/>
          <w:i w:val="false"/>
          <w:iCs w:val="false"/>
          <w:color w:val="404040"/>
          <w:sz w:val="21"/>
          <w:szCs w:val="21"/>
        </w:rPr>
        <w:t xml:space="preserve">式中：B 为置信分箱数（本项目取 10），n_b 为第 b 箱候选框数，N 为总候选框数。出处：Guo et al., ICML 2017。</w:t>
      </w:r>
    </w:p>
    <w:p>
      <w:pPr>
        <w:pStyle w:val="Heading1"/>
        <w:keepNext/>
        <w:spacing w:after="160" w:before="360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附录 A：符号与双引擎取值总表</w:t>
      </w:r>
    </w:p>
    <w:tbl>
      <w:tblPr>
        <w:tblW w:type="pct" w:w="5000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  <w:tblLayout w:type="fixed"/>
      </w:tblPr>
      <w:tblGrid>
        <w:gridCol w:w="1494"/>
        <w:gridCol w:w="2724"/>
        <w:gridCol w:w="2373"/>
        <w:gridCol w:w="2197"/>
      </w:tblGrid>
      <w:tr>
        <w:trPr>
          <w:cantSplit/>
          <w:tblHeader/>
        </w:trPr>
        <w:tc>
          <w:tcPr>
            <w:tcW w:type="pct" w:w="85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Hei"/>
                <w:b/>
                <w:bCs/>
                <w:color w:val="1F3864"/>
                <w:sz w:val="21"/>
                <w:szCs w:val="21"/>
              </w:rPr>
              <w:t xml:space="preserve">符号</w:t>
            </w:r>
          </w:p>
        </w:tc>
        <w:tc>
          <w:tcPr>
            <w:tcW w:type="pct" w:w="155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Hei"/>
                <w:b/>
                <w:bCs/>
                <w:color w:val="1F3864"/>
                <w:sz w:val="21"/>
                <w:szCs w:val="21"/>
              </w:rPr>
              <w:t xml:space="preserve">含义</w:t>
            </w:r>
          </w:p>
        </w:tc>
        <w:tc>
          <w:tcPr>
            <w:tcW w:type="pct" w:w="135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Hei"/>
                <w:b/>
                <w:bCs/>
                <w:color w:val="1F3864"/>
                <w:sz w:val="21"/>
                <w:szCs w:val="21"/>
              </w:rPr>
              <w:t xml:space="preserve">病虫 PP-YOLOE+_S</w:t>
            </w:r>
          </w:p>
        </w:tc>
        <w:tc>
          <w:tcPr>
            <w:tcW w:type="pct" w:w="125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Hei"/>
                <w:b/>
                <w:bCs/>
                <w:color w:val="1F3864"/>
                <w:sz w:val="21"/>
                <w:szCs w:val="21"/>
              </w:rPr>
              <w:t xml:space="preserve">杂草 PicoDet-L</w:t>
            </w:r>
          </w:p>
        </w:tc>
      </w:tr>
      <w:tr>
        <w:trPr>
          <w:cantSplit/>
        </w:trPr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α (TAL)</w:t>
            </w:r>
          </w:p>
        </w:tc>
        <w:tc>
          <w:tcPr>
            <w:tcW w:type="pct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分类分数指数</w:t>
            </w:r>
          </w:p>
        </w:tc>
        <w:tc>
          <w:tcPr>
            <w:tcW w:type="pct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1.0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1.0</w:t>
            </w:r>
          </w:p>
        </w:tc>
      </w:tr>
      <w:tr>
        <w:trPr>
          <w:cantSplit/>
        </w:trPr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β (TAL)</w:t>
            </w:r>
          </w:p>
        </w:tc>
        <w:tc>
          <w:tcPr>
            <w:tcW w:type="pct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IoU 指数</w:t>
            </w:r>
          </w:p>
        </w:tc>
        <w:tc>
          <w:tcPr>
            <w:tcW w:type="pct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6.0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6.0</w:t>
            </w:r>
          </w:p>
        </w:tc>
      </w:tr>
      <w:tr>
        <w:trPr>
          <w:cantSplit/>
        </w:trPr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top-k (TAL)</w:t>
            </w:r>
          </w:p>
        </w:tc>
        <w:tc>
          <w:tcPr>
            <w:tcW w:type="pct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每真值正样本数</w:t>
            </w:r>
          </w:p>
        </w:tc>
        <w:tc>
          <w:tcPr>
            <w:tcW w:type="pct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13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13</w:t>
            </w:r>
          </w:p>
        </w:tc>
      </w:tr>
      <w:tr>
        <w:trPr>
          <w:cantSplit/>
        </w:trPr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reg_max</w:t>
            </w:r>
          </w:p>
        </w:tc>
        <w:tc>
          <w:tcPr>
            <w:tcW w:type="pct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DFL 偏移范围（位置数 − 1）</w:t>
            </w:r>
          </w:p>
        </w:tc>
        <w:tc>
          <w:tcPr>
            <w:tcW w:type="pct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16（17 个）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7（8 个）</w:t>
            </w:r>
          </w:p>
        </w:tc>
      </w:tr>
      <w:tr>
        <w:trPr>
          <w:cantSplit/>
        </w:trPr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w_cls / w_iou / w_dfl</w:t>
            </w:r>
          </w:p>
        </w:tc>
        <w:tc>
          <w:tcPr>
            <w:tcW w:type="pct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三项损失权重</w:t>
            </w:r>
          </w:p>
        </w:tc>
        <w:tc>
          <w:tcPr>
            <w:tcW w:type="pct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1.0 / 2.5 / 0.5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同左</w:t>
            </w:r>
          </w:p>
        </w:tc>
      </w:tr>
      <w:tr>
        <w:trPr>
          <w:cantSplit/>
        </w:trPr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η_max</w:t>
            </w:r>
          </w:p>
        </w:tc>
        <w:tc>
          <w:tcPr>
            <w:tcW w:type="pct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峰值学习率（B = 12）</w:t>
            </w:r>
          </w:p>
        </w:tc>
        <w:tc>
          <w:tcPr>
            <w:tcW w:type="pct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2×10⁻⁴（0.001@64）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0.015（0.06@48）</w:t>
            </w:r>
          </w:p>
        </w:tc>
      </w:tr>
      <w:tr>
        <w:trPr>
          <w:cantSplit/>
        </w:trPr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T（余弦衰减）</w:t>
            </w:r>
          </w:p>
        </w:tc>
        <w:tc>
          <w:tcPr>
            <w:tcW w:type="pct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衰减总轮数</w:t>
            </w:r>
          </w:p>
        </w:tc>
        <w:tc>
          <w:tcPr>
            <w:tcW w:type="pct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100（QAT 50）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200</w:t>
            </w:r>
          </w:p>
        </w:tc>
      </w:tr>
      <w:tr>
        <w:trPr>
          <w:cantSplit/>
        </w:trPr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warmup</w:t>
            </w:r>
          </w:p>
        </w:tc>
        <w:tc>
          <w:tcPr>
            <w:tcW w:type="pct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线性预热</w:t>
            </w:r>
          </w:p>
        </w:tc>
        <w:tc>
          <w:tcPr>
            <w:tcW w:type="pct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2 epochs（QAT 200 steps）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500 steps</w:t>
            </w:r>
          </w:p>
        </w:tc>
      </w:tr>
      <w:tr>
        <w:trPr>
          <w:cantSplit/>
        </w:trPr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ATSS 热身</w:t>
            </w:r>
          </w:p>
        </w:tc>
        <w:tc>
          <w:tcPr>
            <w:tcW w:type="pct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静态分配轮数（top-k 9）</w:t>
            </w:r>
          </w:p>
        </w:tc>
        <w:tc>
          <w:tcPr>
            <w:tcW w:type="pct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30 epochs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100 epochs</w:t>
            </w:r>
          </w:p>
        </w:tc>
      </w:tr>
      <w:tr>
        <w:trPr>
          <w:cantSplit/>
        </w:trPr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μ (EMA)</w:t>
            </w:r>
          </w:p>
        </w:tc>
        <w:tc>
          <w:tcPr>
            <w:tcW w:type="pct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滑动平均系数</w:t>
            </w:r>
          </w:p>
        </w:tc>
        <w:tc>
          <w:tcPr>
            <w:tcW w:type="pct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0.9998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0.9998</w:t>
            </w:r>
          </w:p>
        </w:tc>
      </w:tr>
      <w:tr>
        <w:trPr>
          <w:cantSplit/>
        </w:trPr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epoch</w:t>
            </w:r>
          </w:p>
        </w:tc>
        <w:tc>
          <w:tcPr>
            <w:tcW w:type="pct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训练轮数</w:t>
            </w:r>
          </w:p>
        </w:tc>
        <w:tc>
          <w:tcPr>
            <w:tcW w:type="pct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100（Best ≈ 40）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200 早停（Best 110）</w:t>
            </w:r>
          </w:p>
        </w:tc>
      </w:tr>
      <w:tr>
        <w:trPr>
          <w:cantSplit/>
        </w:trPr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量化部署</w:t>
            </w:r>
          </w:p>
        </w:tc>
        <w:tc>
          <w:tcPr>
            <w:tcW w:type="pct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最终交付形态</w:t>
            </w:r>
          </w:p>
        </w:tc>
        <w:tc>
          <w:tcPr>
            <w:tcW w:type="pct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QAT INT8（体积 −74%）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FP32（PTQ 崩坏不采用）</w:t>
            </w:r>
          </w:p>
        </w:tc>
      </w:tr>
      <w:tr>
        <w:trPr>
          <w:cantSplit/>
        </w:trPr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ECE</w:t>
            </w:r>
          </w:p>
        </w:tc>
        <w:tc>
          <w:tcPr>
            <w:tcW w:type="pct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校准误差（val，10 分箱）</w:t>
            </w:r>
          </w:p>
        </w:tc>
        <w:tc>
          <w:tcPr>
            <w:tcW w:type="pct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0.0546</w:t>
            </w: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未测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附录 B：公式出处对照</w:t>
      </w:r>
    </w:p>
    <w:tbl>
      <w:tblPr>
        <w:tblW w:type="pct" w:w="5000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  <w:tblLayout w:type="fixed"/>
      </w:tblPr>
      <w:tblGrid>
        <w:gridCol w:w="1406"/>
        <w:gridCol w:w="2988"/>
        <w:gridCol w:w="4394"/>
      </w:tblGrid>
      <w:tr>
        <w:trPr>
          <w:cantSplit/>
          <w:tblHeader/>
        </w:trPr>
        <w:tc>
          <w:tcPr>
            <w:tcW w:type="pct" w:w="8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Hei"/>
                <w:b/>
                <w:bCs/>
                <w:color w:val="1F3864"/>
                <w:sz w:val="21"/>
                <w:szCs w:val="21"/>
              </w:rPr>
              <w:t xml:space="preserve">公式</w:t>
            </w:r>
          </w:p>
        </w:tc>
        <w:tc>
          <w:tcPr>
            <w:tcW w:type="pct" w:w="17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Hei"/>
                <w:b/>
                <w:bCs/>
                <w:color w:val="1F3864"/>
                <w:sz w:val="21"/>
                <w:szCs w:val="21"/>
              </w:rPr>
              <w:t xml:space="preserve">方法</w:t>
            </w:r>
          </w:p>
        </w:tc>
        <w:tc>
          <w:tcPr>
            <w:tcW w:type="pct" w:w="25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Hei"/>
                <w:b/>
                <w:bCs/>
                <w:color w:val="1F3864"/>
                <w:sz w:val="21"/>
                <w:szCs w:val="21"/>
              </w:rPr>
              <w:t xml:space="preserve">出处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(2a)(2b)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VarifocalLoss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Zhang et al., VarifocalNet, CVPR 2021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(3)(4)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GIoU Loss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Rezatofighi et al., CVPR 2019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(5)(6)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Distribution Focal Loss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Li et al., Generalized Focal Loss, NeurIPS 2020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(7)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TaskAlignedAssigner (TAL)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Feng et al., TOOD, ICCV 2021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(8)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余弦退火学习率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Loshchilov &amp; Hutter, SGDR, ICLR 2017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(9)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学习率线性缩放规则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Goyal et al., 2017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(11)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对称逐通道量化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Jacob et al., CVPR 2018 等标准写法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(12)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PACT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Choi et al., ICML 2018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(13)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ECE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Guo et al., ICML 2017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架构（病虫）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PP-YOLOE+_S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Wang et al., PP-YOLOE, arXiv:2203.16250, 2022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架构（杂草）</w:t>
            </w:r>
          </w:p>
        </w:tc>
        <w:tc>
          <w:tcPr>
            <w:tcW w:type="pct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PicoDet-L</w:t>
            </w:r>
          </w:p>
        </w:tc>
        <w:tc>
          <w:tcPr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1A1A"/>
                <w:sz w:val="21"/>
                <w:szCs w:val="21"/>
              </w:rPr>
              <w:t xml:space="preserve">Liu et al., PP-PicoDet, arXiv:2204.10424, 2022</w:t>
            </w:r>
          </w:p>
        </w:tc>
      </w:tr>
    </w:tbl>
    <w:sectPr>
      <w:footerReference w:type="default" r:id="rId6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606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1A1A1A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2026-10-10T07:19:27.605Z</dcterms:created>
  <dcterms:modified xsi:type="dcterms:W3CDTF">2026-10-10T07:19:27.605Z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