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企业级电商认证鉴权模块（mall-auth，Sa-Token核心）完整业务流程与边界</w:t>
      </w:r>
      <w:r>
        <w:rPr>
          <w:rFonts w:eastAsia="等线" w:ascii="Arial" w:cs="Arial" w:hAnsi="Arial"/>
          <w:b w:val="true"/>
          <w:sz w:val="52"/>
        </w:rPr>
        <w:t>（全局视角）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本文档整合认证鉴权模块 </w:t>
      </w:r>
      <w:r>
        <w:rPr>
          <w:rFonts w:eastAsia="等线" w:ascii="Arial" w:cs="Arial" w:hAnsi="Arial"/>
          <w:b w:val="true"/>
          <w:sz w:val="22"/>
        </w:rPr>
        <w:t>MVP最小可行版本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后期拓展完整版</w:t>
      </w:r>
      <w:r>
        <w:rPr>
          <w:rFonts w:eastAsia="等线" w:ascii="Arial" w:cs="Arial" w:hAnsi="Arial"/>
          <w:sz w:val="22"/>
        </w:rPr>
        <w:t xml:space="preserve"> 业务，从系统全局视角出发，明确各阶段业务流程、职责边界，贴合mallFei微服务架构（Sa-Token为核心技术支撑），兼顾当前落地与后期迭代，可直接用于项目开发、文档归档、面试阐述，为整个电商系统（mall-user、订单、购物车、支付、运营后台等）提供统一的认证鉴权支撑，形成全系统安全闭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一、认证鉴权模块定位（全局视角·微服务架构下）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认证鉴权模块（mall-auth）≠单纯Token生成，是 </w:t>
      </w:r>
      <w:r>
        <w:rPr>
          <w:rFonts w:eastAsia="等线" w:ascii="Arial" w:cs="Arial" w:hAnsi="Arial"/>
          <w:b w:val="true"/>
          <w:sz w:val="22"/>
        </w:rPr>
        <w:t>身份校验+会话管理+权限控制+安全风控+接口防护</w:t>
      </w:r>
      <w:r>
        <w:rPr>
          <w:rFonts w:eastAsia="等线" w:ascii="Arial" w:cs="Arial" w:hAnsi="Arial"/>
          <w:sz w:val="22"/>
        </w:rPr>
        <w:t xml:space="preserve"> 的独立微服务，是整个电商系统的“安全网关”和“权限中枢”。全系统所有微服务（mall-user用户模块、订单模块、购物车模块、支付模块、运营后台等）的非公开接口，均需依赖本模块完成身份鉴权与权限管控，是保障整个系统数据安全、接口合规、权限清晰的核心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微服务拆分（后期拓展阶段），从系统全局出发，完整认证鉴权模块包含四大核心域，各域独立承载对应业务，与全系统所有微服务协同工作，实现“鉴权与业务数据分离”，保障各微服务独立性，同时支撑全系统的统一安全管控需求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Token会话域</w:t>
      </w:r>
      <w:r>
        <w:rPr>
          <w:rFonts w:eastAsia="等线" w:ascii="Arial" w:cs="Arial" w:hAnsi="Arial"/>
          <w:sz w:val="22"/>
        </w:rPr>
        <w:t>：核心承载Sa-Token核心功能，包含Token颁发、销毁、刷新、会话管理，支撑全系统所有用户（普通用户、运营管理员）登录、退出的会话闭环，是认证鉴权的基础核心域，全系统所有身份校验均围绕Token展开，为各微服务提供统一的会话支撑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身份校验域</w:t>
      </w:r>
      <w:r>
        <w:rPr>
          <w:rFonts w:eastAsia="等线" w:ascii="Arial" w:cs="Arial" w:hAnsi="Arial"/>
          <w:sz w:val="22"/>
        </w:rPr>
        <w:t>：负责全系统用户身份合法性校验，包含账号状态校验（禁用/注销）、Token有效性校验、用户角色校验（普通用户/运营管理员/超级管理员），是全系统接口访问的“第一道安全防线”，所有微服务的非公开接口均需先通过本域校验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权限控制域</w:t>
      </w:r>
      <w:r>
        <w:rPr>
          <w:rFonts w:eastAsia="等线" w:ascii="Arial" w:cs="Arial" w:hAnsi="Arial"/>
          <w:sz w:val="22"/>
        </w:rPr>
        <w:t>：聚焦全系统接口权限与角色权限管控，包含接口访问权限分配、角色权限配置、多端（C端H5、PC运营后台、商家后台）权限校验，确保不同角色、不同端的用户，只能访问对应权限范围内的接口，实现全系统权限统一管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安全风控域</w:t>
      </w:r>
      <w:r>
        <w:rPr>
          <w:rFonts w:eastAsia="等线" w:ascii="Arial" w:cs="Arial" w:hAnsi="Arial"/>
          <w:sz w:val="22"/>
        </w:rPr>
        <w:t>：负责全系统登录安全与接口防护，包含登录风控（异地登录、异常设备、密码重试限制）、敏感操作风控预警（如支付密码修改、订单退款）、接口防刷、登录/操作日志记录，支撑全系统的安全防护需求，与各微服务的安全相关模块协同工作，构建全系统安全体系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二、整体架构说明（全局协同视角）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认证鉴权模块（mall-auth）基于微服务拆分设计，核心遵循“鉴权与业务数据分离”原则，与上述四大核心域适配，是全系统所有微服务的前置依赖项，为mall-user、订单、购物车、支付等所有微服务提供统一鉴权支撑，而非仅服务于用户模块，支撑后期拓展完整版业务，保障全系统协同高效运行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ll-auth核心定位：独立承担全系统的认证鉴权、会话管理、权限控制、安全风控，不存储任何微服务的核心业务数据（用户信息、订单信息、购物车数据等），仅存储Token、会话、权限配置、风控规则、操作日志等鉴权相关数据；与各微服务（mall-user、订单等）通过接口交互，获取所需的基础校验信息（如用户账号状态、订单关联用户角色等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全系统微服务协同：作为全系统所有微服务的前置依赖，mall-user、订单、购物车、支付、运营后台等所有微服务的非公开接口，均需先调用mall-auth的鉴权接口完成身份校验与权限校验，校验通过后方可执行后续业务逻辑；其中与mall-user的交互主要集中在登录、注销场景，与订单、支付的交互主要集中在敏感操作鉴权场景，实现全系统鉴权统一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技术支撑：以Sa-Token为核心，实现Token的颁发、销毁、刷新、会话管理，同时集成Redis缓存Token、会话信息及风控规则，保障鉴权性能，支撑全系统高并发场景（如峰值登录、高频接口访问），为全系统提供高效、稳定的鉴权服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三、MVP阶段业务流程（全局落地核心）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完成全系统基础鉴权能力落地，支撑全系统MVP阶段核心业务（用户注册登录、订单创建、购物车操作、基础运营管理等），实现简单的身份校验、会话管理与基础权限控制，保障全系统接口安全，不做冗余拓展（聚焦四大核心域中的基础部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核心业务流程（5大必备，适配全系统MVP）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Token颁发（对接全系统登录场景）</w:t>
      </w:r>
      <w:r>
        <w:rPr>
          <w:rFonts w:eastAsia="等线" w:ascii="Arial" w:cs="Arial" w:hAnsi="Arial"/>
          <w:sz w:val="22"/>
        </w:rPr>
        <w:t>：全系统所有登录场景（如mall-user用户登录、运营后台管理员登录），由对应微服务（mall-user、运营后台服务）完成账号密码/验证码校验后，调用mall-auth的Sa-Token登录接口，传入用户ID、用户角色（普通用户/运营管理员）；mall-auth校验请求合法性（来源为系统内合法微服务且参数完整），通过Sa-Token生成唯一Token，关联用户ID、角色信息及所属微服务标识，存入Redis（设置有效期），返回Token给调用方微服务，由调用方同步返回给前端（C端H5、PC后台）。</w:t>
        <w:br/>
        <w:t xml:space="preserve">    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Token鉴权（对接全系统所有非公开接口）</w:t>
      </w:r>
      <w:r>
        <w:rPr>
          <w:rFonts w:eastAsia="等线" w:ascii="Arial" w:cs="Arial" w:hAnsi="Arial"/>
          <w:sz w:val="22"/>
        </w:rPr>
        <w:t>：全系统所有微服务（mall-user、订单、购物车、支付、运营后台等）的非公开接口，前端调用时需携带Token，对应微服务接收请求后，先调用mall-auth的鉴权接口，传入请求Token及接口标识；mall-auth校验Token有效性（Redis中是否存在、是否过期）、用户角色与接口权限匹配度，校验通过后返回用户ID、角色信息，微服务接收后执行后续业务逻辑；校验失败（Token无效、过期、权限不足），返回鉴权失败，拦截接口访问，保障接口安全。</w:t>
        <w:br/>
        <w:t xml:space="preserve">    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Token销毁（对接全系统退出场景）</w:t>
      </w:r>
      <w:r>
        <w:rPr>
          <w:rFonts w:eastAsia="等线" w:ascii="Arial" w:cs="Arial" w:hAnsi="Arial"/>
          <w:sz w:val="22"/>
        </w:rPr>
        <w:t>：全系统所有退出场景（如C端用户退出、运营管理员退出），由对应微服务（mall-user、运营后台服务）接收用户退出请求后，调用mall-auth的Sa-Token登出接口，传入用户ID或当前Token；mall-auth删除Redis中该用户对应的Token与会话信息，销毁会话，返回登出成功结果给调用方微服务，由调用方同步完成前端会话清除，实现全系统退出闭环。</w:t>
        <w:br/>
        <w:t xml:space="preserve">    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基础角色权限校验（适配全系统角色管控）</w:t>
      </w:r>
      <w:r>
        <w:rPr>
          <w:rFonts w:eastAsia="等线" w:ascii="Arial" w:cs="Arial" w:hAnsi="Arial"/>
          <w:sz w:val="22"/>
        </w:rPr>
        <w:t>：针对全系统不同角色（普通用户、运营管理员），mall-auth预设基础权限规则，关联对应可访问的接口范围；当运营管理员通过PC后台调用接口（如查询用户列表、订单详情）时，微服务调用mall-auth鉴权接口，mall-auth校验该用户角色为运营管理员，且接口在其权限范围内，方可通过校验；普通用户调用运营接口时，直接返回权限不足，实现基础角色权限管控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Token有效期管理（支撑全系统会话稳定）</w:t>
      </w:r>
      <w:r>
        <w:rPr>
          <w:rFonts w:eastAsia="等线" w:ascii="Arial" w:cs="Arial" w:hAnsi="Arial"/>
          <w:sz w:val="22"/>
        </w:rPr>
        <w:t>：MVP阶段预设Token有效期（如2小时），当Token即将过期时，前端发起Token刷新请求，对应微服务调用mall-auth的Token刷新接口，传入当前有效Token；mall-auth校验Token有效性后，生成新的Token，更新Redis中会话信息及有效期，返回新Token给前端，确保全系统用户会话持续稳定，避免频繁登录，提升用户体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四、后期拓展完整版业务流程（全系统安全升级）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在MVP基础上，围绕全系统安全管控需求，完善四大核心域全部业务，新增企业级安全功能，实现全系统鉴权、权限、风控的统一升级，支撑大规模电商业务运营，保障全系统安全合规、权限清晰、可管控。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4.1 新增拓展业务流程（8大核心，覆盖全系统）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多端统一会话管理（Token会话域拓展）</w:t>
      </w:r>
      <w:r>
        <w:rPr>
          <w:rFonts w:eastAsia="等线" w:ascii="Arial" w:cs="Arial" w:hAnsi="Arial"/>
          <w:sz w:val="22"/>
        </w:rPr>
        <w:t>：支持C端H5、APP、小程序、PC运营后台、商家后台多端登录，mall-auth为同一用户的多端登录颁发不同Token，关联同一用户ID，实现多端会话独立管理；支持单端退出不影响其他端、强制踢出指定端会话、查询用户多端登录状态，适配全系统多端运营需求，提升用户体验与管理灵活性。</w:t>
        <w:br/>
        <w:t xml:space="preserve">    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精细化身份校验（身份校验域拓展）</w:t>
      </w:r>
      <w:r>
        <w:rPr>
          <w:rFonts w:eastAsia="等线" w:ascii="Arial" w:cs="Arial" w:hAnsi="Arial"/>
          <w:sz w:val="22"/>
        </w:rPr>
        <w:t>：对接全系统各微服务，实现更精细的身份校验，包括账号注销状态校验、账号封禁状态校验、用户实名状态校验（对接mall-user实名认证信息）、商家资质校验（对接商家服务）；针对敏感操作（如支付密码修改、订单退款、管理员权限变更），新增二次校验（短信验证码、密码验证），进一步保障身份合法性，降低安全风险。</w:t>
        <w:br/>
        <w:t xml:space="preserve">    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精细化权限管控（权限控制域拓展）</w:t>
      </w:r>
      <w:r>
        <w:rPr>
          <w:rFonts w:eastAsia="等线" w:ascii="Arial" w:cs="Arial" w:hAnsi="Arial"/>
          <w:sz w:val="22"/>
        </w:rPr>
        <w:t>：完善全系统权限体系，支持角色自定义、权限颗粒化分配（可细化到单个接口），适配全系统不同岗位需求（如运营专员、运营主管、财务、超级管理员）；支持权限批量分配、权限回收、权限变更日志记录，运营管理员可通过PC后台查询、管理全系统所有角色与权限配置，实现全系统权限统一管控、可追溯。</w:t>
        <w:br/>
        <w:t xml:space="preserve">    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全系统登录风控（安全风控域拓展）</w:t>
      </w:r>
      <w:r>
        <w:rPr>
          <w:rFonts w:eastAsia="等线" w:ascii="Arial" w:cs="Arial" w:hAnsi="Arial"/>
          <w:sz w:val="22"/>
        </w:rPr>
        <w:t>：升级登录风控能力，覆盖全系统所有登录场景，包含异地登录检测（根据IP地址判断）、异常设备登录检测（根据设备指纹判断）、密码重试限制（连续5次错误锁定账号1小时）、登录频率限制（同一账号1分钟内最多3次登录请求）；触发风控后，发送预警短信给用户，要求进行二次验证（短信验证码、人脸识别），验证通过方可完成登录，同时记录风控日志，支撑后续安全排查。</w:t>
        <w:br/>
        <w:t xml:space="preserve">    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接口防刷与敏感操作风控（安全风控域拓展）</w:t>
      </w:r>
      <w:r>
        <w:rPr>
          <w:rFonts w:eastAsia="等线" w:ascii="Arial" w:cs="Arial" w:hAnsi="Arial"/>
          <w:sz w:val="22"/>
        </w:rPr>
        <w:t>：针对全系统高频接口（如登录、下单、获取验证码），设置接口防刷规则（同一IP/设备1分钟内最多10次请求），拦截恶意请求，保护接口安全；针对敏感操作（如订单退款、支付、权限变更、用户信息修改），设置风控预警规则，触发预警后通知运营管理员，同时记录操作日志，实现敏感操作可追溯、可管控。</w:t>
        <w:br/>
        <w:t xml:space="preserve">    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全系统操作日志管理（安全风控域拓展）</w:t>
      </w:r>
      <w:r>
        <w:rPr>
          <w:rFonts w:eastAsia="等线" w:ascii="Arial" w:cs="Arial" w:hAnsi="Arial"/>
          <w:sz w:val="22"/>
        </w:rPr>
        <w:t>：记录全系统所有与鉴权、权限相关的操作日志，包括Token颁发/销毁、鉴权结果、权限变更、风控预警、登录/退出等，日志包含操作人、操作时间、操作IP、操作内容、操作结果；支持按时间、操作人、操作类型、微服务标识筛选日志，支持日志导出，用于全系统安全审计、异常排查、合规检查。</w:t>
        <w:br/>
        <w:t xml:space="preserve">    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第三方登录鉴权（Token会话域拓展）</w:t>
      </w:r>
      <w:r>
        <w:rPr>
          <w:rFonts w:eastAsia="等线" w:ascii="Arial" w:cs="Arial" w:hAnsi="Arial"/>
          <w:sz w:val="22"/>
        </w:rPr>
        <w:t>：对接微信、支付宝、抖音小程序等第三方授权平台，为全系统第三方登录场景提供统一鉴权支撑；第三方授权成功后，由对应微服务（如mall-user）调用mall-auth接口，颁发系统统一Token，实现第三方登录与系统原有登录会话统一管理，适配全系统多渠道登录需求。</w:t>
        <w:br/>
        <w:t xml:space="preserve">     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鉴权熔断与降级（全局性能保障）</w:t>
      </w:r>
      <w:r>
        <w:rPr>
          <w:rFonts w:eastAsia="等线" w:ascii="Arial" w:cs="Arial" w:hAnsi="Arial"/>
          <w:sz w:val="22"/>
        </w:rPr>
        <w:t>：为保障全系统稳定性，新增鉴权熔断与降级机制，当mall-auth服务出现高并发、故障时，自动触发熔断，暂时拦截非核心接口的鉴权请求，优先保障核心接口（如登录、下单）的正常运行；同时支持降级策略，当Redis缓存异常时，启用本地临时缓存，避免全系统鉴权服务瘫痪，保障全系统业务连续性。</w:t>
        <w:br/>
        <w:t xml:space="preserve">     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五、完整业务边界（全局视角，适配全系统）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明确认证鉴权模块（mall-auth）的核心职责、内外边界与禁止范围，从系统全局出发，避免跨域处理业务，保障微服务架构的独立性与可维护性，同时确保全系统鉴权统一、安全可控，与各微服务协同高效。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5.1 核心职责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全系统四大核心域（Token会话域、身份校验域、权限控制域、安全风控域）的业务落地与能力输出；为全系统所有微服务（mall-user、订单、购物车、支付、运营后台等）提供统一的认证鉴权、会话管理、权限控制、安全风控支撑；记录全系统鉴权相关日志，支撑安全审计与异常排查，保障全系统数据安全与接口合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5.2 对内边界（与全系统微服务协同）</w:t>
      </w:r>
      <w:bookmarkEnd w:id="8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向全系统所有微服务提供统一鉴权接口、Token管理接口、权限校验接口、风控预警接口，支撑各微服务完成身份校验与权限管控；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与各微服务交互，仅获取鉴权所需的基础信息（如用户账号状态、角色、实名信息等），不获取、不存储各微服务的核心业务数据（如订单详情、购物车商品、支付记录等）；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接收各微服务的鉴权请求、Token操作请求，返回标准化结果，不干预各微服务的内部业务逻辑，仅负责“鉴权与权限管控”，实现低耦合协同；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与各微服务的安全相关模块协同，共享风控预警信息、操作日志，构建全系统安全防护体系。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5.3 对外边界</w:t>
      </w:r>
      <w:bookmarkEnd w:id="9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对外开放接口：仅向系统内各微服务（mall-user、订单等）开放鉴权、Token管理、权限校验等接口，不直接向前端（C端、PC端）暴露接口，前端需通过对应微服务间接调用鉴权能力；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第三方交互：仅对接微信、支付宝等第三方授权平台，用于第三方登录鉴权，不与系统外其他无关平台交互；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敏感数据保护：不暴露Token明文、权限配置详情、风控规则、操作日志等敏感信息，所有接口返回数据均进行脱敏处理，保障鉴权相关数据安全；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访问控制：仅允许系统内合法微服务调用接口，对非法请求（非系统内微服务发起）直接拦截，禁止访问。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5.4 禁止范围</w:t>
      </w:r>
      <w:bookmarkEnd w:id="10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不处理任何微服务的核心业务逻辑（如用户注册、订单创建、购物车操作、支付流程等），仅提供鉴权与权限支撑；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不存储任何微服务的核心业务数据（用户信息、订单信息、购物车数据、支付记录等），仅存储鉴权相关数据（Token、会话、权限配置等）；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不干预各微服务的内部权限分配，仅负责校验各微服务传入的角色与接口权限是否匹配，不直接修改各微服务的角色配置；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不负责全系统的业务风控（如订单风控、支付风控），仅负责与鉴权相关的登录风控、接口防刷、敏感操作预警；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不向系统外暴露任何接口，不接收系统外无关请求，避免鉴权服务被恶意攻击。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六、阶段迭代说明（适配全系统MVP+后期拓展）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1845"/>
        <w:gridCol w:w="2760"/>
        <w:gridCol w:w="1845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关键业务（对应四大核心域，支撑全系统）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依赖模块/服务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MVP阶段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完成全系统基础鉴权能力落地，支撑全系统MVP阶段核心业务，保障接口安全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Token会话域（Token颁发/销毁/刷新）、身份校验域（基础Token与角色校验）、权限控制域（基础角色权限校验）、安全风控域（基础接口防护）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Redis（缓存Token）、全系统各微服务（mall-user、订单等）基础接口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后期拓展阶段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升级为全系统统一认证鉴权中台，满足全系统安全、合规、精细化管控需求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四大核心域全部业务（多端会话、精细化权限、全系统风控、操作日志、第三方登录鉴权等）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Redis、短信服务、第三方授权平台、全系统所有微服务、运营后台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75850">
    <w:lvl>
      <w:start w:val="1"/>
      <w:numFmt w:val="decimal"/>
      <w:suff w:val="tab"/>
      <w:lvlText w:val="%1."/>
      <w:rPr>
        <w:color w:val="3370ff"/>
      </w:rPr>
    </w:lvl>
  </w:abstractNum>
  <w:abstractNum w:abstractNumId="675851">
    <w:lvl>
      <w:start w:val="2"/>
      <w:numFmt w:val="decimal"/>
      <w:suff w:val="tab"/>
      <w:lvlText w:val="%1."/>
      <w:rPr>
        <w:color w:val="3370ff"/>
      </w:rPr>
    </w:lvl>
  </w:abstractNum>
  <w:abstractNum w:abstractNumId="675852">
    <w:lvl>
      <w:start w:val="3"/>
      <w:numFmt w:val="decimal"/>
      <w:suff w:val="tab"/>
      <w:lvlText w:val="%1."/>
      <w:rPr>
        <w:color w:val="3370ff"/>
      </w:rPr>
    </w:lvl>
  </w:abstractNum>
  <w:abstractNum w:abstractNumId="675853">
    <w:lvl>
      <w:start w:val="4"/>
      <w:numFmt w:val="decimal"/>
      <w:suff w:val="tab"/>
      <w:lvlText w:val="%1."/>
      <w:rPr>
        <w:color w:val="3370ff"/>
      </w:rPr>
    </w:lvl>
  </w:abstractNum>
  <w:abstractNum w:abstractNumId="675854">
    <w:lvl>
      <w:numFmt w:val="bullet"/>
      <w:suff w:val="tab"/>
      <w:lvlText w:val="•"/>
      <w:rPr>
        <w:color w:val="3370ff"/>
      </w:rPr>
    </w:lvl>
  </w:abstractNum>
  <w:abstractNum w:abstractNumId="675855">
    <w:lvl>
      <w:numFmt w:val="bullet"/>
      <w:suff w:val="tab"/>
      <w:lvlText w:val="•"/>
      <w:rPr>
        <w:color w:val="3370ff"/>
      </w:rPr>
    </w:lvl>
  </w:abstractNum>
  <w:abstractNum w:abstractNumId="675856">
    <w:lvl>
      <w:numFmt w:val="bullet"/>
      <w:suff w:val="tab"/>
      <w:lvlText w:val="•"/>
      <w:rPr>
        <w:color w:val="3370ff"/>
      </w:rPr>
    </w:lvl>
  </w:abstractNum>
  <w:abstractNum w:abstractNumId="675857">
    <w:lvl>
      <w:start w:val="1"/>
      <w:numFmt w:val="decimal"/>
      <w:suff w:val="tab"/>
      <w:lvlText w:val="%1."/>
      <w:rPr>
        <w:color w:val="3370ff"/>
      </w:rPr>
    </w:lvl>
  </w:abstractNum>
  <w:abstractNum w:abstractNumId="675858">
    <w:lvl>
      <w:start w:val="2"/>
      <w:numFmt w:val="decimal"/>
      <w:suff w:val="tab"/>
      <w:lvlText w:val="%1."/>
      <w:rPr>
        <w:color w:val="3370ff"/>
      </w:rPr>
    </w:lvl>
  </w:abstractNum>
  <w:abstractNum w:abstractNumId="675859">
    <w:lvl>
      <w:start w:val="3"/>
      <w:numFmt w:val="decimal"/>
      <w:suff w:val="tab"/>
      <w:lvlText w:val="%1."/>
      <w:rPr>
        <w:color w:val="3370ff"/>
      </w:rPr>
    </w:lvl>
  </w:abstractNum>
  <w:abstractNum w:abstractNumId="675860">
    <w:lvl>
      <w:start w:val="4"/>
      <w:numFmt w:val="decimal"/>
      <w:suff w:val="tab"/>
      <w:lvlText w:val="%1."/>
      <w:rPr>
        <w:color w:val="3370ff"/>
      </w:rPr>
    </w:lvl>
  </w:abstractNum>
  <w:abstractNum w:abstractNumId="675861">
    <w:lvl>
      <w:start w:val="5"/>
      <w:numFmt w:val="decimal"/>
      <w:suff w:val="tab"/>
      <w:lvlText w:val="%1."/>
      <w:rPr>
        <w:color w:val="3370ff"/>
      </w:rPr>
    </w:lvl>
  </w:abstractNum>
  <w:abstractNum w:abstractNumId="675862">
    <w:lvl>
      <w:start w:val="1"/>
      <w:numFmt w:val="decimal"/>
      <w:suff w:val="tab"/>
      <w:lvlText w:val="%1."/>
      <w:rPr>
        <w:color w:val="3370ff"/>
      </w:rPr>
    </w:lvl>
  </w:abstractNum>
  <w:abstractNum w:abstractNumId="675863">
    <w:lvl>
      <w:start w:val="2"/>
      <w:numFmt w:val="decimal"/>
      <w:suff w:val="tab"/>
      <w:lvlText w:val="%1."/>
      <w:rPr>
        <w:color w:val="3370ff"/>
      </w:rPr>
    </w:lvl>
  </w:abstractNum>
  <w:abstractNum w:abstractNumId="675864">
    <w:lvl>
      <w:start w:val="3"/>
      <w:numFmt w:val="decimal"/>
      <w:suff w:val="tab"/>
      <w:lvlText w:val="%1."/>
      <w:rPr>
        <w:color w:val="3370ff"/>
      </w:rPr>
    </w:lvl>
  </w:abstractNum>
  <w:abstractNum w:abstractNumId="675865">
    <w:lvl>
      <w:start w:val="4"/>
      <w:numFmt w:val="decimal"/>
      <w:suff w:val="tab"/>
      <w:lvlText w:val="%1."/>
      <w:rPr>
        <w:color w:val="3370ff"/>
      </w:rPr>
    </w:lvl>
  </w:abstractNum>
  <w:abstractNum w:abstractNumId="675866">
    <w:lvl>
      <w:start w:val="5"/>
      <w:numFmt w:val="decimal"/>
      <w:suff w:val="tab"/>
      <w:lvlText w:val="%1."/>
      <w:rPr>
        <w:color w:val="3370ff"/>
      </w:rPr>
    </w:lvl>
  </w:abstractNum>
  <w:abstractNum w:abstractNumId="675867">
    <w:lvl>
      <w:start w:val="6"/>
      <w:numFmt w:val="decimal"/>
      <w:suff w:val="tab"/>
      <w:lvlText w:val="%1."/>
      <w:rPr>
        <w:color w:val="3370ff"/>
      </w:rPr>
    </w:lvl>
  </w:abstractNum>
  <w:abstractNum w:abstractNumId="675868">
    <w:lvl>
      <w:start w:val="7"/>
      <w:numFmt w:val="decimal"/>
      <w:suff w:val="tab"/>
      <w:lvlText w:val="%1."/>
      <w:rPr>
        <w:color w:val="3370ff"/>
      </w:rPr>
    </w:lvl>
  </w:abstractNum>
  <w:abstractNum w:abstractNumId="675869">
    <w:lvl>
      <w:start w:val="8"/>
      <w:numFmt w:val="decimal"/>
      <w:suff w:val="tab"/>
      <w:lvlText w:val="%1."/>
      <w:rPr>
        <w:color w:val="3370ff"/>
      </w:rPr>
    </w:lvl>
  </w:abstractNum>
  <w:abstractNum w:abstractNumId="675870">
    <w:lvl>
      <w:numFmt w:val="bullet"/>
      <w:suff w:val="tab"/>
      <w:lvlText w:val="•"/>
      <w:rPr>
        <w:color w:val="3370ff"/>
      </w:rPr>
    </w:lvl>
  </w:abstractNum>
  <w:abstractNum w:abstractNumId="675871">
    <w:lvl>
      <w:numFmt w:val="bullet"/>
      <w:suff w:val="tab"/>
      <w:lvlText w:val="•"/>
      <w:rPr>
        <w:color w:val="3370ff"/>
      </w:rPr>
    </w:lvl>
  </w:abstractNum>
  <w:abstractNum w:abstractNumId="675872">
    <w:lvl>
      <w:numFmt w:val="bullet"/>
      <w:suff w:val="tab"/>
      <w:lvlText w:val="•"/>
      <w:rPr>
        <w:color w:val="3370ff"/>
      </w:rPr>
    </w:lvl>
  </w:abstractNum>
  <w:abstractNum w:abstractNumId="675873">
    <w:lvl>
      <w:numFmt w:val="bullet"/>
      <w:suff w:val="tab"/>
      <w:lvlText w:val="•"/>
      <w:rPr>
        <w:color w:val="3370ff"/>
      </w:rPr>
    </w:lvl>
  </w:abstractNum>
  <w:abstractNum w:abstractNumId="675874">
    <w:lvl>
      <w:numFmt w:val="bullet"/>
      <w:suff w:val="tab"/>
      <w:lvlText w:val="•"/>
      <w:rPr>
        <w:color w:val="3370ff"/>
      </w:rPr>
    </w:lvl>
  </w:abstractNum>
  <w:abstractNum w:abstractNumId="675875">
    <w:lvl>
      <w:numFmt w:val="bullet"/>
      <w:suff w:val="tab"/>
      <w:lvlText w:val="•"/>
      <w:rPr>
        <w:color w:val="3370ff"/>
      </w:rPr>
    </w:lvl>
  </w:abstractNum>
  <w:abstractNum w:abstractNumId="675876">
    <w:lvl>
      <w:numFmt w:val="bullet"/>
      <w:suff w:val="tab"/>
      <w:lvlText w:val="•"/>
      <w:rPr>
        <w:color w:val="3370ff"/>
      </w:rPr>
    </w:lvl>
  </w:abstractNum>
  <w:abstractNum w:abstractNumId="675877">
    <w:lvl>
      <w:numFmt w:val="bullet"/>
      <w:suff w:val="tab"/>
      <w:lvlText w:val="•"/>
      <w:rPr>
        <w:color w:val="3370ff"/>
      </w:rPr>
    </w:lvl>
  </w:abstractNum>
  <w:abstractNum w:abstractNumId="675878">
    <w:lvl>
      <w:numFmt w:val="bullet"/>
      <w:suff w:val="tab"/>
      <w:lvlText w:val="•"/>
      <w:rPr>
        <w:color w:val="3370ff"/>
      </w:rPr>
    </w:lvl>
  </w:abstractNum>
  <w:abstractNum w:abstractNumId="675879">
    <w:lvl>
      <w:numFmt w:val="bullet"/>
      <w:suff w:val="tab"/>
      <w:lvlText w:val="•"/>
      <w:rPr>
        <w:color w:val="3370ff"/>
      </w:rPr>
    </w:lvl>
  </w:abstractNum>
  <w:abstractNum w:abstractNumId="675880">
    <w:lvl>
      <w:numFmt w:val="bullet"/>
      <w:suff w:val="tab"/>
      <w:lvlText w:val="•"/>
      <w:rPr>
        <w:color w:val="3370ff"/>
      </w:rPr>
    </w:lvl>
  </w:abstractNum>
  <w:abstractNum w:abstractNumId="675881">
    <w:lvl>
      <w:numFmt w:val="bullet"/>
      <w:suff w:val="tab"/>
      <w:lvlText w:val="•"/>
      <w:rPr>
        <w:color w:val="3370ff"/>
      </w:rPr>
    </w:lvl>
  </w:abstractNum>
  <w:abstractNum w:abstractNumId="675882">
    <w:lvl>
      <w:numFmt w:val="bullet"/>
      <w:suff w:val="tab"/>
      <w:lvlText w:val="•"/>
      <w:rPr>
        <w:color w:val="3370ff"/>
      </w:rPr>
    </w:lvl>
  </w:abstractNum>
  <w:num w:numId="1">
    <w:abstractNumId w:val="675850"/>
  </w:num>
  <w:num w:numId="2">
    <w:abstractNumId w:val="675851"/>
  </w:num>
  <w:num w:numId="3">
    <w:abstractNumId w:val="675852"/>
  </w:num>
  <w:num w:numId="4">
    <w:abstractNumId w:val="675853"/>
  </w:num>
  <w:num w:numId="5">
    <w:abstractNumId w:val="675854"/>
  </w:num>
  <w:num w:numId="6">
    <w:abstractNumId w:val="675855"/>
  </w:num>
  <w:num w:numId="7">
    <w:abstractNumId w:val="675856"/>
  </w:num>
  <w:num w:numId="8">
    <w:abstractNumId w:val="675857"/>
  </w:num>
  <w:num w:numId="9">
    <w:abstractNumId w:val="675858"/>
  </w:num>
  <w:num w:numId="10">
    <w:abstractNumId w:val="675859"/>
  </w:num>
  <w:num w:numId="11">
    <w:abstractNumId w:val="675860"/>
  </w:num>
  <w:num w:numId="12">
    <w:abstractNumId w:val="675861"/>
  </w:num>
  <w:num w:numId="13">
    <w:abstractNumId w:val="675862"/>
  </w:num>
  <w:num w:numId="14">
    <w:abstractNumId w:val="675863"/>
  </w:num>
  <w:num w:numId="15">
    <w:abstractNumId w:val="675864"/>
  </w:num>
  <w:num w:numId="16">
    <w:abstractNumId w:val="675865"/>
  </w:num>
  <w:num w:numId="17">
    <w:abstractNumId w:val="675866"/>
  </w:num>
  <w:num w:numId="18">
    <w:abstractNumId w:val="675867"/>
  </w:num>
  <w:num w:numId="19">
    <w:abstractNumId w:val="675868"/>
  </w:num>
  <w:num w:numId="20">
    <w:abstractNumId w:val="675869"/>
  </w:num>
  <w:num w:numId="21">
    <w:abstractNumId w:val="675870"/>
  </w:num>
  <w:num w:numId="22">
    <w:abstractNumId w:val="675871"/>
  </w:num>
  <w:num w:numId="23">
    <w:abstractNumId w:val="675872"/>
  </w:num>
  <w:num w:numId="24">
    <w:abstractNumId w:val="675873"/>
  </w:num>
  <w:num w:numId="25">
    <w:abstractNumId w:val="675874"/>
  </w:num>
  <w:num w:numId="26">
    <w:abstractNumId w:val="675875"/>
  </w:num>
  <w:num w:numId="27">
    <w:abstractNumId w:val="675876"/>
  </w:num>
  <w:num w:numId="28">
    <w:abstractNumId w:val="675877"/>
  </w:num>
  <w:num w:numId="29">
    <w:abstractNumId w:val="675878"/>
  </w:num>
  <w:num w:numId="30">
    <w:abstractNumId w:val="675879"/>
  </w:num>
  <w:num w:numId="31">
    <w:abstractNumId w:val="675880"/>
  </w:num>
  <w:num w:numId="32">
    <w:abstractNumId w:val="675881"/>
  </w:num>
  <w:num w:numId="33">
    <w:abstractNumId w:val="6758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2026-04-19T16:06:59Z</dcterms:created>
  <dc:creator>Apache POI</dc:creator>
</cp:coreProperties>
</file>