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企业级电商订单模块（MVP+后期拓展）完整业务流程</w:t>
      </w:r>
      <w:r>
        <w:rPr>
          <w:rFonts w:eastAsia="等线" w:ascii="Arial" w:cs="Arial" w:hAnsi="Arial"/>
          <w:b w:val="true"/>
          <w:sz w:val="52"/>
        </w:rPr>
        <w:t>与边界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本文档整合订单模块 MVP最小可行版本 与 后期拓展完整版 业务，明确各阶段业务流程、职责边界，贴合mallFei微服务架构（与mall-user、mall-auth、商品、购物车、支付、营销等模块协同），兼顾当前落地与后期迭代，可直接用于项目开发、文档归档、面试阐述。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一、订单模块定位（结合微服务拆分·后期完整版）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电商订单模块≠单纯订单创建，是 订单全生命周期管理+支付衔接+库存联动+售后触发+数据统计 的一体化核心交易模块，是整个电商系统的“交易中枢”，承接购物车结算、支付完成、库存扣减、售后发起等核心交易环节，联动全系统多模块实现从下单到完成的完整交易闭环，直接决定交易成功率、用户交易体验及系统运营效率，是电商业务变现的核心载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结合微服务拆分（后期拓展阶段），完整订单模块包含五大核心域，各域独立承载对应业务，同时与mall-auth认证中心、mall-user用户模块、商品模块等协同工作，实现数据与业务分离，保障微服务独立性：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创建域：核心承载订单全流程创建逻辑，包含购物车结算衔接、订单信息组装、订单编号生成、订单状态初始化，负责接收购物车结算数据、关联用户与商品信息，确保订单创建准确、高效，支撑交易入口闭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订单状态管理域：负责订单全生命周期状态流转，包含待支付、已支付、待发货、已发货、待收货、已完成、已取消、退款中、已退款等状态的切换，记录状态变更日志，确保订单状态流转合规、可追溯。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支付衔接域：对接支付模块，负责订单支付逻辑处理，包括支付链接生成、支付状态同步、支付超时处理，支撑多种支付方式（微信、支付宝等），确保支付流程顺畅，实现订单与支付的无缝衔接。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库存与物流联动域：联动商品模块实现订单库存扣减、取消订单库存回补，对接物流模块完成物流信息录入、物流状态同步，支撑订单发货、收货全流程，保障商品流转与订单状态同步。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据与售后衔接域：负责订单数据统计、订单详情查询、订单日志记录，同时对接售后模块，支撑售后申请（退款、退货、换货）的发起与流转，关联订单信息为售后处理提供数据支撑，实现交易与售后的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本订单模块基于微服务拆分设计，核心遵循“数据与业务分离”原则，与上述五大核心域适配，支撑后期拓展完整版业务，与全系统微服务协同高效运行：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订单模块所有接口的鉴权管控，订单模块不负责鉴权逻辑，仅依赖其完成用户（普通用户、运营人员、商家）身份校验与角色权限校验（如运营可查询所有订单、商家仅可查询自身商品相关订单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模块核心：聚焦五大核心域的订单业务落地与数据管理，MVP阶段完成订单创建域、订单状态管理域、支付衔接域、库存与物流联动域的基础业务闭环，后期拓展阶段完善五大核心域全部功能，新增订单拆分、批量操作、异常订单处理等企业级功能，形成完整订单中台能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：接收购物车模块传递的结算数据（商品、规格、数量等），支撑订单创建；向商品模块发送库存扣减、回补请求，保障库存准确性；向支付模块传递订单支付信息，接收支付状态同步；向物流模块传递订单发货信息，接收物流状态同步；向mall-user用户模块请求用户信息、收货地址，支撑订单信息组装；向售后模块传递订单数据，支撑售后处理；向营销模块同步订单完成数据，支撑积分、优惠券核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核心目标：跑通订单主链路，支撑用户从购物车结算、下单支付到收货完成的核心场景，仅保留必备功能，不做冗余拓展（聚焦五大核心域中的基础部分）。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创建：用户从购物车发起结算，经mall-auth鉴权通过后，购物车模块传递结算数据（用户ID、商品列表、规格、数量、价格等）；系统校验用户收货地址合法性、商品库存充足性（再次校验，避免超卖）、商品状态（上架）；校验通过后，生成唯一订单编号，组装订单信息（用户信息、收货地址、商品信息、支付金额、订单状态初始化为“待支付”），保存订单数据，返回订单创建成功结果，跳转至支付页面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支付衔接：订单创建成功后，系统对接支付模块，生成对应支付方式（微信、支付宝）的支付链接/二维码；用户完成支付后，支付模块同步支付状态至订单模块，订单模块将订单状态更新为“已支付”，同步向商品模块发送库存扣减请求（扣减对应商品规格库存），记录支付时间、支付方式，返回支付成功结果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发货：商家/运营人员经mall-auth鉴权+角色校验通过后，查询待发货订单，发起发货操作；系统校验订单状态为“已支付”，录入物流单号（对接物流模块），将订单状态更新为“已发货”，同步向用户发送发货提醒（站内消息），记录发货时间、物流信息，返回发货成功结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收货与完成：用户收到商品后，发起确认收货请求，经mall-auth鉴权通过后，系统将订单状态更新为“已完成”，同步向商家、运营推送订单完成通知；若用户超时未确认收货（如7天），系统自动确认收货，更新订单状态为“已完成”，完成交易闭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取消与库存回补：用户在订单“待支付”状态下，可发起取消订单请求，经鉴权通过后，系统将订单状态更新为“已取消”，同步向商品模块发送库存回补请求（回补对应商品规格库存），记录取消原因、取消时间；支付超时（如30分钟）未支付的订单，系统自动取消，同步回补库存，通知用户订单已取消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查询与详情：用户经鉴权通过后，可查询个人所有订单（支持按订单状态、时间区间筛选），查看订单详情（订单信息、商品信息、支付信息、物流信息、状态变更记录）；运营人员经鉴权通过后，可查询全平台订单（支持分页、手机号、订单编号模糊搜索），查看订单详情，用于订单管理与异常排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在MVP基础上，完善五大核心域全部业务，新增企业级必备功能（订单拆分、异常处理、批量操作、精细化管理），适配多商家、多品类、大规模交易场景，提升交易效率、异常处理能力与运营精细化水平。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新增拓展业务流程（9大核心，覆盖五大核心域）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拆分与合并（订单创建域）：支持多商家商品订单拆分，用户结算多商家商品时，系统自动按商家拆分多个子订单，每个子订单独立结算、支付、发货、售后，主订单关联所有子订单，便于管理；支持同商家多商品订单合并（如用户多次下单同一商家商品，可手动合并为一个订单），提升发货效率，减少物流成本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精细化管理（订单状态管理域）：升级订单状态体系，新增“待发货审核”“部分发货”“待自提”“已自提”“退款中”“已退款”“已拒收”等状态；明确各状态流转规则（如“已发货”可流转至“待收货”“已拒收”），记录每一次状态变更的操作人、操作时间、变更原因，实现订单状态可追溯、可管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支付方式与支付进阶（支付衔接域）：拓展支付方式，支持银行卡支付、花呗支付、分期支付等多种支付方式；新增支付分期功能，用户可选择分期期数，系统计算分期手续费，对接支付模块完成分期支付；支持支付异常处理（如支付失败、支付超时重试），自动触发支付重试机制，同步提醒用户与运营，提升支付成功率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订单处理（订单状态管理域）：新增异常订单管控功能，针对支付失败、库存不足、物流异常、地址错误等异常订单，系统自动标记为“异常订单”，推送提醒给运营人员；运营人员可查看异常原因，进行手动处理（如补扣库存、修改收货地址、取消订单），记录异常处理日志，降低异常订单对交易的影响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精细化联动（库存与物流联动域）：对接主流物流平台（顺丰、中通等），实现物流信息实时同步（物流轨迹、签收状态），用户与运营可实时查看物流详情；支持物流异常预警（如物流停滞、拒收），自动推送预警提醒，运营人员可及时介入处理；支持自提订单管理，用户可选择自提点，商家确认自提后更新订单状态，用户到店自提后完成交易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批量操作（订单数据与售后衔接域）：运营/商家经鉴权通过后，支持订单批量发货、批量取消、批量导出、批量备注；批量操作时校验操作权限与订单状态，执行完成后返回操作结果（成功数量、失败原因），提升运营与商家工作效率；支持订单备注管理，可添加订单备注（如特殊发货要求），备注信息同步展示在订单详情中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据精细化统计（订单数据与售后衔接域）：新增订单数据统计功能，运营人员经鉴权通过后，可查看订单总量、交易金额、支付成功率、发货率、完成率、退款率等核心数据；支持按时间区间、商家、商品分类、用户群体筛选统计数据，生成统计报表（支持导出），为运营决策（营销活动、库存调配）提供数据支撑；支持商家查看自身订单数据，用于经营分析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衔接进阶（订单数据与售后衔接域）：深度对接售后模块，订单完成后，用户可直接发起售后申请（退款、退货、换货），系统自动关联订单信息（商品、支付金额、物流信息），无需用户重复填写；售后处理过程中，同步更新订单状态（如“退款中”“已退款”），售后完成后，记录售后结果，形成订单与售后的完整闭环；支持售后进度查询，用户与运营可实时查看售后处理状态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营销联动（订单创建域）：对接营销模块，实现订单与营销活动的深度联动；订单完成后，自动核销用户使用的优惠券、积分，同步为用户增加成长值、积分；支持订单满赠、满减、返现等营销活动，结算时自动匹配活动规则，计算优惠后金额，提升用户复购意愿；支持订单关联推荐，订单完成后推荐相关商品，引导用户再次下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五、完整业务边界（MVP+拓展通用，贴合五大核心域）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明确订单模块核心职责、内外边界与禁止范围，避免跨域处理业务，保障微服务架构的独立性与可维护性，同时适配五大核心域的业务范围，与全系统微服务协同高效。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五大核心域（订单创建域、订单状态管理域、支付衔接域、库存与物流联动域、订单数据与售后衔接域）的业务落地与数据管理；依托mall-auth认证中心完成用户身份校验与权限管控，联动购物车、商品、支付、物流、售后等模块，实现订单全生命周期管理、支付衔接、库存联动、售后触发等核心业务，保障交易顺畅、数据准确，支撑电商业务变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接收购物车模块传递的结算数据，支撑订单创建；向购物车模块反馈订单创建状态，用于购物车项状态更新；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向商品模块发送库存扣减、回补请求，接收商品库存校验结果，保障库存与订单同步；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向支付模块传递订单支付信息，接收支付状态同步，处理支付相关逻辑（支付超时、支付异常）；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向物流模块传递订单发货信息，接收物流状态同步，支撑物流轨迹展示与异常处理；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向mall-user用户模块请求用户信息、收货地址，用于订单信息组装与校验；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向售后模块传递订单数据，接收售后处理结果，同步更新订单状态；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向营销模块同步订单完成数据、优惠券/积分核销信息，接收营销活动规则，用于订单优惠计算；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不接收商品管理、购物车操作、支付流程、售后处理等非订单相关业务指令，不处理跨域业务逻辑，仅提供数据交互与接口支撑。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对外开放接口：MVP阶段开放订单创建、支付衔接、订单发货、订单取消、订单查询、订单详情接口；后期拓展后，新增订单拆分、批量操作、异常处理、数据统计、售后衔接等接口；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接口访问范围：向C端（H5、APP、小程序）开放用户订单操作接口，向PC运营后台、商家后台开放订单管理、数据统计接口，向系统内微服务（购物车、商品、支付等）开放数据交互接口；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敏感数据保护：不暴露用户隐私信息（完整手机号、身份证号）、支付密码、物流敏感信息、商家核心信息等敏感数据，所有接口返回数据均进行脱敏处理；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鉴权要求：除订单详情查询（本人订单）、公开订单状态查询外，其余所有接口（订单创建、发货、取消、批量操作等）均需通过mall-auth模块的Sa-Token鉴权与角色校验（商家仅可操作自身相关订单）。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不处理商品管理、购物车操作、支付流程（仅衔接支付模块）、售后处理（仅衔接售后模块）、物流配送等非订单相关业务；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不存储商品核心数据、购物车数据、用户完整信息、支付记录、物流详情等非订单类数据，仅存储订单相关数据（订单信息、状态记录、操作日志等）；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不负责登录鉴权、Token会话管理、商品库存修改、支付逻辑处理、售后审核（统一由对应模块承担）；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不允许跨域修改其他领域数据，不接收其他领域的业务指令（仅提供数据交互与支撑）；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不开放敏感数据查询接口，不允许运营人员查看用户个人隐私信息、商家核心数据，不允许修改订单核心业务数据（如支付金额、订单状态历史记录）。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</w:t>
            </w:r>
            <w:r>
              <w:rPr>
                <w:rFonts w:eastAsia="等线" w:ascii="Arial" w:cs="Arial" w:hAnsi="Arial"/>
                <w:sz w:val="22"/>
              </w:rPr>
              <w:t>业务（对应五大核心域）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跑通订单主链路，支撑用户从下单支付到收货完成的</w:t>
            </w:r>
            <w:r>
              <w:rPr>
                <w:rFonts w:eastAsia="等线" w:ascii="Arial" w:cs="Arial" w:hAnsi="Arial"/>
                <w:sz w:val="22"/>
              </w:rPr>
              <w:t>核心场景，保障交易顺畅、数据准确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订单创建域（基础订单创建）、订单状态管理域（基础</w:t>
            </w:r>
            <w:r>
              <w:rPr>
                <w:rFonts w:eastAsia="等线" w:ascii="Arial" w:cs="Arial" w:hAnsi="Arial"/>
                <w:sz w:val="22"/>
              </w:rPr>
              <w:t>状态流转）、支付衔接域（基础支付衔接）、库存与物流联动域</w:t>
            </w:r>
            <w:r>
              <w:rPr>
                <w:rFonts w:eastAsia="等线" w:ascii="Arial" w:cs="Arial" w:hAnsi="Arial"/>
                <w:sz w:val="22"/>
              </w:rPr>
              <w:t>（基础库存扣减与发货）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mall-auth（Sa</w:t>
            </w:r>
            <w:r>
              <w:rPr>
                <w:rFonts w:eastAsia="等线" w:ascii="Arial" w:cs="Arial" w:hAnsi="Arial"/>
                <w:sz w:val="22"/>
              </w:rPr>
              <w:t>-Token鉴权、角色校验）、mall-user（用户信息支撑）、商品</w:t>
            </w:r>
            <w:r>
              <w:rPr>
                <w:rFonts w:eastAsia="等线" w:ascii="Arial" w:cs="Arial" w:hAnsi="Arial"/>
                <w:sz w:val="22"/>
              </w:rPr>
              <w:t>模块、购物车模块、支付模块、物流模块（基础接口）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</w:t>
            </w:r>
            <w:r>
              <w:rPr>
                <w:rFonts w:eastAsia="等线" w:ascii="Arial" w:cs="Arial" w:hAnsi="Arial"/>
                <w:sz w:val="22"/>
              </w:rPr>
              <w:t>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升级为企业级订单中台，满足多商家</w:t>
            </w:r>
            <w:r>
              <w:rPr>
                <w:rFonts w:eastAsia="等线" w:ascii="Arial" w:cs="Arial" w:hAnsi="Arial"/>
                <w:sz w:val="22"/>
              </w:rPr>
              <w:t>、大规模交易、精细化运营需求，完善五大核心域</w:t>
            </w:r>
            <w:r>
              <w:rPr>
                <w:rFonts w:eastAsia="等线" w:ascii="Arial" w:cs="Arial" w:hAnsi="Arial"/>
                <w:sz w:val="22"/>
              </w:rPr>
              <w:t>，提升异常处理能力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五大核心域全部业务（订单</w:t>
            </w:r>
            <w:r>
              <w:rPr>
                <w:rFonts w:eastAsia="等线" w:ascii="Arial" w:cs="Arial" w:hAnsi="Arial"/>
                <w:sz w:val="22"/>
              </w:rPr>
              <w:t>拆分、状态精细化、多支付方式、异常处理、批量操作、数据统计、</w:t>
            </w:r>
            <w:r>
              <w:rPr>
                <w:rFonts w:eastAsia="等线" w:ascii="Arial" w:cs="Arial" w:hAnsi="Arial"/>
                <w:sz w:val="22"/>
              </w:rPr>
              <w:t>售后衔接进阶等）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mall-auth（精细化鉴权）</w:t>
            </w:r>
            <w:r>
              <w:rPr>
                <w:rFonts w:eastAsia="等线" w:ascii="Arial" w:cs="Arial" w:hAnsi="Arial"/>
                <w:sz w:val="22"/>
              </w:rPr>
              <w:t>、mall-user、商品模块、购物车模块、支付模块、物流模块、售后</w:t>
            </w:r>
            <w:r>
              <w:rPr>
                <w:rFonts w:eastAsia="等线" w:ascii="Arial" w:cs="Arial" w:hAnsi="Arial"/>
                <w:sz w:val="22"/>
              </w:rPr>
              <w:t>模块、营销模块、消息服务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808">
    <w:lvl>
      <w:start w:val="1"/>
      <w:numFmt w:val="decimal"/>
      <w:suff w:val="tab"/>
      <w:lvlText w:val="%1."/>
      <w:rPr>
        <w:color w:val="3370ff"/>
      </w:rPr>
    </w:lvl>
  </w:abstractNum>
  <w:abstractNum w:abstractNumId="167809">
    <w:lvl>
      <w:start w:val="2"/>
      <w:numFmt w:val="decimal"/>
      <w:suff w:val="tab"/>
      <w:lvlText w:val="%1."/>
      <w:rPr>
        <w:color w:val="3370ff"/>
      </w:rPr>
    </w:lvl>
  </w:abstractNum>
  <w:abstractNum w:abstractNumId="167810">
    <w:lvl>
      <w:start w:val="3"/>
      <w:numFmt w:val="decimal"/>
      <w:suff w:val="tab"/>
      <w:lvlText w:val="%1."/>
      <w:rPr>
        <w:color w:val="3370ff"/>
      </w:rPr>
    </w:lvl>
  </w:abstractNum>
  <w:abstractNum w:abstractNumId="167811">
    <w:lvl>
      <w:start w:val="4"/>
      <w:numFmt w:val="decimal"/>
      <w:suff w:val="tab"/>
      <w:lvlText w:val="%1."/>
      <w:rPr>
        <w:color w:val="3370ff"/>
      </w:rPr>
    </w:lvl>
  </w:abstractNum>
  <w:abstractNum w:abstractNumId="167812">
    <w:lvl>
      <w:start w:val="5"/>
      <w:numFmt w:val="decimal"/>
      <w:suff w:val="tab"/>
      <w:lvlText w:val="%1."/>
      <w:rPr>
        <w:color w:val="3370ff"/>
      </w:rPr>
    </w:lvl>
  </w:abstractNum>
  <w:abstractNum w:abstractNumId="167813">
    <w:lvl>
      <w:numFmt w:val="bullet"/>
      <w:suff w:val="tab"/>
      <w:lvlText w:val="•"/>
      <w:rPr>
        <w:color w:val="3370ff"/>
      </w:rPr>
    </w:lvl>
  </w:abstractNum>
  <w:abstractNum w:abstractNumId="167814">
    <w:lvl>
      <w:numFmt w:val="bullet"/>
      <w:suff w:val="tab"/>
      <w:lvlText w:val="•"/>
      <w:rPr>
        <w:color w:val="3370ff"/>
      </w:rPr>
    </w:lvl>
  </w:abstractNum>
  <w:abstractNum w:abstractNumId="167815">
    <w:lvl>
      <w:numFmt w:val="bullet"/>
      <w:suff w:val="tab"/>
      <w:lvlText w:val="•"/>
      <w:rPr>
        <w:color w:val="3370ff"/>
      </w:rPr>
    </w:lvl>
  </w:abstractNum>
  <w:abstractNum w:abstractNumId="167816">
    <w:lvl>
      <w:start w:val="1"/>
      <w:numFmt w:val="decimal"/>
      <w:suff w:val="tab"/>
      <w:lvlText w:val="%1."/>
      <w:rPr>
        <w:color w:val="3370ff"/>
      </w:rPr>
    </w:lvl>
  </w:abstractNum>
  <w:abstractNum w:abstractNumId="167817">
    <w:lvl>
      <w:start w:val="2"/>
      <w:numFmt w:val="decimal"/>
      <w:suff w:val="tab"/>
      <w:lvlText w:val="%1."/>
      <w:rPr>
        <w:color w:val="3370ff"/>
      </w:rPr>
    </w:lvl>
  </w:abstractNum>
  <w:abstractNum w:abstractNumId="167818">
    <w:lvl>
      <w:start w:val="3"/>
      <w:numFmt w:val="decimal"/>
      <w:suff w:val="tab"/>
      <w:lvlText w:val="%1."/>
      <w:rPr>
        <w:color w:val="3370ff"/>
      </w:rPr>
    </w:lvl>
  </w:abstractNum>
  <w:abstractNum w:abstractNumId="167819">
    <w:lvl>
      <w:start w:val="4"/>
      <w:numFmt w:val="decimal"/>
      <w:suff w:val="tab"/>
      <w:lvlText w:val="%1."/>
      <w:rPr>
        <w:color w:val="3370ff"/>
      </w:rPr>
    </w:lvl>
  </w:abstractNum>
  <w:abstractNum w:abstractNumId="167820">
    <w:lvl>
      <w:start w:val="5"/>
      <w:numFmt w:val="decimal"/>
      <w:suff w:val="tab"/>
      <w:lvlText w:val="%1."/>
      <w:rPr>
        <w:color w:val="3370ff"/>
      </w:rPr>
    </w:lvl>
  </w:abstractNum>
  <w:abstractNum w:abstractNumId="167821">
    <w:lvl>
      <w:start w:val="6"/>
      <w:numFmt w:val="decimal"/>
      <w:suff w:val="tab"/>
      <w:lvlText w:val="%1."/>
      <w:rPr>
        <w:color w:val="3370ff"/>
      </w:rPr>
    </w:lvl>
  </w:abstractNum>
  <w:abstractNum w:abstractNumId="167822">
    <w:lvl>
      <w:start w:val="1"/>
      <w:numFmt w:val="decimal"/>
      <w:suff w:val="tab"/>
      <w:lvlText w:val="%1."/>
      <w:rPr>
        <w:color w:val="3370ff"/>
      </w:rPr>
    </w:lvl>
  </w:abstractNum>
  <w:abstractNum w:abstractNumId="167823">
    <w:lvl>
      <w:start w:val="2"/>
      <w:numFmt w:val="decimal"/>
      <w:suff w:val="tab"/>
      <w:lvlText w:val="%1."/>
      <w:rPr>
        <w:color w:val="3370ff"/>
      </w:rPr>
    </w:lvl>
  </w:abstractNum>
  <w:abstractNum w:abstractNumId="167824">
    <w:lvl>
      <w:start w:val="3"/>
      <w:numFmt w:val="decimal"/>
      <w:suff w:val="tab"/>
      <w:lvlText w:val="%1."/>
      <w:rPr>
        <w:color w:val="3370ff"/>
      </w:rPr>
    </w:lvl>
  </w:abstractNum>
  <w:abstractNum w:abstractNumId="167825">
    <w:lvl>
      <w:start w:val="4"/>
      <w:numFmt w:val="decimal"/>
      <w:suff w:val="tab"/>
      <w:lvlText w:val="%1."/>
      <w:rPr>
        <w:color w:val="3370ff"/>
      </w:rPr>
    </w:lvl>
  </w:abstractNum>
  <w:abstractNum w:abstractNumId="167826">
    <w:lvl>
      <w:start w:val="5"/>
      <w:numFmt w:val="decimal"/>
      <w:suff w:val="tab"/>
      <w:lvlText w:val="%1."/>
      <w:rPr>
        <w:color w:val="3370ff"/>
      </w:rPr>
    </w:lvl>
  </w:abstractNum>
  <w:abstractNum w:abstractNumId="167827">
    <w:lvl>
      <w:start w:val="6"/>
      <w:numFmt w:val="decimal"/>
      <w:suff w:val="tab"/>
      <w:lvlText w:val="%1."/>
      <w:rPr>
        <w:color w:val="3370ff"/>
      </w:rPr>
    </w:lvl>
  </w:abstractNum>
  <w:abstractNum w:abstractNumId="167828">
    <w:lvl>
      <w:start w:val="7"/>
      <w:numFmt w:val="decimal"/>
      <w:suff w:val="tab"/>
      <w:lvlText w:val="%1."/>
      <w:rPr>
        <w:color w:val="3370ff"/>
      </w:rPr>
    </w:lvl>
  </w:abstractNum>
  <w:abstractNum w:abstractNumId="167829">
    <w:lvl>
      <w:start w:val="8"/>
      <w:numFmt w:val="decimal"/>
      <w:suff w:val="tab"/>
      <w:lvlText w:val="%1."/>
      <w:rPr>
        <w:color w:val="3370ff"/>
      </w:rPr>
    </w:lvl>
  </w:abstractNum>
  <w:abstractNum w:abstractNumId="167830">
    <w:lvl>
      <w:start w:val="9"/>
      <w:numFmt w:val="decimal"/>
      <w:suff w:val="tab"/>
      <w:lvlText w:val="%1."/>
      <w:rPr>
        <w:color w:val="3370ff"/>
      </w:rPr>
    </w:lvl>
  </w:abstractNum>
  <w:abstractNum w:abstractNumId="167831">
    <w:lvl>
      <w:numFmt w:val="bullet"/>
      <w:suff w:val="tab"/>
      <w:lvlText w:val="•"/>
      <w:rPr>
        <w:color w:val="3370ff"/>
      </w:rPr>
    </w:lvl>
  </w:abstractNum>
  <w:abstractNum w:abstractNumId="167832">
    <w:lvl>
      <w:numFmt w:val="bullet"/>
      <w:suff w:val="tab"/>
      <w:lvlText w:val="•"/>
      <w:rPr>
        <w:color w:val="3370ff"/>
      </w:rPr>
    </w:lvl>
  </w:abstractNum>
  <w:abstractNum w:abstractNumId="167833">
    <w:lvl>
      <w:numFmt w:val="bullet"/>
      <w:suff w:val="tab"/>
      <w:lvlText w:val="•"/>
      <w:rPr>
        <w:color w:val="3370ff"/>
      </w:rPr>
    </w:lvl>
  </w:abstractNum>
  <w:abstractNum w:abstractNumId="167834">
    <w:lvl>
      <w:numFmt w:val="bullet"/>
      <w:suff w:val="tab"/>
      <w:lvlText w:val="•"/>
      <w:rPr>
        <w:color w:val="3370ff"/>
      </w:rPr>
    </w:lvl>
  </w:abstractNum>
  <w:abstractNum w:abstractNumId="167835">
    <w:lvl>
      <w:numFmt w:val="bullet"/>
      <w:suff w:val="tab"/>
      <w:lvlText w:val="•"/>
      <w:rPr>
        <w:color w:val="3370ff"/>
      </w:rPr>
    </w:lvl>
  </w:abstractNum>
  <w:abstractNum w:abstractNumId="167836">
    <w:lvl>
      <w:numFmt w:val="bullet"/>
      <w:suff w:val="tab"/>
      <w:lvlText w:val="•"/>
      <w:rPr>
        <w:color w:val="3370ff"/>
      </w:rPr>
    </w:lvl>
  </w:abstractNum>
  <w:abstractNum w:abstractNumId="167837">
    <w:lvl>
      <w:numFmt w:val="bullet"/>
      <w:suff w:val="tab"/>
      <w:lvlText w:val="•"/>
      <w:rPr>
        <w:color w:val="3370ff"/>
      </w:rPr>
    </w:lvl>
  </w:abstractNum>
  <w:abstractNum w:abstractNumId="167838">
    <w:lvl>
      <w:numFmt w:val="bullet"/>
      <w:suff w:val="tab"/>
      <w:lvlText w:val="•"/>
      <w:rPr>
        <w:color w:val="3370ff"/>
      </w:rPr>
    </w:lvl>
  </w:abstractNum>
  <w:abstractNum w:abstractNumId="167839">
    <w:lvl>
      <w:numFmt w:val="bullet"/>
      <w:suff w:val="tab"/>
      <w:lvlText w:val="•"/>
      <w:rPr>
        <w:color w:val="3370ff"/>
      </w:rPr>
    </w:lvl>
  </w:abstractNum>
  <w:abstractNum w:abstractNumId="167840">
    <w:lvl>
      <w:numFmt w:val="bullet"/>
      <w:suff w:val="tab"/>
      <w:lvlText w:val="•"/>
      <w:rPr>
        <w:color w:val="3370ff"/>
      </w:rPr>
    </w:lvl>
  </w:abstractNum>
  <w:abstractNum w:abstractNumId="167841">
    <w:lvl>
      <w:numFmt w:val="bullet"/>
      <w:suff w:val="tab"/>
      <w:lvlText w:val="•"/>
      <w:rPr>
        <w:color w:val="3370ff"/>
      </w:rPr>
    </w:lvl>
  </w:abstractNum>
  <w:abstractNum w:abstractNumId="167842">
    <w:lvl>
      <w:numFmt w:val="bullet"/>
      <w:suff w:val="tab"/>
      <w:lvlText w:val="•"/>
      <w:rPr>
        <w:color w:val="3370ff"/>
      </w:rPr>
    </w:lvl>
  </w:abstractNum>
  <w:abstractNum w:abstractNumId="167843">
    <w:lvl>
      <w:numFmt w:val="bullet"/>
      <w:suff w:val="tab"/>
      <w:lvlText w:val="•"/>
      <w:rPr>
        <w:color w:val="3370ff"/>
      </w:rPr>
    </w:lvl>
  </w:abstractNum>
  <w:abstractNum w:abstractNumId="167844">
    <w:lvl>
      <w:numFmt w:val="bullet"/>
      <w:suff w:val="tab"/>
      <w:lvlText w:val="•"/>
      <w:rPr>
        <w:color w:val="3370ff"/>
      </w:rPr>
    </w:lvl>
  </w:abstractNum>
  <w:abstractNum w:abstractNumId="167845">
    <w:lvl>
      <w:numFmt w:val="bullet"/>
      <w:suff w:val="tab"/>
      <w:lvlText w:val="•"/>
      <w:rPr>
        <w:color w:val="3370ff"/>
      </w:rPr>
    </w:lvl>
  </w:abstractNum>
  <w:abstractNum w:abstractNumId="167846">
    <w:lvl>
      <w:numFmt w:val="bullet"/>
      <w:suff w:val="tab"/>
      <w:lvlText w:val="•"/>
      <w:rPr>
        <w:color w:val="3370ff"/>
      </w:rPr>
    </w:lvl>
  </w:abstractNum>
  <w:abstractNum w:abstractNumId="167847">
    <w:lvl>
      <w:numFmt w:val="bullet"/>
      <w:suff w:val="tab"/>
      <w:lvlText w:val="•"/>
      <w:rPr>
        <w:color w:val="3370ff"/>
      </w:rPr>
    </w:lvl>
  </w:abstractNum>
  <w:num w:numId="1">
    <w:abstractNumId w:val="167808"/>
  </w:num>
  <w:num w:numId="2">
    <w:abstractNumId w:val="167809"/>
  </w:num>
  <w:num w:numId="3">
    <w:abstractNumId w:val="167810"/>
  </w:num>
  <w:num w:numId="4">
    <w:abstractNumId w:val="167811"/>
  </w:num>
  <w:num w:numId="5">
    <w:abstractNumId w:val="167812"/>
  </w:num>
  <w:num w:numId="6">
    <w:abstractNumId w:val="167813"/>
  </w:num>
  <w:num w:numId="7">
    <w:abstractNumId w:val="167814"/>
  </w:num>
  <w:num w:numId="8">
    <w:abstractNumId w:val="167815"/>
  </w:num>
  <w:num w:numId="9">
    <w:abstractNumId w:val="167816"/>
  </w:num>
  <w:num w:numId="10">
    <w:abstractNumId w:val="167817"/>
  </w:num>
  <w:num w:numId="11">
    <w:abstractNumId w:val="167818"/>
  </w:num>
  <w:num w:numId="12">
    <w:abstractNumId w:val="167819"/>
  </w:num>
  <w:num w:numId="13">
    <w:abstractNumId w:val="167820"/>
  </w:num>
  <w:num w:numId="14">
    <w:abstractNumId w:val="167821"/>
  </w:num>
  <w:num w:numId="15">
    <w:abstractNumId w:val="167822"/>
  </w:num>
  <w:num w:numId="16">
    <w:abstractNumId w:val="167823"/>
  </w:num>
  <w:num w:numId="17">
    <w:abstractNumId w:val="167824"/>
  </w:num>
  <w:num w:numId="18">
    <w:abstractNumId w:val="167825"/>
  </w:num>
  <w:num w:numId="19">
    <w:abstractNumId w:val="167826"/>
  </w:num>
  <w:num w:numId="20">
    <w:abstractNumId w:val="167827"/>
  </w:num>
  <w:num w:numId="21">
    <w:abstractNumId w:val="167828"/>
  </w:num>
  <w:num w:numId="22">
    <w:abstractNumId w:val="167829"/>
  </w:num>
  <w:num w:numId="23">
    <w:abstractNumId w:val="167830"/>
  </w:num>
  <w:num w:numId="24">
    <w:abstractNumId w:val="167831"/>
  </w:num>
  <w:num w:numId="25">
    <w:abstractNumId w:val="167832"/>
  </w:num>
  <w:num w:numId="26">
    <w:abstractNumId w:val="167833"/>
  </w:num>
  <w:num w:numId="27">
    <w:abstractNumId w:val="167834"/>
  </w:num>
  <w:num w:numId="28">
    <w:abstractNumId w:val="167835"/>
  </w:num>
  <w:num w:numId="29">
    <w:abstractNumId w:val="167836"/>
  </w:num>
  <w:num w:numId="30">
    <w:abstractNumId w:val="167837"/>
  </w:num>
  <w:num w:numId="31">
    <w:abstractNumId w:val="167838"/>
  </w:num>
  <w:num w:numId="32">
    <w:abstractNumId w:val="167839"/>
  </w:num>
  <w:num w:numId="33">
    <w:abstractNumId w:val="167840"/>
  </w:num>
  <w:num w:numId="34">
    <w:abstractNumId w:val="167841"/>
  </w:num>
  <w:num w:numId="35">
    <w:abstractNumId w:val="167842"/>
  </w:num>
  <w:num w:numId="36">
    <w:abstractNumId w:val="167843"/>
  </w:num>
  <w:num w:numId="37">
    <w:abstractNumId w:val="167844"/>
  </w:num>
  <w:num w:numId="38">
    <w:abstractNumId w:val="167845"/>
  </w:num>
  <w:num w:numId="39">
    <w:abstractNumId w:val="167846"/>
  </w:num>
  <w:num w:numId="40">
    <w:abstractNumId w:val="1678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2026-04-23T20:05:26Z</dcterms:created>
  <dc:creator>Apache POI</dc:creator>
</cp:coreProperties>
</file>