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企业级电商支付模块（MVP+后期拓展）完整业务流程与边界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本文档整合支付模块 MVP最小可行版本 与 后期拓展完整版 业务，明确各阶段业务流程、职责边界，贴合mallFei微服务架构（与mall-user、mall-auth、商品、购物车、订单、售后等模块协同），兼顾当前落地与后期迭代，可直接用于项目开发、文档归档、面试阐述。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一、支付模块定位（结合微服务拆分·后期完整版）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电商支付模块≠单纯支付跳转，是 支付全流程处理+资金管控+风控防护+对账结算+退款处理 的一体化核心资金枢纽，是整个电商系统的“收银台”，承接订单支付发起、支付过程管控、支付结果同步、资金对账、退款流转等核心资金环节，联动全系统多模块实现从订单支付到资金到账、退款闭环的完整资金流转，直接决定交易资金安全、支付成功率及用户支付体验，是电商业务变现的核心资金保障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微服务拆分（后期拓展阶段），完整支付模块包含五大核心域，各域独立承载对应业务，同时与mall-auth认证中心、mall-user用户模块、订单模块等协同工作，实现数据与业务分离，保障微服务独立性，兼顾资金安全与操作便捷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发起域：核心承载支付请求的接收与处理，包含订单支付衔接、支付方式选择、支付参数组装、支付链接/二维码生成，负责接收订单模块传递的支付信息，适配不同支付渠道，确保支付请求准确发起，支撑支付入口闭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状态管控域：负责支付全流程状态流转，包含待支付、支付中、支付成功、支付失败、支付超时、支付取消等状态的切换，同步支付状态至订单、售后等关联模块，记录状态变更日志，确保支付状态流转合规、可追溯，规避支付状态异常导致的资金风险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风控域：负责支付全流程风险防控，包含交易反欺诈、支付密码校验、异常支付拦截、支付限额管控，对接第三方风控接口与自身风控规则，拦截恶意支付、盗刷等风险行为，保障交易资金安全，降低资金损失，这是支付模块的核心安全保障环节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账结算域：负责支付资金对账与结算管理，包含第三方支付渠道对账、平台内部对账、资金结算（商家结算、平台佣金扣减）、对账异常处理，确保支付资金与订单金额一致，实现资金清晰可查、精准结算，贴合财务对账需求，避免资金账实不符问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处理域：对接售后模块与订单模块，负责退款全流程处理，包含退款申请接收、退款参数校验、退款请求发起、退款状态同步、退款资金返还，支撑全额退款、部分退款、售后退款等场景，实现支付与退款的完整闭环，保障用户退款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二、整体架构说明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本支付模块基于微服务拆分设计，核心遵循“数据与业务分离、安全优先”原则，与上述五大核心域适配，支撑后期拓展完整版业务，与全系统微服务协同高效运行，同时保障资金安全与支付流畅性：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-auth认证中心：独立承担支付模块所有接口的鉴权管控，支付模块不负责鉴权逻辑，仅依赖其完成用户（普通用户、运营人员、商家、财务人员）身份校验与角色权限校验（如财务可查看对账数据、商家可查看自身结算数据、运营可处理支付异常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模块核心：聚焦五大核心域的支付业务落地与数据管理，MVP阶段完成支付发起域、支付状态管控域、退款处理域的基础业务闭环，后期拓展阶段完善五大核心域全部功能，新增多支付渠道适配、风控进阶、精细化对账、批量结算等企业级功能，形成完整支付中台能力，适配多场景资金流转需求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系统协同：接收订单模块传递的支付信息（订单ID、支付金额、用户信息等），支撑支付发起；向订单模块同步支付状态、支付结果，支撑订单状态更新；接收售后模块传递的退款请求（订单ID、退款金额、退款原因等），支撑退款处理；向售后模块同步退款状态，支撑售后闭环；向mall-user用户模块请求用户信息、支付偏好，支撑支付个性化适配；向商品模块同步支付成功信息，辅助库存确认；对接第三方支付渠道（微信、支付宝、银联等），实现支付请求转发与结果同步；向财务模块传递对账、结算数据，支撑财务记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三、MVP阶段业务流程（当前落地核心）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核心目标：跑通支付主链路，支撑用户从订单支付、支付结果同步到基础退款的核心场景，仅保留必备功能，不做冗余拓展（聚焦五大核心域中的基础部分），优先保障支付安全与流程顺畅。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核心业务流程（6大必备）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发起：用户在订单确认页发起支付，经mall-auth鉴权通过后，订单模块向支付模块传递支付信息（订单ID、支付金额、用户ID、商品信息、支付方式偏好）；系统校验支付信息合法性（支付金额非负、订单状态为待支付、用户信息有效）；校验通过后，根据用户选择的支付方式（微信、支付宝），组装支付参数，调用对应第三方支付渠道接口，生成支付链接/二维码，返回支付入口，引导用户完成支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状态同步：用户完成支付后，第三方支付渠道向支付模块推送支付成功通知，支付模块校验通知合法性（签名校验、订单信息匹配）；校验通过后，将支付状态更新为“支付成功”，同步记录支付时间、支付方式、支付流水号，立即向订单模块推送支付成功结果，支撑订单状态更新为“已支付”；若支付失败（如余额不足、用户取消），同步更新支付状态为“支付失败”，推送结果至订单模块，允许用户重新发起支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超时处理：用户发起支付后，若超过规定时间（如30分钟）未完成支付，系统自动将支付状态更新为“支付超时”，同步推送超时结果至订单模块；订单模块根据超时结果，自动取消订单并回补库存，支付模块记录超时日志，通知用户支付超时，引导用户重新下单支付，避免订单与支付状态不一致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退款处理：用户在订单未发货状态下发起退款（或售后模块发起退款请求），经mall-auth鉴权通过后，支付模块接收退款请求（订单ID、退款金额、退款原因）；校验退款合法性（订单已支付、退款金额不超过支付金额、退款状态正常）；校验通过后，调用第三方支付渠道退款接口，发起退款请求，同步更新退款状态为“退款中”；第三方退款成功后，更新退款状态为“退款成功”，同步推送结果至订单、售后模块，通知用户退款到账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记录查询：用户经鉴权通过后，可查询个人所有支付记录（支持按订单ID、时间区间、支付状态筛选），查看支付详情（支付金额、支付方式、支付时间、支付流水号、订单信息）；运营人员经鉴权通过后，可查询全平台支付记录（支持分页、手机号、订单编号模糊搜索），查看支付详情，用于支付异常排查与管理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对账：每日固定时间，系统自动对接第三方支付渠道，获取当日支付流水，与平台内部支付记录进行基础对账（匹配订单ID、支付金额、支付流水号）；对账一致则完成当日对账，记录对账日志；对账不一致（如金额不匹配、流水缺失），标记为对账异常，推送提醒给运营/财务人员，手动排查处理，确保资金账实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四、后期拓展完整版业务流程（企业级升级）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VP基础上，完善五大核心域全部业务，新增企业级必备功能（多支付渠道、风控进阶、精细化对账、批量结算），适配多支付场景、多商家结算、精细化风控需求，提升支付成功率、资金安全性与运营效率，贴合企业级资金管理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新增拓展业务流程（9大核心，覆盖五大核心域）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支付渠道适配（支付发起域）：拓展支付渠道，新增银联支付、银行卡支付、花呗支付、分期支付、货到付款等多种支付方式，适配不同用户支付偏好；支持支付渠道动态配置（新增、禁用、排序），运营人员可根据业务需求调整支付渠道展示顺序；支持支付方式智能推荐，根据用户历史支付习惯、订单金额，推荐最优支付方式，提升支付转化率，同时适配不同场景下的支付需求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风控进阶（支付风控域）：升级风控能力，新增多维度风控规则（用户行为风控、设备风控、交易金额风控、地域风控），对接第三方反欺诈接口，实时拦截盗刷、恶意支付、刷单等异常交易；支持风控规则动态配置（新增、修改、禁用），可根据业务风险情况调整风控阈值；新增风控预警功能，异常交易触发预警，推送提醒给运营人员，手动介入处理；支持支付密码、短信验证、人脸识别等多因子验证，提升支付安全性，尤其针对大额支付场景强化验证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个性化与便捷化（支付发起域）：新增支付偏好设置，用户可设置常用支付方式、默认支付渠道，保存支付账号（脱敏存储），下次支付无需重复选择；支持免密支付（小额支付），用户授权后，小额订单可自动完成支付，提升支付便捷性；支持支付备注，用户可添加支付备注（如订单用途），便于后续查询与对账；支持跨端支付同步，用户在某一端发起支付，可在其他端继续完成支付，提升用户体验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细化对账与异常处理（对账结算域）：升级对账能力，支持多维度对账（按支付渠道、按商家、按时间区间、按订单类型），生成精细化对账报表（支持导出）；新增对账异常分类处理（金额不符、流水缺失、重复支付），针对不同异常类型，提供标准化处理流程，运营/财务人员可快速排查处理；支持对账日志精细化记录，包含对账时间、对账结果、异常原因、处理人、处理时间，实现对账可追溯；对接财务模块，自动同步对账数据，支撑财务记账与审计，贴合企业财务管控需求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结算与佣金管理（对账结算域）：新增商家结算功能，系统根据结算规则（如按月结算、按订单结算），自动计算商家应结算金额（扣除平台佣金、手续费）；支持结算周期自定义，运营人员可设置不同商家的结算周期；支持结算报表生成，商家可查看自身结算数据（结算金额、佣金、手续费、结算时间），运营/财务人员可查看全平台商家结算数据；支持批量结算，提升结算效率，结算完成后，自动向商家推送结算通知，同步更新结算状态，同时记录结算日志，确保结算透明可查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精细化处理（退款处理域）：升级退款能力，支持部分退款、全额退款、售后退货退款、超时未发货自动退款等多种退款场景；支持退款原因分类管理，运营人员可查看退款原因统计，用于业务优化；新增退款审核流程，大额退款（如超过5000元）需经运营/财务人员审核通过后，方可发起退款，降低退款风险；支持退款进度查询，用户、运营、商家可实时查看退款状态（退款中、审核中、退款成功、退款失败），退款失败时，标注失败原因，引导用户重新发起退款；支持退款资金原路返还，确保退款资金准确返还至用户原支付账户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异常精细化处理（支付状态管控域）：新增支付异常分类管理（支付失败、支付超时、重复支付、支付卡顿），针对不同异常类型，提供自动化处理方案（如重复支付自动退款、支付卡顿自动重试）；支持支付异常手动处理，运营人员可查看异常支付详情，手动发起支付重试、取消支付、退款等操作；新增支付异常统计，运营人员可查看异常支付率、异常类型分布，用于优化支付流程，提升支付成功率，避免因支付异常导致的用户流失与资金风险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数据精细化统计（全域联动）：新增支付数据统计功能，运营人员经鉴权通过后，可查看支付总量、支付金额、支付成功率、各支付渠道使用率、退款率、异常支付率等核心数据；支持按时间区间、用户群体、商家、商品分类筛选统计数据，生成统计报表（支持导出），为运营决策（支付渠道优化、风控规则调整、营销活动）提供数据支撑；支持财务人员查看资金流水统计，用于资金管控与审计；支持商家查看自身支付数据，用于经营分析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合规管控（全域联动）：新增支付合规校验，对接国家支付监管要求，确保支付流程、资金流转、数据存储符合合规标准；支持支付流水、对账记录、退款记录长期留存（满足监管留存要求），可随时查询导出；新增合规审计功能，运营/财务人员可发起合规审计，生成审计报表，支撑监管检查；针对违规支付行为（如洗钱、盗刷），自动拦截并上报，确保支付业务合规运营，规避监管风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五、完整业务边界（MVP+拓展通用，贴合五大核心域）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明确支付模块核心职责、内外边界与禁止范围，避免跨域处理业务，保障微服务架构的独立性与可维护性，同时适配五大核心域的业务范围，与全系统微服务协同高效，兼顾资金安全与业务合规。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5.1 核心职责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五大核心域（支付发起域、支付状态管控域、支付风控域、对账结算域、退款处理域）的业务落地与数据管理；依托mall-auth认证中心完成用户身份校验与权限管控，联动订单、售后、商品、用户、财务等模块，实现支付发起、支付状态同步、风控防护、对账结算、退款处理等核心业务，保障交易资金安全、支付流程顺畅、资金账实一致，支撑电商业务资金流转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5.2 对内边界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接收订单模块传递的支付信息，支撑支付发起；向订单模块同步支付状态、支付结果、退款状态，支撑订单状态更新；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接收售后模块传递的退款请求、退款原因，支撑退款处理；向售后模块同步退款状态、退款结果，支撑售后闭环；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向mall-user用户模块请求用户信息、支付偏好，用于支付个性化适配与身份校验；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向商品模块同步支付成功信息，辅助商品库存确认（避免支付成功后库存异常）；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向财务模块传递支付流水、对账数据、结算数据，支撑财务记账、审计与资金管控；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对接第三方支付渠道，接收支付结果通知，发起支付、退款请求，同步支付渠道流水数据；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不接收订单创建、商品管理、购物车操作、售后审核等非支付相关业务指令，不处理跨域业务逻辑，仅提供数据交互与接口支撑。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对外边界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对外开放接口：MVP阶段开放支付发起、支付状态查询、退款发起、退款状态查询、支付记录查询、基础对账接口；后期拓展后，新增多支付渠道适配、风控配置、精细化对账、批量结算、支付数据统计等接口；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访问范围：向C端（H5、APP、小程序）开放用户支付操作、支付记录查询接口，向PC运营后台、商家后台、财务后台开放支付管理、对账、结算、退款处理接口，向系统内微服务（订单、售后、商品等）开放数据交互接口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不暴露用户支付密码、完整银行卡号、支付账号密钥、商家结算账户完整信息等敏感数据，所有接口返回数据均进行脱敏处理（如银行卡号隐藏中间8位）；严格保护支付流水、对账数据等核心资金数据，防止数据泄露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要求：除支付状态公开查询、支付入口展示外，其余所有接口（支付发起、退款、对账、结算、风控配置等）均需通过mall-auth模块的Sa-Token鉴权与角色校验（商家仅可操作自身相关支付、结算数据，财务仅可查看对账、结算数据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5.4 禁止范围</w:t>
      </w:r>
      <w:bookmarkEnd w:id="10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不处理订单创建、商品管理、购物车操作、售后审核、物流配送等非支付相关业务；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不存储订单核心数据、商品数据、用户完整信息、售后数据等非支付类数据，仅存储支付相关数据（支付记录、支付流水、对账数据、退款记录、结算数据等）；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不负责登录鉴权、Token会话管理、订单状态修改、售后审核、商品库存修改（统一由对应模块承担）；不直接处理资金留存、资金转账（仅对接第三方支付渠道与财务模块，由其处理资金流转）；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不允许跨域修改其他领域数据，不接收其他领域的业务指令（仅提供数据交互与支撑）；不允许未经鉴权的接口访问，严格管控敏感数据查询权限；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不开放敏感数据查询接口，不允许运营人员查看用户支付密码、完整支付账号、商家完整结算账户信息，不允许修改支付核心业务数据（如支付金额、支付流水、对账结果）。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六、阶段迭代说明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关键业务（对应五大核心域）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跑通支付主链路，</w:t>
            </w:r>
            <w:r>
              <w:rPr>
                <w:rFonts w:eastAsia="等线" w:ascii="Arial" w:cs="Arial" w:hAnsi="Arial"/>
                <w:sz w:val="22"/>
              </w:rPr>
              <w:t>支撑用户从订单支付到基础退款的核心场景，保障支付安全、流程顺畅</w:t>
            </w:r>
            <w:r>
              <w:rPr>
                <w:rFonts w:eastAsia="等线" w:ascii="Arial" w:cs="Arial" w:hAnsi="Arial"/>
                <w:sz w:val="22"/>
              </w:rPr>
              <w:t>，实现基础对账，规避核心资金风险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支付发起域（基础支付发起、主流支付渠道适配）、支付</w:t>
            </w:r>
            <w:r>
              <w:rPr>
                <w:rFonts w:eastAsia="等线" w:ascii="Arial" w:cs="Arial" w:hAnsi="Arial"/>
                <w:sz w:val="22"/>
              </w:rPr>
              <w:t>状态管控域（基础状态流转、超时处理）、退款处理域（基础退款</w:t>
            </w:r>
            <w:r>
              <w:rPr>
                <w:rFonts w:eastAsia="等线" w:ascii="Arial" w:cs="Arial" w:hAnsi="Arial"/>
                <w:sz w:val="22"/>
              </w:rPr>
              <w:t>）、对账结算域（基础对账）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</w:t>
            </w:r>
            <w:r>
              <w:rPr>
                <w:rFonts w:eastAsia="等线" w:ascii="Arial" w:cs="Arial" w:hAnsi="Arial"/>
                <w:sz w:val="22"/>
              </w:rPr>
              <w:t>Sa-Token鉴权、角色校验）、mall-user（用户信息支撑）、</w:t>
            </w:r>
            <w:r>
              <w:rPr>
                <w:rFonts w:eastAsia="等线" w:ascii="Arial" w:cs="Arial" w:hAnsi="Arial"/>
                <w:sz w:val="22"/>
              </w:rPr>
              <w:t>订单模块、售后模块（基础退款）、第三方支付渠道（微信、支付宝）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后期拓展阶段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升级为企业级支付中台，满足多支付渠道、多</w:t>
            </w:r>
            <w:r>
              <w:rPr>
                <w:rFonts w:eastAsia="等线" w:ascii="Arial" w:cs="Arial" w:hAnsi="Arial"/>
                <w:sz w:val="22"/>
              </w:rPr>
              <w:t>商家结算、精细化风控、合规管控需求，完善五大</w:t>
            </w:r>
            <w:r>
              <w:rPr>
                <w:rFonts w:eastAsia="等线" w:ascii="Arial" w:cs="Arial" w:hAnsi="Arial"/>
                <w:sz w:val="22"/>
              </w:rPr>
              <w:t>核心域，提升支付成功率与资金管理效率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五大核心域全部业务（多支付渠道、风控进阶、精细化</w:t>
            </w:r>
            <w:r>
              <w:rPr>
                <w:rFonts w:eastAsia="等线" w:ascii="Arial" w:cs="Arial" w:hAnsi="Arial"/>
                <w:sz w:val="22"/>
              </w:rPr>
              <w:t>对账、商家结算、退款精细化、合规管控、数据统计等）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mall-auth（精细化鉴权）、mall</w:t>
            </w:r>
            <w:r>
              <w:rPr>
                <w:rFonts w:eastAsia="等线" w:ascii="Arial" w:cs="Arial" w:hAnsi="Arial"/>
                <w:sz w:val="22"/>
              </w:rPr>
              <w:t>-user、订单模块、售后模块、商品模块、财务模块、第三方支付渠道（</w:t>
            </w:r>
            <w:r>
              <w:rPr>
                <w:rFonts w:eastAsia="等线" w:ascii="Arial" w:cs="Arial" w:hAnsi="Arial"/>
                <w:sz w:val="22"/>
              </w:rPr>
              <w:t>全渠道）、第三方风控接口、消息服务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9901">
    <w:lvl>
      <w:start w:val="1"/>
      <w:numFmt w:val="decimal"/>
      <w:suff w:val="tab"/>
      <w:lvlText w:val="%1."/>
      <w:rPr>
        <w:color w:val="3370ff"/>
      </w:rPr>
    </w:lvl>
  </w:abstractNum>
  <w:abstractNum w:abstractNumId="279902">
    <w:lvl>
      <w:start w:val="2"/>
      <w:numFmt w:val="decimal"/>
      <w:suff w:val="tab"/>
      <w:lvlText w:val="%1."/>
      <w:rPr>
        <w:color w:val="3370ff"/>
      </w:rPr>
    </w:lvl>
  </w:abstractNum>
  <w:abstractNum w:abstractNumId="279903">
    <w:lvl>
      <w:start w:val="3"/>
      <w:numFmt w:val="decimal"/>
      <w:suff w:val="tab"/>
      <w:lvlText w:val="%1."/>
      <w:rPr>
        <w:color w:val="3370ff"/>
      </w:rPr>
    </w:lvl>
  </w:abstractNum>
  <w:abstractNum w:abstractNumId="279904">
    <w:lvl>
      <w:start w:val="4"/>
      <w:numFmt w:val="decimal"/>
      <w:suff w:val="tab"/>
      <w:lvlText w:val="%1."/>
      <w:rPr>
        <w:color w:val="3370ff"/>
      </w:rPr>
    </w:lvl>
  </w:abstractNum>
  <w:abstractNum w:abstractNumId="279905">
    <w:lvl>
      <w:start w:val="5"/>
      <w:numFmt w:val="decimal"/>
      <w:suff w:val="tab"/>
      <w:lvlText w:val="%1."/>
      <w:rPr>
        <w:color w:val="3370ff"/>
      </w:rPr>
    </w:lvl>
  </w:abstractNum>
  <w:abstractNum w:abstractNumId="279906">
    <w:lvl>
      <w:numFmt w:val="bullet"/>
      <w:suff w:val="tab"/>
      <w:lvlText w:val="•"/>
      <w:rPr>
        <w:color w:val="3370ff"/>
      </w:rPr>
    </w:lvl>
  </w:abstractNum>
  <w:abstractNum w:abstractNumId="279907">
    <w:lvl>
      <w:numFmt w:val="bullet"/>
      <w:suff w:val="tab"/>
      <w:lvlText w:val="•"/>
      <w:rPr>
        <w:color w:val="3370ff"/>
      </w:rPr>
    </w:lvl>
  </w:abstractNum>
  <w:abstractNum w:abstractNumId="279908">
    <w:lvl>
      <w:numFmt w:val="bullet"/>
      <w:suff w:val="tab"/>
      <w:lvlText w:val="•"/>
      <w:rPr>
        <w:color w:val="3370ff"/>
      </w:rPr>
    </w:lvl>
  </w:abstractNum>
  <w:abstractNum w:abstractNumId="279909">
    <w:lvl>
      <w:start w:val="1"/>
      <w:numFmt w:val="decimal"/>
      <w:suff w:val="tab"/>
      <w:lvlText w:val="%1."/>
      <w:rPr>
        <w:color w:val="3370ff"/>
      </w:rPr>
    </w:lvl>
  </w:abstractNum>
  <w:abstractNum w:abstractNumId="279910">
    <w:lvl>
      <w:start w:val="2"/>
      <w:numFmt w:val="decimal"/>
      <w:suff w:val="tab"/>
      <w:lvlText w:val="%1."/>
      <w:rPr>
        <w:color w:val="3370ff"/>
      </w:rPr>
    </w:lvl>
  </w:abstractNum>
  <w:abstractNum w:abstractNumId="279911">
    <w:lvl>
      <w:start w:val="3"/>
      <w:numFmt w:val="decimal"/>
      <w:suff w:val="tab"/>
      <w:lvlText w:val="%1."/>
      <w:rPr>
        <w:color w:val="3370ff"/>
      </w:rPr>
    </w:lvl>
  </w:abstractNum>
  <w:abstractNum w:abstractNumId="279912">
    <w:lvl>
      <w:start w:val="4"/>
      <w:numFmt w:val="decimal"/>
      <w:suff w:val="tab"/>
      <w:lvlText w:val="%1."/>
      <w:rPr>
        <w:color w:val="3370ff"/>
      </w:rPr>
    </w:lvl>
  </w:abstractNum>
  <w:abstractNum w:abstractNumId="279913">
    <w:lvl>
      <w:start w:val="5"/>
      <w:numFmt w:val="decimal"/>
      <w:suff w:val="tab"/>
      <w:lvlText w:val="%1."/>
      <w:rPr>
        <w:color w:val="3370ff"/>
      </w:rPr>
    </w:lvl>
  </w:abstractNum>
  <w:abstractNum w:abstractNumId="279914">
    <w:lvl>
      <w:start w:val="6"/>
      <w:numFmt w:val="decimal"/>
      <w:suff w:val="tab"/>
      <w:lvlText w:val="%1."/>
      <w:rPr>
        <w:color w:val="3370ff"/>
      </w:rPr>
    </w:lvl>
  </w:abstractNum>
  <w:abstractNum w:abstractNumId="279915">
    <w:lvl>
      <w:start w:val="1"/>
      <w:numFmt w:val="decimal"/>
      <w:suff w:val="tab"/>
      <w:lvlText w:val="%1."/>
      <w:rPr>
        <w:color w:val="3370ff"/>
      </w:rPr>
    </w:lvl>
  </w:abstractNum>
  <w:abstractNum w:abstractNumId="279916">
    <w:lvl>
      <w:start w:val="2"/>
      <w:numFmt w:val="decimal"/>
      <w:suff w:val="tab"/>
      <w:lvlText w:val="%1."/>
      <w:rPr>
        <w:color w:val="3370ff"/>
      </w:rPr>
    </w:lvl>
  </w:abstractNum>
  <w:abstractNum w:abstractNumId="279917">
    <w:lvl>
      <w:start w:val="3"/>
      <w:numFmt w:val="decimal"/>
      <w:suff w:val="tab"/>
      <w:lvlText w:val="%1."/>
      <w:rPr>
        <w:color w:val="3370ff"/>
      </w:rPr>
    </w:lvl>
  </w:abstractNum>
  <w:abstractNum w:abstractNumId="279918">
    <w:lvl>
      <w:start w:val="4"/>
      <w:numFmt w:val="decimal"/>
      <w:suff w:val="tab"/>
      <w:lvlText w:val="%1."/>
      <w:rPr>
        <w:color w:val="3370ff"/>
      </w:rPr>
    </w:lvl>
  </w:abstractNum>
  <w:abstractNum w:abstractNumId="279919">
    <w:lvl>
      <w:start w:val="5"/>
      <w:numFmt w:val="decimal"/>
      <w:suff w:val="tab"/>
      <w:lvlText w:val="%1."/>
      <w:rPr>
        <w:color w:val="3370ff"/>
      </w:rPr>
    </w:lvl>
  </w:abstractNum>
  <w:abstractNum w:abstractNumId="279920">
    <w:lvl>
      <w:start w:val="6"/>
      <w:numFmt w:val="decimal"/>
      <w:suff w:val="tab"/>
      <w:lvlText w:val="%1."/>
      <w:rPr>
        <w:color w:val="3370ff"/>
      </w:rPr>
    </w:lvl>
  </w:abstractNum>
  <w:abstractNum w:abstractNumId="279921">
    <w:lvl>
      <w:start w:val="7"/>
      <w:numFmt w:val="decimal"/>
      <w:suff w:val="tab"/>
      <w:lvlText w:val="%1."/>
      <w:rPr>
        <w:color w:val="3370ff"/>
      </w:rPr>
    </w:lvl>
  </w:abstractNum>
  <w:abstractNum w:abstractNumId="279922">
    <w:lvl>
      <w:start w:val="8"/>
      <w:numFmt w:val="decimal"/>
      <w:suff w:val="tab"/>
      <w:lvlText w:val="%1."/>
      <w:rPr>
        <w:color w:val="3370ff"/>
      </w:rPr>
    </w:lvl>
  </w:abstractNum>
  <w:abstractNum w:abstractNumId="279923">
    <w:lvl>
      <w:start w:val="9"/>
      <w:numFmt w:val="decimal"/>
      <w:suff w:val="tab"/>
      <w:lvlText w:val="%1."/>
      <w:rPr>
        <w:color w:val="3370ff"/>
      </w:rPr>
    </w:lvl>
  </w:abstractNum>
  <w:abstractNum w:abstractNumId="279924">
    <w:lvl>
      <w:numFmt w:val="bullet"/>
      <w:suff w:val="tab"/>
      <w:lvlText w:val="•"/>
      <w:rPr>
        <w:color w:val="3370ff"/>
      </w:rPr>
    </w:lvl>
  </w:abstractNum>
  <w:abstractNum w:abstractNumId="279925">
    <w:lvl>
      <w:numFmt w:val="bullet"/>
      <w:suff w:val="tab"/>
      <w:lvlText w:val="•"/>
      <w:rPr>
        <w:color w:val="3370ff"/>
      </w:rPr>
    </w:lvl>
  </w:abstractNum>
  <w:abstractNum w:abstractNumId="279926">
    <w:lvl>
      <w:numFmt w:val="bullet"/>
      <w:suff w:val="tab"/>
      <w:lvlText w:val="•"/>
      <w:rPr>
        <w:color w:val="3370ff"/>
      </w:rPr>
    </w:lvl>
  </w:abstractNum>
  <w:abstractNum w:abstractNumId="279927">
    <w:lvl>
      <w:numFmt w:val="bullet"/>
      <w:suff w:val="tab"/>
      <w:lvlText w:val="•"/>
      <w:rPr>
        <w:color w:val="3370ff"/>
      </w:rPr>
    </w:lvl>
  </w:abstractNum>
  <w:abstractNum w:abstractNumId="279928">
    <w:lvl>
      <w:numFmt w:val="bullet"/>
      <w:suff w:val="tab"/>
      <w:lvlText w:val="•"/>
      <w:rPr>
        <w:color w:val="3370ff"/>
      </w:rPr>
    </w:lvl>
  </w:abstractNum>
  <w:abstractNum w:abstractNumId="279929">
    <w:lvl>
      <w:numFmt w:val="bullet"/>
      <w:suff w:val="tab"/>
      <w:lvlText w:val="•"/>
      <w:rPr>
        <w:color w:val="3370ff"/>
      </w:rPr>
    </w:lvl>
  </w:abstractNum>
  <w:abstractNum w:abstractNumId="279930">
    <w:lvl>
      <w:numFmt w:val="bullet"/>
      <w:suff w:val="tab"/>
      <w:lvlText w:val="•"/>
      <w:rPr>
        <w:color w:val="3370ff"/>
      </w:rPr>
    </w:lvl>
  </w:abstractNum>
  <w:abstractNum w:abstractNumId="279931">
    <w:lvl>
      <w:numFmt w:val="bullet"/>
      <w:suff w:val="tab"/>
      <w:lvlText w:val="•"/>
      <w:rPr>
        <w:color w:val="3370ff"/>
      </w:rPr>
    </w:lvl>
  </w:abstractNum>
  <w:abstractNum w:abstractNumId="279932">
    <w:lvl>
      <w:numFmt w:val="bullet"/>
      <w:suff w:val="tab"/>
      <w:lvlText w:val="•"/>
      <w:rPr>
        <w:color w:val="3370ff"/>
      </w:rPr>
    </w:lvl>
  </w:abstractNum>
  <w:abstractNum w:abstractNumId="279933">
    <w:lvl>
      <w:numFmt w:val="bullet"/>
      <w:suff w:val="tab"/>
      <w:lvlText w:val="•"/>
      <w:rPr>
        <w:color w:val="3370ff"/>
      </w:rPr>
    </w:lvl>
  </w:abstractNum>
  <w:abstractNum w:abstractNumId="279934">
    <w:lvl>
      <w:numFmt w:val="bullet"/>
      <w:suff w:val="tab"/>
      <w:lvlText w:val="•"/>
      <w:rPr>
        <w:color w:val="3370ff"/>
      </w:rPr>
    </w:lvl>
  </w:abstractNum>
  <w:abstractNum w:abstractNumId="279935">
    <w:lvl>
      <w:numFmt w:val="bullet"/>
      <w:suff w:val="tab"/>
      <w:lvlText w:val="•"/>
      <w:rPr>
        <w:color w:val="3370ff"/>
      </w:rPr>
    </w:lvl>
  </w:abstractNum>
  <w:abstractNum w:abstractNumId="279936">
    <w:lvl>
      <w:numFmt w:val="bullet"/>
      <w:suff w:val="tab"/>
      <w:lvlText w:val="•"/>
      <w:rPr>
        <w:color w:val="3370ff"/>
      </w:rPr>
    </w:lvl>
  </w:abstractNum>
  <w:abstractNum w:abstractNumId="279937">
    <w:lvl>
      <w:numFmt w:val="bullet"/>
      <w:suff w:val="tab"/>
      <w:lvlText w:val="•"/>
      <w:rPr>
        <w:color w:val="3370ff"/>
      </w:rPr>
    </w:lvl>
  </w:abstractNum>
  <w:abstractNum w:abstractNumId="279938">
    <w:lvl>
      <w:numFmt w:val="bullet"/>
      <w:suff w:val="tab"/>
      <w:lvlText w:val="•"/>
      <w:rPr>
        <w:color w:val="3370ff"/>
      </w:rPr>
    </w:lvl>
  </w:abstractNum>
  <w:abstractNum w:abstractNumId="279939">
    <w:lvl>
      <w:numFmt w:val="bullet"/>
      <w:suff w:val="tab"/>
      <w:lvlText w:val="•"/>
      <w:rPr>
        <w:color w:val="3370ff"/>
      </w:rPr>
    </w:lvl>
  </w:abstractNum>
  <w:num w:numId="1">
    <w:abstractNumId w:val="279901"/>
  </w:num>
  <w:num w:numId="2">
    <w:abstractNumId w:val="279902"/>
  </w:num>
  <w:num w:numId="3">
    <w:abstractNumId w:val="279903"/>
  </w:num>
  <w:num w:numId="4">
    <w:abstractNumId w:val="279904"/>
  </w:num>
  <w:num w:numId="5">
    <w:abstractNumId w:val="279905"/>
  </w:num>
  <w:num w:numId="6">
    <w:abstractNumId w:val="279906"/>
  </w:num>
  <w:num w:numId="7">
    <w:abstractNumId w:val="279907"/>
  </w:num>
  <w:num w:numId="8">
    <w:abstractNumId w:val="279908"/>
  </w:num>
  <w:num w:numId="9">
    <w:abstractNumId w:val="279909"/>
  </w:num>
  <w:num w:numId="10">
    <w:abstractNumId w:val="279910"/>
  </w:num>
  <w:num w:numId="11">
    <w:abstractNumId w:val="279911"/>
  </w:num>
  <w:num w:numId="12">
    <w:abstractNumId w:val="279912"/>
  </w:num>
  <w:num w:numId="13">
    <w:abstractNumId w:val="279913"/>
  </w:num>
  <w:num w:numId="14">
    <w:abstractNumId w:val="279914"/>
  </w:num>
  <w:num w:numId="15">
    <w:abstractNumId w:val="279915"/>
  </w:num>
  <w:num w:numId="16">
    <w:abstractNumId w:val="279916"/>
  </w:num>
  <w:num w:numId="17">
    <w:abstractNumId w:val="279917"/>
  </w:num>
  <w:num w:numId="18">
    <w:abstractNumId w:val="279918"/>
  </w:num>
  <w:num w:numId="19">
    <w:abstractNumId w:val="279919"/>
  </w:num>
  <w:num w:numId="20">
    <w:abstractNumId w:val="279920"/>
  </w:num>
  <w:num w:numId="21">
    <w:abstractNumId w:val="279921"/>
  </w:num>
  <w:num w:numId="22">
    <w:abstractNumId w:val="279922"/>
  </w:num>
  <w:num w:numId="23">
    <w:abstractNumId w:val="279923"/>
  </w:num>
  <w:num w:numId="24">
    <w:abstractNumId w:val="279924"/>
  </w:num>
  <w:num w:numId="25">
    <w:abstractNumId w:val="279925"/>
  </w:num>
  <w:num w:numId="26">
    <w:abstractNumId w:val="279926"/>
  </w:num>
  <w:num w:numId="27">
    <w:abstractNumId w:val="279927"/>
  </w:num>
  <w:num w:numId="28">
    <w:abstractNumId w:val="279928"/>
  </w:num>
  <w:num w:numId="29">
    <w:abstractNumId w:val="279929"/>
  </w:num>
  <w:num w:numId="30">
    <w:abstractNumId w:val="279930"/>
  </w:num>
  <w:num w:numId="31">
    <w:abstractNumId w:val="279931"/>
  </w:num>
  <w:num w:numId="32">
    <w:abstractNumId w:val="279932"/>
  </w:num>
  <w:num w:numId="33">
    <w:abstractNumId w:val="279933"/>
  </w:num>
  <w:num w:numId="34">
    <w:abstractNumId w:val="279934"/>
  </w:num>
  <w:num w:numId="35">
    <w:abstractNumId w:val="279935"/>
  </w:num>
  <w:num w:numId="36">
    <w:abstractNumId w:val="279936"/>
  </w:num>
  <w:num w:numId="37">
    <w:abstractNumId w:val="279937"/>
  </w:num>
  <w:num w:numId="38">
    <w:abstractNumId w:val="279938"/>
  </w:num>
  <w:num w:numId="39">
    <w:abstractNumId w:val="2799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2026-04-23T20:07:57Z</dcterms:created>
  <dc:creator>Apache POI</dc:creator>
</cp:coreProperties>
</file>