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企业级电商库存模块（MVP+后期拓展）完整业务流程与边界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本文档整合库存模块 MVP最小可行版本 与 后期拓展完整版 业务，明确各阶段业务流程、职责边界，贴合mallFei微服务架构（与mall-user、mall-auth、商品、购物车、订单、支付、售后等模块协同），兼顾当前落地与后期迭代，融入DDD领域驱动设计思维，明确事务边界与聚合关系，可直接用于项目开发、文档归档、面试阐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一、库存模块定位（结合微服务拆分·后期完整版）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电商库存模块≠单纯库存数量管理，是 库存全生命周期管控+库存预警+库存联动+库存追溯+异常处理 的一体化核心供应链枢纽，是整个电商系统的“货仓中枢”，承接商品入库、库存扣减、库存回补、库存预警、库存同步等核心供应链环节，联动全系统多模块实现从商品上架、订单支付到售后退款的完整库存流转，直接决定商品可售性、订单履约效率及用户购物体验，是电商业务正常运转的核心保障载体，同时遵循DDD领域设计原则，明确与订单、商品等模块的事务边界，保障数据一致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微服务拆分（后期拓展阶段）与DDD领域驱动设计思维，完整库存模块包含五大核心域，各域独立承载对应业务，同时与mall-auth认证中心、mall-user用户模块、订单模块、支付模块等协同工作，实现数据与业务分离，保障微服务独立性，兼顾库存准确性与供应链效率，明确库存作为独立聚合的业务边界，不依赖其他模块的事务闭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基础管理域：核心承载库存基础信息的维护与管理，包含库存初始化、库存上下限设置、库存类型划分（实物库存、虚拟库存、预留库存）、库存信息查询，负责商品库存的基础建档与维护，结合DDD值对象设计，存储商品SKU ID、物理库存等核心字段，不冗余存储商品其他无关信息，确保库存数据的基础准确性。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操作域：负责库存全流程操作的执行与管控，包含库存扣减、库存回补、库存调拨、库存盘点，对接订单、支付、售后等模块，响应各类库存操作请求，严格遵循事务边界，确保库存操作的原子性，避免库存超卖、少卖，同时记录库存操作日志，支撑库存追溯，契合DDD聚合的事务一致性要求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联动域：负责与全系统多模块的库存协同联动，包含与订单模块联动（支付成功扣减库存、订单取消回补库存）、与支付模块联动（支付异常同步库存状态）、与购物车模块联动（实时库存校验）、与商品模块联动（商品上下架同步库存状态）、与售后模块联动（售后退款回补库存），通过领域事件监听实现异步联动，避免跨模块事务耦合，兼顾数据一致性与系统性能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预警与监控域：负责库存风险防控与实时监控，包含库存预警阈值设置、低库存预警、高库存预警、库存异常预警（如库存为负、库存与实际不符），推送预警提醒给运营/仓储人员，同时实时监控库存操作记录，及时发现并拦截异常库存操作，结合实际业务场景，规避因库存不足导致的订单取消、用户投诉等问题，如环球优速通出票失败事件中，库存实时对接延误导致的订单异常问题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追溯与统计域：负责库存操作追溯与数据统计，包含库存操作日志记录、库存流水查询、库存变动统计、库存周转率计算，支撑库存审计、运营分析与问题排查，同时留存库存历史数据，满足监管与业务追溯需求，契合DDD领域事件的可追溯性要求，确保每一笔库存变动都有迹可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二、整体架构说明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库存模块基于微服务拆分与DDD领域驱动设计原则，核心遵循“数据与业务分离、事务独立、联动高效”原则，与上述五大核心域适配，支撑后期拓展完整版业务，与全系统微服务协同高效运行，同时保障库存数据准确、操作可控，明确库存聚合与其他模块的依赖关系，避免事务耦合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ll-auth认证中心：独立承担库存模块所有接口的鉴权管控，库存模块不负责鉴权逻辑，仅依赖其完成用户（普通用户、运营人员、仓储人员、商家）身份校验与角色权限校验（如仓储人员可执行库存盘点、调拨，商家仅可查看自身商品库存，运营可设置库存预警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模块核心：聚焦五大核心域的库存业务落地与数据管理，MVP阶段完成库存基础管理域、库存操作域、库存联动域的基础业务闭环，重点实现与订单、支付模块的核心联动，避免库存超卖；后期拓展阶段完善五大核心域全部功能，新增库存调拨、精细化预警、批量操作、多仓库管理等企业级功能，形成完整库存中台能力，适配多品类、多仓库、大规模交易场景，同时优化领域事件联动机制，提升系统协同效率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全系统协同（遵循DDD事务边界）：接收订单模块传递的库存扣减、回补请求（支付成功后扣减、订单取消/退款后回补），执行库存操作并同步结果；接收支付模块传递的支付异常通知，同步调整库存状态（如支付失败后回补预留库存）；接收购物车模块传递的库存校验请求，返回实时库存状态，支撑购物车结算校验；接收商品模块传递的商品上下架、规格变更信息，同步初始化、调整库存；接收售后模块传递的售后退款请求，执行库存回补操作；向运营/仓储后台推送库存预警、异常提醒，支撑库存管控；向订单、支付模块同步库存操作结果，支撑订单履约与支付异常处理，所有联动均通过领域事件异步实现，避免跨模块事务耦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三、MVP阶段业务流程（当前落地核心）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跑通库存主链路，支撑用户从购物车结算、订单支付到订单取消、售后退款的核心库存联动场景，仅保留必备功能，不做冗余拓展（聚焦五大核心域中的基础部分），优先保障库存准确性，规避超卖、少卖风险，同时遵循DDD事务边界，确保库存操作的原子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核心业务流程（6大必备）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库存初始化：商品模块新增商品（或商品上架）时，经mall-auth鉴权通过后，向库存模块传递商品信息（商品ID、SKU ID、初始库存数量、商品类型）；库存模块校验商品信息合法性，创建商品库存档案，初始化库存数量（实物库存/虚拟库存），设置默认库存上下限，记录库存初始化日志，返回库存初始化成功结果，确保库存与商品信息同步，契合DDD值对象映射原则，仅存储库存相关核心字段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购物车库存校验：用户在购物车发起结算时，购物车模块向库存模块传递商品校验请求（商品ID、SKU ID、购买数量）；库存模块实时查询对应商品库存，校验库存充足性（购买数量≤可用库存），同时校验商品库存状态（未下架、未冻结）；校验通过后，返回库存可用结果，支撑购物车结算；校验失败（库存不足），返回库存不足提示，阻止结算，避免用户下单后因库存不足取消订单，减少用户投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支付成功库存扣减：支付模块完成支付后，向订单模块推送支付成功通知，订单模块向库存模块传递库存扣减请求（订单ID、商品ID、SKU ID、扣减数量）；库存模块校验请求合法性（订单状态为待支付、扣减数量≤可用库存），执行库存扣减操作（可用库存减少对应数量，增加库存操作日志），同步向订单模块推送扣减成功结果，支撑订单状态更新为“已支付”；若扣减失败（库存不足、订单状态异常），返回失败结果，触发订单异常处理流程，确保库存与订单状态同步，遵循DDD事务一致性原则，确保扣减操作原子性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订单取消/支付超时库存回补：订单取消（用户主动取消、支付超时自动取消）时，订单模块向库存模块传递库存回补请求（订单ID、商品ID、SKU ID、回补数量）；库存模块校验请求合法性（订单状态为已取消/支付超时、对应扣减记录存在），执行库存回补操作（可用库存增加对应数量，记录回补日志），同步向订单模块推送回补成功结果；若回补失败（无对应扣减记录、库存状态异常），标记为异常，推送提醒给运营人员手动处理，避免库存与订单状态不一致，尤其规避支付超时后库存未回补导致的商品滞销问题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库存基础查询：用户经鉴权通过后，可在商品详情页、购物车查看商品实时库存（仅展示可用库存数量）；运营/仓储人员经鉴权通过后，可查询全平台商品库存（支持按商品ID、SKU ID、库存状态筛选），查看库存详情（可用库存、冻结库存、操作日志），用于库存管控与异常排查；商家经鉴权通过后，仅可查询自身商品库存，支撑商家库存管理，同时遵循数据脱敏原则，不暴露非必要库存信息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库存预警：运营人员经鉴权通过后，设置商品库存预警阈值（低库存阈值、高库存阈值）；库存模块实时监控商品库存，当可用库存低于低库存阈值或高于高库存阈值时，自动标记为预警状态，推送提醒给运营/仓储人员，引导及时补货或清仓，规避因库存不足导致的订单无法履约，或因库存积压导致的资金占用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四、后期拓展完整版业务流程（企业级升级）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MVP基础上，完善五大核心域全部业务，新增企业级必备功能（多仓库管理、库存调拨、精细化预警、批量操作），适配多仓库、多品类、精细化运营需求，提升库存管理效率、风险防控能力与供应链协同能力，同时深化DDD领域设计应用，优化聚合关系与领域事件联动机制，贴合企业级库存管控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4.1 新增拓展业务流程（9大核心，覆盖五大核心域）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仓库与库存分区管理（库存基础管理域）：新增多仓库管理功能，支持创建多个物理仓库（如北京仓、上海仓）、虚拟仓库（如预售仓、赠品仓），运营人员可配置仓库信息（仓库地址、负责人、库存容量）；支持库存分区管理（按商品品类、规格分区），实现不同仓库、不同分区的库存独立管理；支持商品库存分配（将总库存分配至不同仓库），用户下单时，系统自动匹配就近仓库发货，提升履约效率，同时遵循DDD聚合设计，每个仓库库存作为独立子聚合，确保库存管理的精细化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精细化操作（库存操作域）：升级库存操作能力，支持库存冻结（订单支付后冻结对应库存，避免重复扣减）、库存解冻（订单取消后解冻冻结库存）、库存调拨（不同仓库间库存调拨，如北京仓调拨至上海仓）、库存盘点（手动盘点、自动盘点）；盘点时，系统对比实际库存与系统库存，生成盘点差异报表，支持手动调整库存，记录盘点日志，确保库存账实一致；支持批量库存操作（批量扣减、批量回补、批量调整），提升运营/仓储人员工作效率，同时确保每一笔操作的原子性与可追溯性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联动进阶（库存联动域）：深化与全系统模块的联动，新增与支付模块的异常联动（支付失败、支付卡顿后，自动回补预留库存）；与售后模块的精细化联动（售后退货退款回补库存、售后换货扣减新商品库存）；与商品模块的联动（商品规格变更、商品下架后，同步调整库存或冻结库存）；与物流模块的联动（物流发货后，同步扣减实物库存，物流拒收后，回补库存）；采用DDD领域事件驱动模式，实现库存变动与其他模块的异步联动，避免跨模块事务耦合，提升系统稳定性，同时规避因联动延迟导致的库存异常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细化库存预警（库存预警与监控域）：升级预警能力，支持多维度预警（低库存、高库存、库存积压、库存为负、库存异动），可针对不同商品、不同仓库设置差异化预警阈值；支持预警等级划分（普通预警、紧急预警），不同等级推送不同渠道的提醒（站内消息、短信、企业微信）；新增库存预警处理流程，运营/仓储人员可查看预警详情，执行补货、清仓、调拨等操作，记录预警处理日志，实现预警闭环管理，避免因预警不及时导致的业务风险，如避免类似环球优速通出票失败的库存联动异常问题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追溯精细化（库存追溯与统计域）：升级库存追溯能力，记录每一笔库存变动的详细信息（操作人、操作时间、操作类型、关联订单/售后ID、变动数量、变动前后库存），支持按时间区间、商品、操作类型、关联单据筛选追溯；支持库存流水导出，用于财务审计、业务排查；新增库存操作异常追溯，针对库存异常变动（如恶意扣减、误操作），可快速追溯操作源头，定位责任人，契合DDD领域事件的可追溯性要求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库存与预售库存管理（库存基础管理域）：新增虚拟库存管理，用于预售、赠品、积分兑换等场景，虚拟库存独立于实物库存，支持虚拟库存与实物库存联动（预售商品发货时，扣减虚拟库存与实物库存）；支持预售库存设置，可设置预售库存数量、预售时间，用户预售下单时，扣减预售库存，实物库存到货后，自动转为可用库存，支撑预售业务落地，同时明确虚拟库存与实物库存的聚合边界，避免数据混淆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数据精细化统计（库存追溯与统计域）：新增库存数据统计功能，运营人员经鉴权通过后，可查看库存总量、可用库存、冻结库存、库存周转率、库存积压率、补货率等核心数据；支持按时间区间、仓库、商品品类、SKU筛选统计数据，生成统计报表（支持导出），为运营决策（补货计划、清仓活动、商品优化）提供数据支撑；支持商家查看自身商品库存数据，用于经营分析，同时确保统计数据的实时性与准确性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异常精细化处理（库存预警与监控域）：新增库存异常分类管理（库存为负、库存账实不符、库存联动异常、恶意操作），针对不同异常类型，提供标准化处理流程（如库存为负时，自动冻结商品，提醒运营手动调整）；支持库存异常手动处理，运营/仓储人员可查看异常详情，执行库存调整、冻结商品、追责等操作；新增库存异常统计，运营人员可查看异常发生率、异常类型分布，用于优化库存管理流程，提升库存准确性，同时建立异常处理预案，快速响应库存异常问题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合规与安全管控（全域联动）：新增库存合规校验，对接供应链监管要求，确保库存数据真实、可追溯，库存操作合规；支持库存数据长期留存（满足监管留存要求），可随时查询导出；新增库存安全管控，禁止未经鉴权的库存操作，拦截恶意扣减、批量修改等异常操作；支持库存操作权限精细化分配（如仓储人员仅可执行盘点、调拨，运营仅可设置预警、查看数据），确保库存安全，契合DDD领域设计的权限边界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五、完整业务边界（MVP+拓展通用，贴合五大核心域）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库存模块核心职责、内外边界与禁止范围，遵循DDD领域驱动设计原则，避免跨域处理业务，保障微服务架构的独立性与可维护性，同时适配五大核心域的业务范围，与全系统微服务协同高效，兼顾库存准确性与业务合规，明确库存聚合与其他模块的事务边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5.1 核心职责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五大核心域（库存基础管理域、库存操作域、库存联动域、库存预警与监控域、库存追溯与统计域）的业务落地与数据管理；依托mall-auth认证中心完成用户身份校验与权限管控，遵循DDD事务边界与聚合设计原则，联动商品、购物车、订单、支付、售后等模块，实现库存初始化、库存扣减、库存回补、库存联动、库存预警、库存追溯等核心业务，保障库存数据准确、操作可控、联动高效，支撑电商业务履约闭环，避免跨模块事务耦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5.2 对内边界</w:t>
      </w:r>
      <w:bookmarkEnd w:id="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接收商品模块传递的商品信息，支撑库存初始化、库存调整；向商品模块同步库存状态（如库存不足、库存冻结），支撑商品上下架管控；仅存储商品SKU ID、物理库存等核心字段，不冗余存储商品其他信息，契合DDD值对象设计。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接收购物车模块传递的库存校验请求，返回实时库存状态，支撑购物车结算；不处理购物车操作相关业务，仅提供库存数据支撑。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接收订单模块传递的库存扣减、回补请求，执行库存操作，同步操作结果；接收订单模块传递的订单状态变更信息，调整库存状态（如订单发货后扣减实物库存）；通过领域事件异步联动，不参与订单事务闭环。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接收支付模块传递的支付状态信息（支付成功、支付失败、支付异常），同步调整库存状态（如支付失败后回补预留库存）；不处理支付相关业务，仅响应支付状态带来的库存变动需求。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接收售后模块传递的售后退款、换货请求，执行库存回补、扣减操作，同步操作结果；向售后模块同步库存操作状态，支撑售后处理；遵循事务边界，不参与售后审核流程。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运营/仓储后台推送库存预警、异常提醒，支撑库存管控；向全系统相关模块同步库存操作结果，支撑各模块业务落地；不接收其他模块的非库存相关业务指令，不处理跨域业务逻辑，仅提供数据交互与接口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5.3 对外边界</w:t>
      </w:r>
      <w:bookmarkEnd w:id="9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对外开放接口：MVP阶段开放库存初始化、库存校验、库存扣减、库存回补、库存查询、基础预警接口；后期拓展后，新增多仓库管理、库存调拨、精细化预警、批量操作、库存统计、库存追溯等接口；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访问范围：向C端（H5、APP、小程序）开放商品库存查询接口（仅展示可用库存），向PC运营后台、仓储后台、商家后台开放库存管理、预警处理、数据统计接口，向系统内微服务（商品、购物车、订单等）开放数据交互接口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敏感数据保护：不暴露库存成本、仓储地址、库存盘点差异明细等敏感数据，所有接口返回数据均进行脱敏处理；严格保护库存操作日志、库存流水等核心数据，防止数据泄露；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要求：除商品库存公开查询外，其余所有接口（库存操作、预警设置、数据统计、库存调拨等）均需通过mall-auth模块的Sa-Token鉴权与角色校验（商家仅可操作自身商品库存，仓储人员仅可执行指定库存操作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5.4 禁止范围</w:t>
      </w:r>
      <w:bookmarkEnd w:id="10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不处理商品管理、订单创建、支付流程、售后审核、物流配送等非库存相关业务；不参与其他模块的事务闭环，仅通过领域事件实现异步联动，遵循DDD事务边界原则。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不存储商品核心数据、订单信息、用户信息、支付记录、售后数据等非库存类数据，仅存储库存相关数据（库存信息、操作日志、预警设置、仓库信息等），契合DDD值对象与聚合设计要求。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不负责登录鉴权、Token会话管理、商品上下架、订单状态修改、支付处理、售后审核（统一由对应模块承担）；不直接处理商品发货、补货等供应链实物操作，仅提供库存数据支撑。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跨域修改其他领域数据，不接收其他领域的业务指令（仅提供数据交互与支撑）；不允许未经鉴权的库存操作，严格管控库存调整、批量操作等高危接口的访问权限；不允许突破事务边界，参与其他模块的事务处理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开放敏感数据查询接口，不允许运营人员、商家查看库存成本、仓储敏感信息，不允许修改库存核心业务数据（如历史操作日志、库存流水）；不允许随意调整库存数据，所有库存调整需有明确操作记录与审批流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六、阶段迭代说明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关键业务（对应五大核心域）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跑通库存主链路，支撑购物车、订单、支付、售后的核心</w:t>
            </w:r>
            <w:r>
              <w:rPr>
                <w:rFonts w:eastAsia="等线" w:ascii="Arial" w:cs="Arial" w:hAnsi="Arial"/>
                <w:sz w:val="22"/>
              </w:rPr>
              <w:t>库存联动场景，保障库存准确性，规避超卖、少卖风险，遵循DD</w:t>
            </w:r>
            <w:r>
              <w:rPr>
                <w:rFonts w:eastAsia="等线" w:ascii="Arial" w:cs="Arial" w:hAnsi="Arial"/>
                <w:sz w:val="22"/>
              </w:rPr>
              <w:t>D基础事务边界，实现库存操作原子性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库存基础管理域（基础库存初始化、查询）、库存操作</w:t>
            </w:r>
            <w:r>
              <w:rPr>
                <w:rFonts w:eastAsia="等线" w:ascii="Arial" w:cs="Arial" w:hAnsi="Arial"/>
                <w:sz w:val="22"/>
              </w:rPr>
              <w:t>域（基础扣减、回补）、库存联动域（与订单、支付</w:t>
            </w:r>
            <w:r>
              <w:rPr>
                <w:rFonts w:eastAsia="等线" w:ascii="Arial" w:cs="Arial" w:hAnsi="Arial"/>
                <w:sz w:val="22"/>
              </w:rPr>
              <w:t>、购物车联动）、库存预警与监控域（基础预警）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mall-auth（Sa-Token鉴权、角色校验）、mall-user</w:t>
            </w:r>
            <w:r>
              <w:rPr>
                <w:rFonts w:eastAsia="等线" w:ascii="Arial" w:cs="Arial" w:hAnsi="Arial"/>
                <w:sz w:val="22"/>
              </w:rPr>
              <w:t>（用户信息支撑）、商品模块、购物车模块、订单模块、支付模块</w:t>
            </w:r>
            <w:r>
              <w:rPr>
                <w:rFonts w:eastAsia="等线" w:ascii="Arial" w:cs="Arial" w:hAnsi="Arial"/>
                <w:sz w:val="22"/>
              </w:rPr>
              <w:t>、售后模块（基础退款）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后期拓展阶段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升级为企业级库存中台，满足多仓库、多品类、精细化运营需求，</w:t>
            </w:r>
            <w:r>
              <w:rPr>
                <w:rFonts w:eastAsia="等线" w:ascii="Arial" w:cs="Arial" w:hAnsi="Arial"/>
                <w:sz w:val="22"/>
              </w:rPr>
              <w:t>完善五大核心域，深化DDD领域设计应用，提升库存管理效率与风险</w:t>
            </w:r>
            <w:r>
              <w:rPr>
                <w:rFonts w:eastAsia="等线" w:ascii="Arial" w:cs="Arial" w:hAnsi="Arial"/>
                <w:sz w:val="22"/>
              </w:rPr>
              <w:t>防控能力，支撑供应链协同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五大核心域全部业务（多仓库管理、库存调拨、精细化预警、虚拟库存</w:t>
            </w:r>
            <w:r>
              <w:rPr>
                <w:rFonts w:eastAsia="等线" w:ascii="Arial" w:cs="Arial" w:hAnsi="Arial"/>
                <w:sz w:val="22"/>
              </w:rPr>
              <w:t>、库存追溯、异常精细化处理等）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mall-auth（精细化鉴权）、mall-user、商品模块、购物</w:t>
            </w:r>
            <w:r>
              <w:rPr>
                <w:rFonts w:eastAsia="等线" w:ascii="Arial" w:cs="Arial" w:hAnsi="Arial"/>
                <w:sz w:val="22"/>
              </w:rPr>
              <w:t>车模块、订单模块、支付模块、售后模块、物流模块、供应链模块、</w:t>
            </w:r>
            <w:r>
              <w:rPr>
                <w:rFonts w:eastAsia="等线" w:ascii="Arial" w:cs="Arial" w:hAnsi="Arial"/>
                <w:sz w:val="22"/>
              </w:rPr>
              <w:t>消息服务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8416">
    <w:lvl>
      <w:start w:val="1"/>
      <w:numFmt w:val="decimal"/>
      <w:suff w:val="tab"/>
      <w:lvlText w:val="%1."/>
      <w:rPr>
        <w:color w:val="3370ff"/>
      </w:rPr>
    </w:lvl>
  </w:abstractNum>
  <w:abstractNum w:abstractNumId="308417">
    <w:lvl>
      <w:start w:val="2"/>
      <w:numFmt w:val="decimal"/>
      <w:suff w:val="tab"/>
      <w:lvlText w:val="%1."/>
      <w:rPr>
        <w:color w:val="3370ff"/>
      </w:rPr>
    </w:lvl>
  </w:abstractNum>
  <w:abstractNum w:abstractNumId="308418">
    <w:lvl>
      <w:start w:val="3"/>
      <w:numFmt w:val="decimal"/>
      <w:suff w:val="tab"/>
      <w:lvlText w:val="%1."/>
      <w:rPr>
        <w:color w:val="3370ff"/>
      </w:rPr>
    </w:lvl>
  </w:abstractNum>
  <w:abstractNum w:abstractNumId="308419">
    <w:lvl>
      <w:start w:val="4"/>
      <w:numFmt w:val="decimal"/>
      <w:suff w:val="tab"/>
      <w:lvlText w:val="%1."/>
      <w:rPr>
        <w:color w:val="3370ff"/>
      </w:rPr>
    </w:lvl>
  </w:abstractNum>
  <w:abstractNum w:abstractNumId="308420">
    <w:lvl>
      <w:start w:val="5"/>
      <w:numFmt w:val="decimal"/>
      <w:suff w:val="tab"/>
      <w:lvlText w:val="%1."/>
      <w:rPr>
        <w:color w:val="3370ff"/>
      </w:rPr>
    </w:lvl>
  </w:abstractNum>
  <w:abstractNum w:abstractNumId="308421">
    <w:lvl>
      <w:numFmt w:val="bullet"/>
      <w:suff w:val="tab"/>
      <w:lvlText w:val="•"/>
      <w:rPr>
        <w:color w:val="3370ff"/>
      </w:rPr>
    </w:lvl>
  </w:abstractNum>
  <w:abstractNum w:abstractNumId="308422">
    <w:lvl>
      <w:numFmt w:val="bullet"/>
      <w:suff w:val="tab"/>
      <w:lvlText w:val="•"/>
      <w:rPr>
        <w:color w:val="3370ff"/>
      </w:rPr>
    </w:lvl>
  </w:abstractNum>
  <w:abstractNum w:abstractNumId="308423">
    <w:lvl>
      <w:numFmt w:val="bullet"/>
      <w:suff w:val="tab"/>
      <w:lvlText w:val="•"/>
      <w:rPr>
        <w:color w:val="3370ff"/>
      </w:rPr>
    </w:lvl>
  </w:abstractNum>
  <w:abstractNum w:abstractNumId="308424">
    <w:lvl>
      <w:start w:val="1"/>
      <w:numFmt w:val="decimal"/>
      <w:suff w:val="tab"/>
      <w:lvlText w:val="%1."/>
      <w:rPr>
        <w:color w:val="3370ff"/>
      </w:rPr>
    </w:lvl>
  </w:abstractNum>
  <w:abstractNum w:abstractNumId="308425">
    <w:lvl>
      <w:start w:val="2"/>
      <w:numFmt w:val="decimal"/>
      <w:suff w:val="tab"/>
      <w:lvlText w:val="%1."/>
      <w:rPr>
        <w:color w:val="3370ff"/>
      </w:rPr>
    </w:lvl>
  </w:abstractNum>
  <w:abstractNum w:abstractNumId="308426">
    <w:lvl>
      <w:start w:val="3"/>
      <w:numFmt w:val="decimal"/>
      <w:suff w:val="tab"/>
      <w:lvlText w:val="%1."/>
      <w:rPr>
        <w:color w:val="3370ff"/>
      </w:rPr>
    </w:lvl>
  </w:abstractNum>
  <w:abstractNum w:abstractNumId="308427">
    <w:lvl>
      <w:start w:val="4"/>
      <w:numFmt w:val="decimal"/>
      <w:suff w:val="tab"/>
      <w:lvlText w:val="%1."/>
      <w:rPr>
        <w:color w:val="3370ff"/>
      </w:rPr>
    </w:lvl>
  </w:abstractNum>
  <w:abstractNum w:abstractNumId="308428">
    <w:lvl>
      <w:start w:val="5"/>
      <w:numFmt w:val="decimal"/>
      <w:suff w:val="tab"/>
      <w:lvlText w:val="%1."/>
      <w:rPr>
        <w:color w:val="3370ff"/>
      </w:rPr>
    </w:lvl>
  </w:abstractNum>
  <w:abstractNum w:abstractNumId="308429">
    <w:lvl>
      <w:start w:val="6"/>
      <w:numFmt w:val="decimal"/>
      <w:suff w:val="tab"/>
      <w:lvlText w:val="%1."/>
      <w:rPr>
        <w:color w:val="3370ff"/>
      </w:rPr>
    </w:lvl>
  </w:abstractNum>
  <w:abstractNum w:abstractNumId="308430">
    <w:lvl>
      <w:start w:val="1"/>
      <w:numFmt w:val="decimal"/>
      <w:suff w:val="tab"/>
      <w:lvlText w:val="%1."/>
      <w:rPr>
        <w:color w:val="3370ff"/>
      </w:rPr>
    </w:lvl>
  </w:abstractNum>
  <w:abstractNum w:abstractNumId="308431">
    <w:lvl>
      <w:start w:val="2"/>
      <w:numFmt w:val="decimal"/>
      <w:suff w:val="tab"/>
      <w:lvlText w:val="%1."/>
      <w:rPr>
        <w:color w:val="3370ff"/>
      </w:rPr>
    </w:lvl>
  </w:abstractNum>
  <w:abstractNum w:abstractNumId="308432">
    <w:lvl>
      <w:start w:val="3"/>
      <w:numFmt w:val="decimal"/>
      <w:suff w:val="tab"/>
      <w:lvlText w:val="%1."/>
      <w:rPr>
        <w:color w:val="3370ff"/>
      </w:rPr>
    </w:lvl>
  </w:abstractNum>
  <w:abstractNum w:abstractNumId="308433">
    <w:lvl>
      <w:start w:val="4"/>
      <w:numFmt w:val="decimal"/>
      <w:suff w:val="tab"/>
      <w:lvlText w:val="%1."/>
      <w:rPr>
        <w:color w:val="3370ff"/>
      </w:rPr>
    </w:lvl>
  </w:abstractNum>
  <w:abstractNum w:abstractNumId="308434">
    <w:lvl>
      <w:start w:val="5"/>
      <w:numFmt w:val="decimal"/>
      <w:suff w:val="tab"/>
      <w:lvlText w:val="%1."/>
      <w:rPr>
        <w:color w:val="3370ff"/>
      </w:rPr>
    </w:lvl>
  </w:abstractNum>
  <w:abstractNum w:abstractNumId="308435">
    <w:lvl>
      <w:start w:val="6"/>
      <w:numFmt w:val="decimal"/>
      <w:suff w:val="tab"/>
      <w:lvlText w:val="%1."/>
      <w:rPr>
        <w:color w:val="3370ff"/>
      </w:rPr>
    </w:lvl>
  </w:abstractNum>
  <w:abstractNum w:abstractNumId="308436">
    <w:lvl>
      <w:start w:val="7"/>
      <w:numFmt w:val="decimal"/>
      <w:suff w:val="tab"/>
      <w:lvlText w:val="%1."/>
      <w:rPr>
        <w:color w:val="3370ff"/>
      </w:rPr>
    </w:lvl>
  </w:abstractNum>
  <w:abstractNum w:abstractNumId="308437">
    <w:lvl>
      <w:start w:val="8"/>
      <w:numFmt w:val="decimal"/>
      <w:suff w:val="tab"/>
      <w:lvlText w:val="%1."/>
      <w:rPr>
        <w:color w:val="3370ff"/>
      </w:rPr>
    </w:lvl>
  </w:abstractNum>
  <w:abstractNum w:abstractNumId="308438">
    <w:lvl>
      <w:start w:val="9"/>
      <w:numFmt w:val="decimal"/>
      <w:suff w:val="tab"/>
      <w:lvlText w:val="%1."/>
      <w:rPr>
        <w:color w:val="3370ff"/>
      </w:rPr>
    </w:lvl>
  </w:abstractNum>
  <w:abstractNum w:abstractNumId="308439">
    <w:lvl>
      <w:numFmt w:val="bullet"/>
      <w:suff w:val="tab"/>
      <w:lvlText w:val="•"/>
      <w:rPr>
        <w:color w:val="3370ff"/>
      </w:rPr>
    </w:lvl>
  </w:abstractNum>
  <w:abstractNum w:abstractNumId="308440">
    <w:lvl>
      <w:numFmt w:val="bullet"/>
      <w:suff w:val="tab"/>
      <w:lvlText w:val="•"/>
      <w:rPr>
        <w:color w:val="3370ff"/>
      </w:rPr>
    </w:lvl>
  </w:abstractNum>
  <w:abstractNum w:abstractNumId="308441">
    <w:lvl>
      <w:numFmt w:val="bullet"/>
      <w:suff w:val="tab"/>
      <w:lvlText w:val="•"/>
      <w:rPr>
        <w:color w:val="3370ff"/>
      </w:rPr>
    </w:lvl>
  </w:abstractNum>
  <w:abstractNum w:abstractNumId="308442">
    <w:lvl>
      <w:numFmt w:val="bullet"/>
      <w:suff w:val="tab"/>
      <w:lvlText w:val="•"/>
      <w:rPr>
        <w:color w:val="3370ff"/>
      </w:rPr>
    </w:lvl>
  </w:abstractNum>
  <w:abstractNum w:abstractNumId="308443">
    <w:lvl>
      <w:numFmt w:val="bullet"/>
      <w:suff w:val="tab"/>
      <w:lvlText w:val="•"/>
      <w:rPr>
        <w:color w:val="3370ff"/>
      </w:rPr>
    </w:lvl>
  </w:abstractNum>
  <w:abstractNum w:abstractNumId="308444">
    <w:lvl>
      <w:numFmt w:val="bullet"/>
      <w:suff w:val="tab"/>
      <w:lvlText w:val="•"/>
      <w:rPr>
        <w:color w:val="3370ff"/>
      </w:rPr>
    </w:lvl>
  </w:abstractNum>
  <w:abstractNum w:abstractNumId="308445">
    <w:lvl>
      <w:numFmt w:val="bullet"/>
      <w:suff w:val="tab"/>
      <w:lvlText w:val="•"/>
      <w:rPr>
        <w:color w:val="3370ff"/>
      </w:rPr>
    </w:lvl>
  </w:abstractNum>
  <w:abstractNum w:abstractNumId="308446">
    <w:lvl>
      <w:numFmt w:val="bullet"/>
      <w:suff w:val="tab"/>
      <w:lvlText w:val="•"/>
      <w:rPr>
        <w:color w:val="3370ff"/>
      </w:rPr>
    </w:lvl>
  </w:abstractNum>
  <w:abstractNum w:abstractNumId="308447">
    <w:lvl>
      <w:numFmt w:val="bullet"/>
      <w:suff w:val="tab"/>
      <w:lvlText w:val="•"/>
      <w:rPr>
        <w:color w:val="3370ff"/>
      </w:rPr>
    </w:lvl>
  </w:abstractNum>
  <w:abstractNum w:abstractNumId="308448">
    <w:lvl>
      <w:numFmt w:val="bullet"/>
      <w:suff w:val="tab"/>
      <w:lvlText w:val="•"/>
      <w:rPr>
        <w:color w:val="3370ff"/>
      </w:rPr>
    </w:lvl>
  </w:abstractNum>
  <w:abstractNum w:abstractNumId="308449">
    <w:lvl>
      <w:numFmt w:val="bullet"/>
      <w:suff w:val="tab"/>
      <w:lvlText w:val="•"/>
      <w:rPr>
        <w:color w:val="3370ff"/>
      </w:rPr>
    </w:lvl>
  </w:abstractNum>
  <w:abstractNum w:abstractNumId="308450">
    <w:lvl>
      <w:numFmt w:val="bullet"/>
      <w:suff w:val="tab"/>
      <w:lvlText w:val="•"/>
      <w:rPr>
        <w:color w:val="3370ff"/>
      </w:rPr>
    </w:lvl>
  </w:abstractNum>
  <w:abstractNum w:abstractNumId="308451">
    <w:lvl>
      <w:numFmt w:val="bullet"/>
      <w:suff w:val="tab"/>
      <w:lvlText w:val="•"/>
      <w:rPr>
        <w:color w:val="3370ff"/>
      </w:rPr>
    </w:lvl>
  </w:abstractNum>
  <w:abstractNum w:abstractNumId="308452">
    <w:lvl>
      <w:numFmt w:val="bullet"/>
      <w:suff w:val="tab"/>
      <w:lvlText w:val="•"/>
      <w:rPr>
        <w:color w:val="3370ff"/>
      </w:rPr>
    </w:lvl>
  </w:abstractNum>
  <w:abstractNum w:abstractNumId="308453">
    <w:lvl>
      <w:numFmt w:val="bullet"/>
      <w:suff w:val="tab"/>
      <w:lvlText w:val="•"/>
      <w:rPr>
        <w:color w:val="3370ff"/>
      </w:rPr>
    </w:lvl>
  </w:abstractNum>
  <w:num w:numId="1">
    <w:abstractNumId w:val="308416"/>
  </w:num>
  <w:num w:numId="2">
    <w:abstractNumId w:val="308417"/>
  </w:num>
  <w:num w:numId="3">
    <w:abstractNumId w:val="308418"/>
  </w:num>
  <w:num w:numId="4">
    <w:abstractNumId w:val="308419"/>
  </w:num>
  <w:num w:numId="5">
    <w:abstractNumId w:val="308420"/>
  </w:num>
  <w:num w:numId="6">
    <w:abstractNumId w:val="308421"/>
  </w:num>
  <w:num w:numId="7">
    <w:abstractNumId w:val="308422"/>
  </w:num>
  <w:num w:numId="8">
    <w:abstractNumId w:val="308423"/>
  </w:num>
  <w:num w:numId="9">
    <w:abstractNumId w:val="308424"/>
  </w:num>
  <w:num w:numId="10">
    <w:abstractNumId w:val="308425"/>
  </w:num>
  <w:num w:numId="11">
    <w:abstractNumId w:val="308426"/>
  </w:num>
  <w:num w:numId="12">
    <w:abstractNumId w:val="308427"/>
  </w:num>
  <w:num w:numId="13">
    <w:abstractNumId w:val="308428"/>
  </w:num>
  <w:num w:numId="14">
    <w:abstractNumId w:val="308429"/>
  </w:num>
  <w:num w:numId="15">
    <w:abstractNumId w:val="308430"/>
  </w:num>
  <w:num w:numId="16">
    <w:abstractNumId w:val="308431"/>
  </w:num>
  <w:num w:numId="17">
    <w:abstractNumId w:val="308432"/>
  </w:num>
  <w:num w:numId="18">
    <w:abstractNumId w:val="308433"/>
  </w:num>
  <w:num w:numId="19">
    <w:abstractNumId w:val="308434"/>
  </w:num>
  <w:num w:numId="20">
    <w:abstractNumId w:val="308435"/>
  </w:num>
  <w:num w:numId="21">
    <w:abstractNumId w:val="308436"/>
  </w:num>
  <w:num w:numId="22">
    <w:abstractNumId w:val="308437"/>
  </w:num>
  <w:num w:numId="23">
    <w:abstractNumId w:val="308438"/>
  </w:num>
  <w:num w:numId="24">
    <w:abstractNumId w:val="308439"/>
  </w:num>
  <w:num w:numId="25">
    <w:abstractNumId w:val="308440"/>
  </w:num>
  <w:num w:numId="26">
    <w:abstractNumId w:val="308441"/>
  </w:num>
  <w:num w:numId="27">
    <w:abstractNumId w:val="308442"/>
  </w:num>
  <w:num w:numId="28">
    <w:abstractNumId w:val="308443"/>
  </w:num>
  <w:num w:numId="29">
    <w:abstractNumId w:val="308444"/>
  </w:num>
  <w:num w:numId="30">
    <w:abstractNumId w:val="308445"/>
  </w:num>
  <w:num w:numId="31">
    <w:abstractNumId w:val="308446"/>
  </w:num>
  <w:num w:numId="32">
    <w:abstractNumId w:val="308447"/>
  </w:num>
  <w:num w:numId="33">
    <w:abstractNumId w:val="308448"/>
  </w:num>
  <w:num w:numId="34">
    <w:abstractNumId w:val="308449"/>
  </w:num>
  <w:num w:numId="35">
    <w:abstractNumId w:val="308450"/>
  </w:num>
  <w:num w:numId="36">
    <w:abstractNumId w:val="308451"/>
  </w:num>
  <w:num w:numId="37">
    <w:abstractNumId w:val="308452"/>
  </w:num>
  <w:num w:numId="38">
    <w:abstractNumId w:val="3084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2026-04-23T20:10:53Z</dcterms:created>
  <dc:creator>Apache POI</dc:creator>
</cp:coreProperties>
</file>