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企业级电商运营后台模块（MVP+后期拓展）完整业务流程与</w:t>
      </w:r>
      <w:r>
        <w:rPr>
          <w:rFonts w:eastAsia="等线" w:ascii="Arial" w:cs="Arial" w:hAnsi="Arial"/>
          <w:b w:val="true"/>
          <w:sz w:val="52"/>
        </w:rPr>
        <w:t>边界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本文档整合运营后台模块 MVP最小可行版本 与 后期拓展完整版 业务，明确各阶段业务流程、职责边界，贴合mallFei微服务架构（与mall-user、mall-auth、商品、购物车、订单、支付、库存、售后等模块协同），兼顾当前落地与后期迭代，融入DDD领域驱动设计思维，明确事务边界与聚合关系，聚焦运营管控核心需求，可直接用于项目开发、文档归档、面试阐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一、运营后台模块定位（结合微服务拆分·后期完整版）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电商运营后台模块≠单纯数据展示，是 全平台业务管控+数据统计分析+运营策略落地+异常处理+权限管控 的一体化核心运营中枢，是整个电商系统的“指挥中心”，承接商品管控、订单管理、库存调控、营销落地、用户管理、数据监控等核心运营环节，联动全系统多模块实现对电商业务的全流程管控，直接决定运营效率、业务优化方向及平台整体运营效果，是电商业务精细化运营的核心载体，同时遵循DDD领域设计原则，明确与各业务模块的事务边界，作为独立聚合，承担运营管控的核心职责，不侵入其他模块的业务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微服务拆分（后期拓展阶段）与DDD领域驱动设计思维，完整运营后台模块包含六大核心域，各域独立承载对应业务，同时与mall-auth认证中心、mall-user用户模块及各业务模块协同工作，实现数据与业务分离，保障微服务独立性，兼顾运营管控效率与业务合规性，明确运营后台作为“管控中枢”的聚合边界，仅负责指令下发、数据汇总与结果反馈，不直接处理业务逻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运营域：核心承载商品全生命周期管控，包含商品上下架审核、商品信息编辑、商品分类管理、商品规格配置、商品违规管控，对接商品模块，实现商品运营策略落地，同时记录商品运营日志，支撑商品运营优化，契合DDD值对象设计，仅存储商品运营相关核心配置，不冗余存储商品核心业务数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运营域：负责订单全流程管控与异常处理，包含订单查询、订单状态手动调整、异常订单处理、订单批量操作、订单日志查看，对接订单模块，响应订单运营需求，同步订单处理结果，确保订单履约顺畅，同时追溯订单异常原因，支撑订单运营优化，契合DDD聚合的事务一致性要求，不干预订单模块的核心业务逻辑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运营域：负责库存全局管控与预警处理，包含库存查询、库存手动调整、库存预警设置、库存调拨审核、库存盘点管理，对接库存模块，下发库存管控指令，接收库存预警与异常通知，统筹库存资源调配，规避库存风险，通过领域事件监听实现与库存模块的异步联动，避免跨模块事务耦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运营域：负责营销活动全流程落地与管控，包含营销活动创建、优惠券配置、积分规则设置、满减/满赠活动管控、营销数据监控，对接营销模块与各业务模块，实现营销策略的下发与执行，跟踪营销活动效果，支撑营销优化，明确营销运营与业务执行的边界，仅负责策略配置与效果监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运营域：负责全平台业务数据统计与分析，包含核心数据监控、数据报表生成、数据筛选查询、数据导出，对接各业务模块，汇总商品、订单、库存、支付、用户等核心数据，生成运营决策所需的数据支撑，契合DDD领域事件的可追溯性要求，确保数据真实、可查、可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域：负责运营后台自身的配置与管控，包含角色权限管理、运营账号管理、操作日志记录、系统参数配置、消息通知管理，对接mall-auth认证中心与mall-user用户模块，实现运营权限的精细化管控，保障运营后台操作安全、合规，作为运营后台的基础支撑域，支撑其他五大域的业务落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运营后台模块基于微服务拆分与DDD领域驱动设计原则，核心遵循“管控独立、联动高效、权限可控”原则，与上述六大核心域适配，支撑后期拓展完整版业务，与全系统微服务协同高效运行，同时保障运营操作便捷、数据准确、权限安全，明确运营后台聚合与其他模块的依赖关系，避免事务耦合，仅承担“管控、汇总、反馈”的核心职责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ll-auth认证中心：独立承担运营后台所有接口的鉴权管控与权限校验，运营后台不负责鉴权逻辑，仅依赖其完成运营人员的身份校验、角色权限分配与操作权限管控（如超级管理员可操作所有功能、商品运营仅可操作商品相关功能、财务运营仅可查看对账数据），确保运营操作的权限边界清晰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核心：聚焦六大核心域的运营管控业务落地与数据汇总，MVP阶段完成商品运营域、订单运营域、库存运营域、系统管理域的基础业务闭环，重点实现核心业务的基础管控与数据查看，支撑运营人员完成日常基础工作；后期拓展阶段完善六大核心域全部功能，新增营销运营域、数据运营域的精细化功能，新增批量操作、精细化权限管控、自定义报表等企业级功能，形成完整运营中台能力，适配精细化运营、多角色协同的需求，同时优化领域事件联动机制，提升与各业务模块的协同效率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全系统协同（遵循DDD事务边界）：向商品模块下发商品上下架、信息编辑、违规管控等指令，接收商品模块反馈的商品状态与运营数据；向订单模块下发订单查询、状态调整、异常处理等指令，接收订单模块反馈的订单数据与异常信息；向库存模块下发库存调整、预警设置、调拨审核等指令，接收库存模块反馈的库存数据、预警信息与异常通知；向支付模块查询支付数据、对账数据，接收支付模块反馈的支付异常信息；向售后模块查询售后数据，下发售后异常处理指令；向mall-user用户模块查询用户数据，下发用户管控指令；向营销模块下发营销活动配置、优惠券管控等指令，接收营销模块反馈的营销数据与活动效果；所有联动均通过领域事件异步实现，运营后台仅下发指令、汇总数据，不直接处理业务逻辑，避免跨模块事务耦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三、MVP阶段业务流程（当前落地核心）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标：跑通运营后台主链路，支撑运营人员完成商品、订单、库存的基础管控与系统配置，仅保留必备功能，不做冗余拓展（聚焦六大核心域中的基础部分），优先保障运营操作便捷性、数据准确性与权限安全性，遵循DDD事务边界，确保运营指令下发与数据汇总的顺畅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3.1 核心业务流程（6大必备）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账号与权限配置：超级管理员经mall-auth鉴权通过后，进入系统管理域，创建运营账号（关联mall-user用户信息），分配角色（如商品运营、订单运营、库存运营），配置角色权限（如商品运营仅可操作商品上下架、信息编辑）；运营账号登录时，经mall-auth鉴权与权限校验，仅可访问自身权限范围内的功能模块，确保运营操作的权限边界，同时记录账号创建、权限分配日志，支撑权限追溯，契合DDD权限边界设计要求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基础运营：商品运营人员经鉴权与权限校验通过后，进入商品运营域，可查询全平台商品数据（对接商品模块），编辑商品基础信息（名称、图片、规格、价格），审核商品上下架申请（商品模块发起），标记违规商品（如虚假宣传、违规定价）并下发下架指令；操作完成后，同步指令至商品模块，接收商品模块反馈的操作结果，记录商品运营日志，确保商品运营操作可追溯，不干预商品模块的核心业务逻辑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基础管控：订单运营人员经鉴权与权限校验通过后，进入订单运营域，可查询全平台订单数据（支持按订单ID、用户手机号、订单状态筛选），查看订单详情（对接订单模块），手动处理异常订单（如订单地址错误、支付异常），调整订单状态（如待发货订单改为已取消）；操作完成后，同步指令至订单模块，接收订单模块反馈的操作结果，记录订单操作日志，支撑订单异常排查，仅处理订单管控层面的操作，不参与订单核心业务流程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基础管控：库存运营人员经鉴权与权限校验通过后，进入库存运营域，可查询全平台商品库存数据（对接库存模块），查看库存详情（可用库存、冻结库存、操作日志），手动调整库存数量（如库存盘点后调整），设置商品库存预警阈值（低库存、高库存）；接收库存模块推送的库存预警通知，引导仓储人员补货或清仓；操作完成后，同步指令至库存模块，接收库存模块反馈的操作结果，记录库存操作日志，规避库存异常风险，仅下发库存管控指令，不直接执行库存操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数据查看：所有运营人员经鉴权通过后，可查看自身权限范围内的基础业务数据（商品运营查看商品数据、订单运营查看订单数据、库存运营查看库存数据）；数据来源于各业务模块的汇总，支持基础筛选与导出，支撑运营人员日常工作决策，确保数据实时、准确，契合DDD数据聚合的设计原则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与异常监控：系统自动记录所有运营人员的操作日志（操作人、操作时间、操作模块、操作内容、操作结果），运营管理人员可查询所有操作日志，用于权限审计与问题排查；同时监控运营操作异常（如权限不足操作、违规操作），自动标记异常并推送提醒给超级管理员，及时拦截违规操作，保障运营后台安全，契合系统管理域的核心职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四、后期拓展完整版业务流程（企业级升级）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MVP基础上，完善六大核心域全部业务，新增企业级必备功能（精细化营销运营、自定义数据报表、多角色协同、批量操作），适配精细化运营、多角色协同、数据驱动决策的需求，提升运营效率、管控精度与决策科学性，同时深化DDD领域设计应用，优化聚合关系与领域事件联动机制，贴合企业级运营管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4.1 新增拓展业务流程（10大核心，覆盖六大核心域）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精细化运营（商品运营域）：升级商品运营能力，支持商品分类精细化管理（多级分类、分类排序），商品标签配置（如热销、新品、折扣），商品上下架定时设置（自动上下架），商品违规分级管控（轻度违规、重度违规），商品批量编辑与批量上下架；对接商品模块，实现商品运营策略的精细化落地，同时新增商品运营数据统计（商品上架率、违规率、销量排行），支撑商品运营优化，契合DDD值对象的精细化设计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精细化管控（订单运营域）：升级订单运营能力，支持订单批量操作（批量发货、批量取消、批量备注、批量导出），订单异常分类处理（支付异常、物流异常、地址异常），订单售后衔接（查看售后详情、处理售后异常），订单跟踪（实时跟踪订单履约进度）；对接订单模块与售后模块，实现订单全流程精细化管控，新增订单运营数据统计（订单总量、履约率、异常率），支撑订单运营优化，同时记录订单异常处理日志，实现异常闭环管理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精细化运营（库存运营域）：升级库存运营能力，支持多仓库库存统一管控（对接库存模块的多仓库管理功能），库存调拨审核流程（仓储人员发起调拨，运营人员审核），库存盘点精细化管理（自动盘点、手动盘点对比、盘点差异处理），库存预警精细化（按商品、仓库设置差异化预警阈值，分级推送提醒）；接收库存模块反馈的库存异常信息，制定异常处理预案，快速介入处理，新增库存运营数据统计（库存周转率、补货率、积压率），支撑库存资源优化配置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活动全流程运营（营销运营域）：新增营销运营域完整功能，支持营销活动精细化创建（满减、满赠、折扣、优惠券、积分兑换、预售），优惠券精细化配置（使用门槛、有效期、适用商品），积分规则设置（积分获取、积分抵扣、积分过期），营销活动定向推送（按用户群体、商品品类定向推送）；对接营销模块、订单模块、支付模块，跟踪营销活动效果（参与人数、核销率、交易额提升），调整营销策略，新增营销数据统计报表，支撑营销优化，明确营销运营与业务执行的边界，仅负责策略配置与效果监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化数据运营（数据运营域）：新增数据运营域完整功能，支持全平台核心数据实时监控（商品、订单、库存、支付、用户、营销），自定义数据报表（按需选择数据维度、筛选条件），数据可视化展示（图表展示、趋势分析），数据异常预警（如交易额骤降、库存异常波动）；对接各业务模块，汇总精细化数据，支持数据导出与打印，为运营决策提供精准数据支撑，契合DDD领域事件的可追溯性要求，确保数据可查、可用、可分析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精细化运营（系统管理域拓展）：新增用户运营功能，对接mall-user用户模块，支持用户查询（按用户ID、手机号、会员等级筛选），用户标签管理（按消费习惯、消费金额打标），用户分层管控（普通用户、会员用户、VIP用户），用户消息推送（站内消息、短信推送）；支撑用户留存、复购运营策略落地，新增用户运营数据统计（用户活跃度、复购率、留存率），支撑用户运营优化，不干预用户模块的核心业务逻辑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精细化管理（系统管理域）：升级系统管理域的权限管控能力，支持角色精细化配置（自定义角色、权限细分到按钮级），运营账号分级管理（超级管理员、一级运营、二级运营），操作权限动态调整（实时修改角色权限），权限审计（定期生成权限审计报表，排查权限违规）；对接mall-auth认证中心，实现权限的精细化管控，确保运营操作的安全性与合规性，契合DDD权限边界设计要求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与自动化运营（全域联动）：新增批量操作功能，支持商品、订单、库存、用户的批量处理，提升运营效率；新增自动化运营规则配置（如低库存自动提醒、订单超时自动取消、优惠券到期自动提醒），系统按规则自动执行操作，减少人工干预；对接各业务模块，实现自动化运营策略落地，同时记录自动化操作日志，支撑运营优化，提升运营效率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色协同运营（全域联动）：新增多角色协同功能，支持运营人员之间的任务分配、消息协作（如订单异常分配给指定运营处理、库存预警同步给仓储人员），协同日志记录（记录协同操作过程）；支持跨模块协同（如商品运营与库存运营协同处理商品库存不足问题），提升运营协同效率，契合企业级多角色运营需求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与安全管控（全域联动）：新增合规与安全管控功能，对接监管要求，实现运营操作合规校验（如商品定价合规、营销活动合规），运营数据长期留存（满足监管留存要求）；新增操作安全管控（如敏感操作二次验证、登录异常提醒、违规操作拦截），定期生成安全审计报表，支撑监管检查；确保运营后台操作合规、数据安全，契合企业级运营的合规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五、完整业务边界（MVP+拓展通用，贴合六大核心域）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运营后台模块核心职责、内外边界与禁止范围，遵循DDD领域驱动设计原则，避免跨域处理业务，保障微服务架构的独立性与可维护性，同时适配六大核心域的业务范围，与全系统微服务协同高效，兼顾运营管控效率与业务合规，明确运营后台作为“管控中枢”的聚合边界，不侵入其他模块的核心业务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5.1 核心职责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六大核心域（商品运营域、订单运营域、库存运营域、营销运营域、数据运营域、系统管理域）的运营管控业务落地与数据汇总；依托mall-auth认证中心完成运营人员的身份校验与权限管控，遵循DDD事务边界与聚合设计原则，联动商品、购物车、订单、支付、库存、售后等所有业务模块，实现商品管控、订单管控、库存调控、营销落地、数据统计、系统配置等核心运营业务，下发运营指令、汇总业务数据、反馈操作结果，支撑电商业务精细化运营，不直接处理各模块的核心业务逻辑，仅承担管控与汇总职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5.2 对内边界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商品模块下发商品上下架、信息编辑、违规管控、分类配置等运营指令，接收商品模块反馈的商品状态、运营数据与操作结果；不处理商品创建、库存初始化等商品模块核心业务，仅负责商品运营管控，契合DDD事务边界原则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向订单模块下发订单查询、状态调整、异常处理、批量操作等运营指令，接收订单模块反馈的订单数据、异常信息与操作结果；不处理订单创建、支付衔接等订单模块核心业务，仅负责订单运营管控。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向库存模块下发库存查询、库存调整、预警设置、调拨审核等运营指令，接收库存模块反馈的库存数据、预警信息与异常通知；不处理库存扣减、回补等库存模块核心业务，仅负责库存运营管控。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向支付模块下发支付数据查询、对账数据查询等指令，接收支付模块反馈的支付数据、对账结果与支付异常信息；不处理支付发起、退款等支付模块核心业务，仅负责支付相关运营监控。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向售后模块下发售后查询、异常处理等指令，接收售后模块反馈的售后数据与操作结果；不处理售后申请、审核等售后模块核心业务，仅负责售后相关运营管控。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向mall-user用户模块下发用户查询、标签管理、消息推送等指令，接收用户模块反馈的用户数据与操作结果；不处理用户注册、登录等用户模块核心业务，仅负责用户运营管控。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向营销模块下发营销活动配置、优惠券管控、积分规则设置等指令，接收营销模块反馈的营销数据与活动效果；不处理营销规则执行、优惠核销等营销模块核心业务，仅负责营销运营管控。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mall-auth认证中心完成运营权限管控，不负责鉴权逻辑与Token会话管理；汇总各模块业务数据，生成运营报表，支撑运营决策；不接收其他模块的非运营相关业务指令，不处理跨域业务逻辑，仅提供指令下发与数据交互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5.3 对外边界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对外开放接口：MVP阶段开放运营账号管理、商品运营、订单运营、库存运营、基础数据查询、操作日志查询接口；后期拓展后，新增营销运营、数据运营、用户运营、批量操作、自动化运营等接口；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访问范围：仅向PC运营后台开放所有运营功能接口（按角色权限区分访问范围），向系统内微服务（商品、订单、库存等）开放指令下发与数据交互接口；不向C端（H5、APP、小程序）开放任何运营接口，确保运营管控的安全性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敏感数据保护：不暴露用户隐私信息（完整手机号、身份证号）、商品成本、支付密码、仓储敏感信息等敏感数据，所有接口返回数据均进行脱敏处理；严格保护运营操作日志、核心业务数据，防止数据泄露；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鉴权要求：所有运营接口均需通过mall-auth模块的Sa-Token鉴权与角色权限校验，不同角色仅可访问自身权限范围内的接口；敏感操作（如批量调整库存、修改运营权限）需进行二次验证，确保运营操作安全、合规。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5.4 禁止范围</w:t>
      </w:r>
      <w:bookmarkEnd w:id="10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不处理商品创建、订单创建、支付发起、库存扣减、售后审核等各业务模块的核心业务逻辑；不侵入其他模块的事务闭环，仅通过领域事件实现异步联动，遵循DDD事务边界原则，仅承担运营管控与数据汇总职责。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储商品核心数据、订单核心数据、库存核心数据、用户完整信息、支付记录等非运营类数据，仅存储运营相关数据（运营账号、角色权限、操作日志、运营配置、数据报表等），契合DDD值对象与聚合设计要求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不负责登录鉴权、Token会话管理、业务逻辑执行（统一由对应业务模块承担）；不直接处理商品发货、补货、支付结算等实物或资金相关操作，仅提供运营管控指令支撑。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跨域修改其他领域数据，不接收其他领域的非运营相关业务指令（仅提供指令下发与数据交互支撑）；不允许未经鉴权或权限不足的运营操作，严格管控敏感操作与高危接口的访问权限；不允许突破事务边界，干预其他模块的核心业务流程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开放敏感数据查询接口，不允许运营人员查看用户隐私信息、商品成本、支付密码等敏感数据；不允许修改运营核心业务数据（如历史操作日志、权限配置）；不允许违规下发运营指令（如违规调整订单状态、恶意修改库存），所有运营操作均需记录日志并可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六、阶段迭代说明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关键业务（对应六大核心域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跑通运营后台主链路，支撑运营</w:t>
            </w:r>
            <w:r>
              <w:rPr>
                <w:rFonts w:eastAsia="等线" w:ascii="Arial" w:cs="Arial" w:hAnsi="Arial"/>
                <w:sz w:val="22"/>
              </w:rPr>
              <w:t>人员完成商品、订单、库存的基础管控与系统配置，保障运营操作便捷</w:t>
            </w:r>
            <w:r>
              <w:rPr>
                <w:rFonts w:eastAsia="等线" w:ascii="Arial" w:cs="Arial" w:hAnsi="Arial"/>
                <w:sz w:val="22"/>
              </w:rPr>
              <w:t>、数据准确、权限安全，遵循DDD基础事务边界，实现运营指令下发</w:t>
            </w:r>
            <w:r>
              <w:rPr>
                <w:rFonts w:eastAsia="等线" w:ascii="Arial" w:cs="Arial" w:hAnsi="Arial"/>
                <w:sz w:val="22"/>
              </w:rPr>
              <w:t>与数据汇总的顺畅性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商品运营域（基础商品</w:t>
            </w:r>
            <w:r>
              <w:rPr>
                <w:rFonts w:eastAsia="等线" w:ascii="Arial" w:cs="Arial" w:hAnsi="Arial"/>
                <w:sz w:val="22"/>
              </w:rPr>
              <w:t>管控）、订单运营域（基础订单管控）、库存运营域（基础库存</w:t>
            </w:r>
            <w:r>
              <w:rPr>
                <w:rFonts w:eastAsia="等线" w:ascii="Arial" w:cs="Arial" w:hAnsi="Arial"/>
                <w:sz w:val="22"/>
              </w:rPr>
              <w:t>管控）、系统管理域（账号与权限配置、操作日志）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mall-auth（Sa-Token鉴权、角色权限校验）、mall</w:t>
            </w:r>
            <w:r>
              <w:rPr>
                <w:rFonts w:eastAsia="等线" w:ascii="Arial" w:cs="Arial" w:hAnsi="Arial"/>
                <w:sz w:val="22"/>
              </w:rPr>
              <w:t>-user（用户信息支撑）、商品模块、订单模块、库存模块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</w:t>
            </w:r>
            <w:r>
              <w:rPr>
                <w:rFonts w:eastAsia="等线" w:ascii="Arial" w:cs="Arial" w:hAnsi="Arial"/>
                <w:sz w:val="22"/>
              </w:rPr>
              <w:t>拓展阶段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升级为企业级运营中台，满足精细化运营</w:t>
            </w:r>
            <w:r>
              <w:rPr>
                <w:rFonts w:eastAsia="等线" w:ascii="Arial" w:cs="Arial" w:hAnsi="Arial"/>
                <w:sz w:val="22"/>
              </w:rPr>
              <w:t>、多角色协同、数据驱动决策需求，完善六大核心域，深化DDD</w:t>
            </w:r>
            <w:r>
              <w:rPr>
                <w:rFonts w:eastAsia="等线" w:ascii="Arial" w:cs="Arial" w:hAnsi="Arial"/>
                <w:sz w:val="22"/>
              </w:rPr>
              <w:t>领域设计应用，提升运营效率与管控精度，支撑企业级电商运营需求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六大核心域全部业务（商品</w:t>
            </w:r>
            <w:r>
              <w:rPr>
                <w:rFonts w:eastAsia="等线" w:ascii="Arial" w:cs="Arial" w:hAnsi="Arial"/>
                <w:sz w:val="22"/>
              </w:rPr>
              <w:t>精细化运营、订单精细化管控、库存精细化运营、营销</w:t>
            </w:r>
            <w:r>
              <w:rPr>
                <w:rFonts w:eastAsia="等线" w:ascii="Arial" w:cs="Arial" w:hAnsi="Arial"/>
                <w:sz w:val="22"/>
              </w:rPr>
              <w:t>运营、数据运营、权限精细化管理等）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mall-auth（精细化鉴权、权限管控）、mall-user、</w:t>
            </w:r>
            <w:r>
              <w:rPr>
                <w:rFonts w:eastAsia="等线" w:ascii="Arial" w:cs="Arial" w:hAnsi="Arial"/>
                <w:sz w:val="22"/>
              </w:rPr>
              <w:t>商品模块、订单模块、库存模块、支付模块、售后模块、营销模块、</w:t>
            </w:r>
            <w:r>
              <w:rPr>
                <w:rFonts w:eastAsia="等线" w:ascii="Arial" w:cs="Arial" w:hAnsi="Arial"/>
                <w:sz w:val="22"/>
              </w:rPr>
              <w:t>消息服务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1211">
    <w:lvl>
      <w:start w:val="1"/>
      <w:numFmt w:val="decimal"/>
      <w:suff w:val="tab"/>
      <w:lvlText w:val="%1."/>
      <w:rPr>
        <w:color w:val="3370ff"/>
      </w:rPr>
    </w:lvl>
  </w:abstractNum>
  <w:abstractNum w:abstractNumId="291212">
    <w:lvl>
      <w:start w:val="2"/>
      <w:numFmt w:val="decimal"/>
      <w:suff w:val="tab"/>
      <w:lvlText w:val="%1."/>
      <w:rPr>
        <w:color w:val="3370ff"/>
      </w:rPr>
    </w:lvl>
  </w:abstractNum>
  <w:abstractNum w:abstractNumId="291213">
    <w:lvl>
      <w:start w:val="3"/>
      <w:numFmt w:val="decimal"/>
      <w:suff w:val="tab"/>
      <w:lvlText w:val="%1."/>
      <w:rPr>
        <w:color w:val="3370ff"/>
      </w:rPr>
    </w:lvl>
  </w:abstractNum>
  <w:abstractNum w:abstractNumId="291214">
    <w:lvl>
      <w:start w:val="4"/>
      <w:numFmt w:val="decimal"/>
      <w:suff w:val="tab"/>
      <w:lvlText w:val="%1."/>
      <w:rPr>
        <w:color w:val="3370ff"/>
      </w:rPr>
    </w:lvl>
  </w:abstractNum>
  <w:abstractNum w:abstractNumId="291215">
    <w:lvl>
      <w:start w:val="5"/>
      <w:numFmt w:val="decimal"/>
      <w:suff w:val="tab"/>
      <w:lvlText w:val="%1."/>
      <w:rPr>
        <w:color w:val="3370ff"/>
      </w:rPr>
    </w:lvl>
  </w:abstractNum>
  <w:abstractNum w:abstractNumId="291216">
    <w:lvl>
      <w:start w:val="6"/>
      <w:numFmt w:val="decimal"/>
      <w:suff w:val="tab"/>
      <w:lvlText w:val="%1."/>
      <w:rPr>
        <w:color w:val="3370ff"/>
      </w:rPr>
    </w:lvl>
  </w:abstractNum>
  <w:abstractNum w:abstractNumId="291217">
    <w:lvl>
      <w:numFmt w:val="bullet"/>
      <w:suff w:val="tab"/>
      <w:lvlText w:val="•"/>
      <w:rPr>
        <w:color w:val="3370ff"/>
      </w:rPr>
    </w:lvl>
  </w:abstractNum>
  <w:abstractNum w:abstractNumId="291218">
    <w:lvl>
      <w:numFmt w:val="bullet"/>
      <w:suff w:val="tab"/>
      <w:lvlText w:val="•"/>
      <w:rPr>
        <w:color w:val="3370ff"/>
      </w:rPr>
    </w:lvl>
  </w:abstractNum>
  <w:abstractNum w:abstractNumId="291219">
    <w:lvl>
      <w:numFmt w:val="bullet"/>
      <w:suff w:val="tab"/>
      <w:lvlText w:val="•"/>
      <w:rPr>
        <w:color w:val="3370ff"/>
      </w:rPr>
    </w:lvl>
  </w:abstractNum>
  <w:abstractNum w:abstractNumId="291220">
    <w:lvl>
      <w:start w:val="1"/>
      <w:numFmt w:val="decimal"/>
      <w:suff w:val="tab"/>
      <w:lvlText w:val="%1."/>
      <w:rPr>
        <w:color w:val="3370ff"/>
      </w:rPr>
    </w:lvl>
  </w:abstractNum>
  <w:abstractNum w:abstractNumId="291221">
    <w:lvl>
      <w:start w:val="2"/>
      <w:numFmt w:val="decimal"/>
      <w:suff w:val="tab"/>
      <w:lvlText w:val="%1."/>
      <w:rPr>
        <w:color w:val="3370ff"/>
      </w:rPr>
    </w:lvl>
  </w:abstractNum>
  <w:abstractNum w:abstractNumId="291222">
    <w:lvl>
      <w:start w:val="3"/>
      <w:numFmt w:val="decimal"/>
      <w:suff w:val="tab"/>
      <w:lvlText w:val="%1."/>
      <w:rPr>
        <w:color w:val="3370ff"/>
      </w:rPr>
    </w:lvl>
  </w:abstractNum>
  <w:abstractNum w:abstractNumId="291223">
    <w:lvl>
      <w:start w:val="4"/>
      <w:numFmt w:val="decimal"/>
      <w:suff w:val="tab"/>
      <w:lvlText w:val="%1."/>
      <w:rPr>
        <w:color w:val="3370ff"/>
      </w:rPr>
    </w:lvl>
  </w:abstractNum>
  <w:abstractNum w:abstractNumId="291224">
    <w:lvl>
      <w:start w:val="5"/>
      <w:numFmt w:val="decimal"/>
      <w:suff w:val="tab"/>
      <w:lvlText w:val="%1."/>
      <w:rPr>
        <w:color w:val="3370ff"/>
      </w:rPr>
    </w:lvl>
  </w:abstractNum>
  <w:abstractNum w:abstractNumId="291225">
    <w:lvl>
      <w:start w:val="6"/>
      <w:numFmt w:val="decimal"/>
      <w:suff w:val="tab"/>
      <w:lvlText w:val="%1."/>
      <w:rPr>
        <w:color w:val="3370ff"/>
      </w:rPr>
    </w:lvl>
  </w:abstractNum>
  <w:abstractNum w:abstractNumId="291226">
    <w:lvl>
      <w:start w:val="1"/>
      <w:numFmt w:val="decimal"/>
      <w:suff w:val="tab"/>
      <w:lvlText w:val="%1."/>
      <w:rPr>
        <w:color w:val="3370ff"/>
      </w:rPr>
    </w:lvl>
  </w:abstractNum>
  <w:abstractNum w:abstractNumId="291227">
    <w:lvl>
      <w:start w:val="2"/>
      <w:numFmt w:val="decimal"/>
      <w:suff w:val="tab"/>
      <w:lvlText w:val="%1."/>
      <w:rPr>
        <w:color w:val="3370ff"/>
      </w:rPr>
    </w:lvl>
  </w:abstractNum>
  <w:abstractNum w:abstractNumId="291228">
    <w:lvl>
      <w:start w:val="3"/>
      <w:numFmt w:val="decimal"/>
      <w:suff w:val="tab"/>
      <w:lvlText w:val="%1."/>
      <w:rPr>
        <w:color w:val="3370ff"/>
      </w:rPr>
    </w:lvl>
  </w:abstractNum>
  <w:abstractNum w:abstractNumId="291229">
    <w:lvl>
      <w:start w:val="4"/>
      <w:numFmt w:val="decimal"/>
      <w:suff w:val="tab"/>
      <w:lvlText w:val="%1."/>
      <w:rPr>
        <w:color w:val="3370ff"/>
      </w:rPr>
    </w:lvl>
  </w:abstractNum>
  <w:abstractNum w:abstractNumId="291230">
    <w:lvl>
      <w:start w:val="5"/>
      <w:numFmt w:val="decimal"/>
      <w:suff w:val="tab"/>
      <w:lvlText w:val="%1."/>
      <w:rPr>
        <w:color w:val="3370ff"/>
      </w:rPr>
    </w:lvl>
  </w:abstractNum>
  <w:abstractNum w:abstractNumId="291231">
    <w:lvl>
      <w:start w:val="6"/>
      <w:numFmt w:val="decimal"/>
      <w:suff w:val="tab"/>
      <w:lvlText w:val="%1."/>
      <w:rPr>
        <w:color w:val="3370ff"/>
      </w:rPr>
    </w:lvl>
  </w:abstractNum>
  <w:abstractNum w:abstractNumId="291232">
    <w:lvl>
      <w:start w:val="7"/>
      <w:numFmt w:val="decimal"/>
      <w:suff w:val="tab"/>
      <w:lvlText w:val="%1."/>
      <w:rPr>
        <w:color w:val="3370ff"/>
      </w:rPr>
    </w:lvl>
  </w:abstractNum>
  <w:abstractNum w:abstractNumId="291233">
    <w:lvl>
      <w:start w:val="8"/>
      <w:numFmt w:val="decimal"/>
      <w:suff w:val="tab"/>
      <w:lvlText w:val="%1."/>
      <w:rPr>
        <w:color w:val="3370ff"/>
      </w:rPr>
    </w:lvl>
  </w:abstractNum>
  <w:abstractNum w:abstractNumId="291234">
    <w:lvl>
      <w:start w:val="9"/>
      <w:numFmt w:val="decimal"/>
      <w:suff w:val="tab"/>
      <w:lvlText w:val="%1."/>
      <w:rPr>
        <w:color w:val="3370ff"/>
      </w:rPr>
    </w:lvl>
  </w:abstractNum>
  <w:abstractNum w:abstractNumId="291235">
    <w:lvl>
      <w:start w:val="10"/>
      <w:numFmt w:val="decimal"/>
      <w:suff w:val="tab"/>
      <w:lvlText w:val="%1."/>
      <w:rPr>
        <w:color w:val="3370ff"/>
      </w:rPr>
    </w:lvl>
  </w:abstractNum>
  <w:abstractNum w:abstractNumId="291236">
    <w:lvl>
      <w:numFmt w:val="bullet"/>
      <w:suff w:val="tab"/>
      <w:lvlText w:val="•"/>
      <w:rPr>
        <w:color w:val="3370ff"/>
      </w:rPr>
    </w:lvl>
  </w:abstractNum>
  <w:abstractNum w:abstractNumId="291237">
    <w:lvl>
      <w:numFmt w:val="bullet"/>
      <w:suff w:val="tab"/>
      <w:lvlText w:val="•"/>
      <w:rPr>
        <w:color w:val="3370ff"/>
      </w:rPr>
    </w:lvl>
  </w:abstractNum>
  <w:abstractNum w:abstractNumId="291238">
    <w:lvl>
      <w:numFmt w:val="bullet"/>
      <w:suff w:val="tab"/>
      <w:lvlText w:val="•"/>
      <w:rPr>
        <w:color w:val="3370ff"/>
      </w:rPr>
    </w:lvl>
  </w:abstractNum>
  <w:abstractNum w:abstractNumId="291239">
    <w:lvl>
      <w:numFmt w:val="bullet"/>
      <w:suff w:val="tab"/>
      <w:lvlText w:val="•"/>
      <w:rPr>
        <w:color w:val="3370ff"/>
      </w:rPr>
    </w:lvl>
  </w:abstractNum>
  <w:abstractNum w:abstractNumId="291240">
    <w:lvl>
      <w:numFmt w:val="bullet"/>
      <w:suff w:val="tab"/>
      <w:lvlText w:val="•"/>
      <w:rPr>
        <w:color w:val="3370ff"/>
      </w:rPr>
    </w:lvl>
  </w:abstractNum>
  <w:abstractNum w:abstractNumId="291241">
    <w:lvl>
      <w:numFmt w:val="bullet"/>
      <w:suff w:val="tab"/>
      <w:lvlText w:val="•"/>
      <w:rPr>
        <w:color w:val="3370ff"/>
      </w:rPr>
    </w:lvl>
  </w:abstractNum>
  <w:abstractNum w:abstractNumId="291242">
    <w:lvl>
      <w:numFmt w:val="bullet"/>
      <w:suff w:val="tab"/>
      <w:lvlText w:val="•"/>
      <w:rPr>
        <w:color w:val="3370ff"/>
      </w:rPr>
    </w:lvl>
  </w:abstractNum>
  <w:abstractNum w:abstractNumId="291243">
    <w:lvl>
      <w:numFmt w:val="bullet"/>
      <w:suff w:val="tab"/>
      <w:lvlText w:val="•"/>
      <w:rPr>
        <w:color w:val="3370ff"/>
      </w:rPr>
    </w:lvl>
  </w:abstractNum>
  <w:abstractNum w:abstractNumId="291244">
    <w:lvl>
      <w:numFmt w:val="bullet"/>
      <w:suff w:val="tab"/>
      <w:lvlText w:val="•"/>
      <w:rPr>
        <w:color w:val="3370ff"/>
      </w:rPr>
    </w:lvl>
  </w:abstractNum>
  <w:abstractNum w:abstractNumId="291245">
    <w:lvl>
      <w:numFmt w:val="bullet"/>
      <w:suff w:val="tab"/>
      <w:lvlText w:val="•"/>
      <w:rPr>
        <w:color w:val="3370ff"/>
      </w:rPr>
    </w:lvl>
  </w:abstractNum>
  <w:abstractNum w:abstractNumId="291246">
    <w:lvl>
      <w:numFmt w:val="bullet"/>
      <w:suff w:val="tab"/>
      <w:lvlText w:val="•"/>
      <w:rPr>
        <w:color w:val="3370ff"/>
      </w:rPr>
    </w:lvl>
  </w:abstractNum>
  <w:abstractNum w:abstractNumId="291247">
    <w:lvl>
      <w:numFmt w:val="bullet"/>
      <w:suff w:val="tab"/>
      <w:lvlText w:val="•"/>
      <w:rPr>
        <w:color w:val="3370ff"/>
      </w:rPr>
    </w:lvl>
  </w:abstractNum>
  <w:abstractNum w:abstractNumId="291248">
    <w:lvl>
      <w:numFmt w:val="bullet"/>
      <w:suff w:val="tab"/>
      <w:lvlText w:val="•"/>
      <w:rPr>
        <w:color w:val="3370ff"/>
      </w:rPr>
    </w:lvl>
  </w:abstractNum>
  <w:abstractNum w:abstractNumId="291249">
    <w:lvl>
      <w:numFmt w:val="bullet"/>
      <w:suff w:val="tab"/>
      <w:lvlText w:val="•"/>
      <w:rPr>
        <w:color w:val="3370ff"/>
      </w:rPr>
    </w:lvl>
  </w:abstractNum>
  <w:abstractNum w:abstractNumId="291250">
    <w:lvl>
      <w:numFmt w:val="bullet"/>
      <w:suff w:val="tab"/>
      <w:lvlText w:val="•"/>
      <w:rPr>
        <w:color w:val="3370ff"/>
      </w:rPr>
    </w:lvl>
  </w:abstractNum>
  <w:abstractNum w:abstractNumId="291251">
    <w:lvl>
      <w:numFmt w:val="bullet"/>
      <w:suff w:val="tab"/>
      <w:lvlText w:val="•"/>
      <w:rPr>
        <w:color w:val="3370ff"/>
      </w:rPr>
    </w:lvl>
  </w:abstractNum>
  <w:abstractNum w:abstractNumId="291252">
    <w:lvl>
      <w:numFmt w:val="bullet"/>
      <w:suff w:val="tab"/>
      <w:lvlText w:val="•"/>
      <w:rPr>
        <w:color w:val="3370ff"/>
      </w:rPr>
    </w:lvl>
  </w:abstractNum>
  <w:num w:numId="1">
    <w:abstractNumId w:val="291211"/>
  </w:num>
  <w:num w:numId="2">
    <w:abstractNumId w:val="291212"/>
  </w:num>
  <w:num w:numId="3">
    <w:abstractNumId w:val="291213"/>
  </w:num>
  <w:num w:numId="4">
    <w:abstractNumId w:val="291214"/>
  </w:num>
  <w:num w:numId="5">
    <w:abstractNumId w:val="291215"/>
  </w:num>
  <w:num w:numId="6">
    <w:abstractNumId w:val="291216"/>
  </w:num>
  <w:num w:numId="7">
    <w:abstractNumId w:val="291217"/>
  </w:num>
  <w:num w:numId="8">
    <w:abstractNumId w:val="291218"/>
  </w:num>
  <w:num w:numId="9">
    <w:abstractNumId w:val="291219"/>
  </w:num>
  <w:num w:numId="10">
    <w:abstractNumId w:val="291220"/>
  </w:num>
  <w:num w:numId="11">
    <w:abstractNumId w:val="291221"/>
  </w:num>
  <w:num w:numId="12">
    <w:abstractNumId w:val="291222"/>
  </w:num>
  <w:num w:numId="13">
    <w:abstractNumId w:val="291223"/>
  </w:num>
  <w:num w:numId="14">
    <w:abstractNumId w:val="291224"/>
  </w:num>
  <w:num w:numId="15">
    <w:abstractNumId w:val="291225"/>
  </w:num>
  <w:num w:numId="16">
    <w:abstractNumId w:val="291226"/>
  </w:num>
  <w:num w:numId="17">
    <w:abstractNumId w:val="291227"/>
  </w:num>
  <w:num w:numId="18">
    <w:abstractNumId w:val="291228"/>
  </w:num>
  <w:num w:numId="19">
    <w:abstractNumId w:val="291229"/>
  </w:num>
  <w:num w:numId="20">
    <w:abstractNumId w:val="291230"/>
  </w:num>
  <w:num w:numId="21">
    <w:abstractNumId w:val="291231"/>
  </w:num>
  <w:num w:numId="22">
    <w:abstractNumId w:val="291232"/>
  </w:num>
  <w:num w:numId="23">
    <w:abstractNumId w:val="291233"/>
  </w:num>
  <w:num w:numId="24">
    <w:abstractNumId w:val="291234"/>
  </w:num>
  <w:num w:numId="25">
    <w:abstractNumId w:val="291235"/>
  </w:num>
  <w:num w:numId="26">
    <w:abstractNumId w:val="291236"/>
  </w:num>
  <w:num w:numId="27">
    <w:abstractNumId w:val="291237"/>
  </w:num>
  <w:num w:numId="28">
    <w:abstractNumId w:val="291238"/>
  </w:num>
  <w:num w:numId="29">
    <w:abstractNumId w:val="291239"/>
  </w:num>
  <w:num w:numId="30">
    <w:abstractNumId w:val="291240"/>
  </w:num>
  <w:num w:numId="31">
    <w:abstractNumId w:val="291241"/>
  </w:num>
  <w:num w:numId="32">
    <w:abstractNumId w:val="291242"/>
  </w:num>
  <w:num w:numId="33">
    <w:abstractNumId w:val="291243"/>
  </w:num>
  <w:num w:numId="34">
    <w:abstractNumId w:val="291244"/>
  </w:num>
  <w:num w:numId="35">
    <w:abstractNumId w:val="291245"/>
  </w:num>
  <w:num w:numId="36">
    <w:abstractNumId w:val="291246"/>
  </w:num>
  <w:num w:numId="37">
    <w:abstractNumId w:val="291247"/>
  </w:num>
  <w:num w:numId="38">
    <w:abstractNumId w:val="291248"/>
  </w:num>
  <w:num w:numId="39">
    <w:abstractNumId w:val="291249"/>
  </w:num>
  <w:num w:numId="40">
    <w:abstractNumId w:val="291250"/>
  </w:num>
  <w:num w:numId="41">
    <w:abstractNumId w:val="291251"/>
  </w:num>
  <w:num w:numId="42">
    <w:abstractNumId w:val="2912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2026-04-23T20:13:33Z</dcterms:created>
  <dc:creator>Apache POI</dc:creator>
</cp:coreProperties>
</file>