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企业级电商C端个人中心模块（MVP+后期拓展）完整业务</w:t>
      </w:r>
      <w:r>
        <w:rPr>
          <w:rFonts w:eastAsia="等线" w:ascii="Arial" w:cs="Arial" w:hAnsi="Arial"/>
          <w:b w:val="true"/>
          <w:sz w:val="52"/>
        </w:rPr>
        <w:t>流程与边界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本文档整合C端个人中心模块 MVP最小可行版本 与 后期拓展完整版 业务，明确各阶段业务流程、职责边界，贴合mallFei微服务架构（与mall-user、mall-auth、商品、订单、支付、库存、售后、运营后台等模块协同），兼顾当前落地与后期迭代，融入DDD领域驱动设计思维，明确事务边界与聚合关系，聚焦C端用户核心需求，可直接用于项目开发、文档归档、面试阐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一、C端个人中心模块定位（结合微服务拆分·后期完整版）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电商C端个人中心模块≠单纯用户信息展示，是 用户全生命周期管理+个人业务操作+权益管理+个性化服务 的一体化C端核心入口，是连接用户与平台所有业务的“个人枢纽”，承接用户信息管理、订单管理、支付查询、售后申请、权益兑换、个性化设置等核心个人业务，联动全系统多模块实现用户从注册登录到长期复购的完整服务闭环，直接决定C端用户体验、用户留存率及平台用户粘性，是电商C端业务的核心服务载体，同时遵循DDD领域驱动设计原则，明确与各业务模块的事务边界，作为独立聚合，承担C端用户个人业务的集中展示与操作入口职责，不侵入其他模块的业务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微服务拆分（后期拓展阶段）与DDD领域驱动设计思维，完整C端个人中心模块包含六大核心域，各域独立承载对应业务，同时与mall-auth认证中心、mall-user用户模块及各业务模块协同工作，实现数据与业务分离，保障微服务独立性，兼顾用户体验与业务合规性，明确个人中心作为“用户个人枢纽”的聚合边界，仅负责用户操作入口、数据展示与请求转发，不直接处理核心业务逻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管理域：核心承载用户个人信息的维护与管理，包含基本信息编辑、头像更换、手机号绑定/更换、密码修改、收货地址管理，对接mall-user用户模块，实现用户个人信息的更新与查询，同时记录信息操作日志，保障用户信息安全，契合DDD值对象设计，仅存储用户个人展示与操作相关核心配置，不冗余存储用户核心业务数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订单管理域：负责用户个人订单的集中展示与操作，包含订单查询、订单详情查看、订单取消、订单退款申请、订单物流跟踪，对接订单模块、支付模块、物流模块，转发用户订单操作请求，同步订单相关状态与数据，支撑用户自主管理订单，契合DDD聚合的事务一致性要求，不干预订单模块的核心业务逻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与财务域：负责用户个人支付相关业务的展示与操作，包含支付记录查询、退款记录查询、支付方式管理、余额/积分查询与使用，对接支付模块、营销模块，转发用户支付相关操作请求，同步支付与权益数据，保障用户支付相关操作便捷、透明，通过领域事件监听实现与支付模块的异步联动，避免跨模块事务耦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管理域：负责用户个人售后业务的发起与跟踪，包含售后申请（退货、换货、维修）、售后进度查询、售后凭证上传、售后沟通，对接售后模块、订单模块、库存模块，转发用户售后操作请求，同步售后处理状态，支撑用户自主发起与跟踪售后，明确售后操作与业务执行的边界，仅负责用户端操作入口与状态展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与个性化域：负责用户个人权益管理与个性化设置，包含优惠券、积分、会员权益的展示与使用，个性化推荐设置、消息通知设置、隐私设置，对接营销模块、mall-user用户模块，同步权益数据与个性化配置，提升用户体验，契合DDD领域事件的可追溯性要求，确保权益数据真实、可查、可用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与设置域：负责用户个人账号安全与个人中心基础设置，包含账号登录安全（登录记录查询、设备管理）、隐私权限设置、个人中心显示设置、常见问题查询，对接mall-auth认证中心、mall-user用户模块，保障用户账号安全，支撑用户个性化配置个人中心，作为个人中心的基础支撑域，支撑其他五大域的业务落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二、整体架构说明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C端个人中心模块基于微服务拆分与DDD领域驱动设计原则，核心遵循“用户为中心、操作便捷、数据安全、联动高效”原则，与上述六大核心域适配，支撑后期拓展完整版业务，与全系统微服务协同高效运行，同时保障用户操作便捷、数据准确、账号安全，明确个人中心聚合与其他模块的依赖关系，避免事务耦合，仅承担“入口、展示、转发”的核心职责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-auth认证中心：独立承担C端个人中心所有接口的鉴权管控与权限校验，个人中心不负责鉴权逻辑，仅依赖其完成用户身份校验、登录状态维持与操作权限管控（如仅可操作本人相关业务、敏感操作需二次验证），确保用户操作的权限边界清晰，保障账号安全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核心：聚焦六大核心域的用户操作入口与数据展示，MVP阶段完成个人信息管理域、个人订单管理域、安全与设置域的基础业务闭环，重点实现用户核心个人业务的基础操作与数据展示，支撑用户完成日常个人业务管理；后期拓展阶段完善六大核心域全部功能，新增支付与财务域、售后管理域、权益与个性化域的精细化功能，新增个性化推荐、权益精细化管理、售后便捷操作等企业级功能，形成完整C端个人中心服务能力，适配用户个性化、便捷化需求，同时优化领域事件联动机制，提升与各业务模块的协同效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系统协同（遵循DDD事务边界）：向mall-user用户模块下发个人信息修改、收货地址管理等请求，接收用户模块反馈的用户信息数据；向订单模块下发个人订单查询、订单取消等请求，接收订单模块反馈的订单数据与操作结果；向支付模块下发支付记录查询、支付方式管理等请求，接收支付模块反馈的支付数据；向售后模块下发售后申请、售后查询等请求，接收售后模块反馈的售后数据与处理状态；向物流模块下发物流查询请求，接收物流模块反馈的物流轨迹数据；向营销模块下发权益查询、优惠券使用等请求，接收营销模块反馈的权益数据与活动信息；所有联动均通过领域事件异步实现，个人中心仅提供操作入口、展示数据、转发请求，不直接处理业务逻辑，避免跨模块事务耦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三、MVP阶段业务流程（当前落地核心）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跑通C端个人中心主链路，支撑用户完成个人信息管理、订单查询与基础操作、账号安全设置等核心个人业务，仅保留必备功能，不做冗余拓展（聚焦六大核心域中的基础部分），优先保障用户操作便捷性、数据准确性与账号安全性，遵循DDD事务边界，确保用户操作请求转发与数据展示的顺畅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核心业务流程（6大必备）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与身份校验：用户通过C端（H5、APP、小程序）登录入口输入账号密码/验证码，经mall-auth鉴权通过后，个人中心模块接收用户登录状态，同步从mall-user用户模块获取用户基础信息（头像、昵称、手机号），展示个人中心首页，同时记录用户登录日志，支撑账号安全管控，契合DDD权限边界设计要求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基础信息管理：用户登录后，进入个人信息管理域，可查看个人基础信息（昵称、头像、手机号），编辑昵称、更换头像，修改登录密码，绑定/更换手机号（需短信验证）；操作完成后，个人中心模块将请求转发至mall-user用户模块，接收用户模块反馈的操作结果，同步更新展示数据，记录信息操作日志，确保用户信息修改安全、可追溯，不干预用户模块的核心业务逻辑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货地址管理：用户进入个人信息管理域的收货地址模块，可查看、新增、编辑、删除收货地址，设置默认收货地址；操作完成后，个人中心模块将请求转发至mall-user用户模块，接收用户模块反馈的操作结果，同步更新地址列表，支撑订单结算时的地址选择，确保地址信息准确，契合DDD值对象的基础设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订单基础管理：用户进入个人订单管理域，可查询本人所有订单（支持按订单ID、时间区间、订单状态筛选），查看订单详情（订单信息、支付信息、物流信息），手动取消未支付/未发货订单；操作完成后，个人中心模块将请求转发至订单模块，接收订单模块反馈的操作结果与订单数据，同步更新订单展示状态，支撑用户自主管理订单，仅提供操作入口与数据展示，不参与订单核心业务流程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基础设置：用户进入安全与设置域，可查看账号登录记录（登录时间、登录设备、登录地址），设置登录密码，开启/关闭短信验证，绑定安全设备；个人中心模块将相关请求转发至mall-auth认证中心与mall-user用户模块，接收反馈结果，同步更新安全设置状态，记录安全操作日志，保障用户账号安全，契合安全与设置域的核心职责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消息与通知：系统自动向个人中心推送用户相关消息（订单状态变更、登录提醒、系统通知），用户可在个人中心查看消息列表，标记已读/未读，删除消息；个人中心模块对接消息服务，接收消息数据，展示消息详情，支撑用户及时获取个人相关通知，提升用户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四、后期拓展完整版业务流程（企业级升级）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VP基础上，完善六大核心域全部业务，新增企业级必备功能（支付记录管理、售后自主申请、权益精细化管理、个性化推荐），适配用户个性化、便捷化、多元化需求，提升用户体验、用户留存率与复购率，同时深化DDD领域设计应用，优化聚合关系与领域事件联动机制，贴合企业级C端用户服务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新增拓展业务流程（10大核心，覆盖六大核心域）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精细化管理（个人信息管理域）：升级个人信息管理能力，支持用户完善详细个人资料（性别、生日、喜好），上传个人实名认证信息，管理常用联系人；支持收货地址精细化管理（按地址类型分类、设置地址备注、批量管理地址）；对接mall-user用户模块，实现个人信息的精细化维护，同时新增信息修改记录查询，支撑用户信息追溯，契合DDD值对象的精细化设计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订单精细化管理（个人订单管理域）：升级订单管理能力，支持订单精细化筛选（按商品品类、支付方式、物流状态筛选），订单批量操作（批量取消、批量删除订单记录），订单评价与晒单，订单售后快速入口；对接订单模块、物流模块，实现订单全流程跟踪（物流轨迹实时展示、物流异常提醒），新增订单收藏功能，支撑用户快速查找常用订单，同时同步订单相关数据，提升用户订单管理便捷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与财务精细化管理（支付与财务域）：新增支付与财务域完整功能，支持用户查询个人所有支付记录（按时间、支付方式、订单类型筛选），查看支付详情（支付金额、支付时间、支付流水号）；管理个人支付方式（绑定/解绑银行卡、微信、支付宝，设置默认支付方式）；查询个人余额、积分余额，查看余额/积分变动记录；支持积分兑换商品/优惠券，对接支付模块、营销模块，转发相关操作请求，同步支付与权益数据，确保支付与财务相关操作透明、便捷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自主全流程管理（售后管理域）：新增售后管理域完整功能，支持用户自主发起售后申请（退货、换货、维修），上传售后凭证（图片、视频），填写售后原因与需求；实时跟踪售后进度（审核中、待退货、待换货、已完成），查看售后处理意见；与售后客服在线沟通，反馈售后问题；对接售后模块、订单模块、库存模块，转发售后操作请求，同步售后处理状态，实现用户自主售后全流程操作，提升售后体验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精细化管理（权益与个性化域）：升级权益管理能力，支持用户查看个人所有优惠券（按有效期、使用门槛、适用商品分类），领取平台发放的优惠券，使用优惠券抵扣订单金额；查看会员等级、会员权益，升级会员等级，使用会员专属权益；查询积分获取记录（消费积分、任务积分），参与积分任务获取更多积分；对接营销模块，同步权益数据，支撑用户自主管理个人权益，提升用户粘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服务（权益与个性化域）：新增个性化推荐功能，对接营销模块与商品模块，根据用户历史订单、浏览记录、喜好，向用户推荐个性化商品、优惠券、营销活动；支持用户设置个性化推荐偏好（开启/关闭推荐、设置推荐品类）；支持个人中心展示个性化定制（自定义首页展示模块、调整展示顺序），对接各业务模块，同步个性化配置数据，提升用户体验，契合DDD领域事件的可追溯性要求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精细化管控（安全与设置域）：升级安全管控能力，支持用户设置多因子验证（密码+短信、密码+人脸识别），管理登录设备（解绑异常设备、设置信任设备）；查看账号安全等级，完成安全任务提升安全等级；接收账号异常提醒（异地登录、密码修改、支付异常），快速处理账号安全问题；对接mall-auth认证中心，同步安全设置数据，保障用户账号安全，契合DDD权限边界设计要求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与通知精细化管理（安全与设置域）：升级消息管理能力，支持消息分类（订单消息、支付消息、售后消息、权益消息、系统消息），用户可设置消息接收方式（站内消息、短信、推送），开启/关闭特定类型消息；支持消息置顶、星标收藏，快速查找重要消息；对接消息服务，同步消息数据，支撑用户精细化管理个人消息，避免消息骚扰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与权限精细化设置（安全与设置域）：新增隐私与权限设置功能，支持用户设置个人信息展示权限（如昵称、头像是否公开），管理第三方授权（解绑第三方登录账号）；设置订单、支付、售后等数据的查看权限，保护个人隐私；对接mall-user用户模块与mall-auth认证中心，同步隐私与权限配置，确保用户隐私安全，契合企业级用户隐私合规需求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与帮助（全域联动）：新增用户反馈功能，用户可在个人中心提交意见反馈、投诉建议，上传反馈凭证，跟踪反馈处理进度；新增常见问题查询（FAQ），分类展示个人中心相关、订单相关、支付相关、售后相关的常见问题与解决方案；对接运营后台，转发用户反馈与投诉，接收反馈处理结果，同步给用户，实现用户反馈闭环管理，提升用户满意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五、完整业务边界（MVP+拓展通用，贴合六大核心域）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C端个人中心模块核心职责、内外边界与禁止范围，遵循DDD领域驱动设计原则，避免跨域处理业务，保障微服务架构的独立性与可维护性，同时适配六大核心域的业务范围，与全系统微服务协同高效，兼顾用户体验与业务合规，明确个人中心作为“用户个人枢纽”的聚合边界，不侵入其他模块的核心业务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5.1 核心职责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六大核心域（个人信息管理域、个人订单管理域、支付与财务域、售后管理域、权益与个性化域、安全与设置域）的用户操作入口与数据展示；依托mall-auth认证中心完成用户身份校验与权限管控，遵循DDD事务边界与聚合设计原则，联动mall-user、订单、支付、库存、售后、营销等所有业务模块，实现个人信息管理、订单管理、支付查询、售后申请、权益管理、安全设置等核心个人业务，提供用户操作入口、转发用户请求、展示业务数据、反馈操作结果，支撑C端用户自主管理个人业务，提升用户体验，不直接处理各模块的核心业务逻辑，仅承担入口、展示、转发职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5.2 对内边界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mall-user用户模块下发个人信息修改、收货地址管理、实名认证等请求，接收用户模块反馈的用户信息数据与操作结果；不处理用户注册、登录等用户模块核心业务，仅负责用户个人信息的展示与操作入口，契合DDD事务边界原则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向订单模块下发个人订单查询、订单取消、订单评价等请求，接收订单模块反馈的订单数据与操作结果；不处理订单创建、支付衔接等订单模块核心业务，仅负责用户个人订单的展示与操作入口。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向支付模块下发支付记录查询、支付方式管理、余额/积分查询等请求，接收支付模块反馈的支付数据与操作结果；不处理支付发起、退款等支付模块核心业务，仅负责用户个人支付相关的展示与操作入口。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向售后模块下发售后申请、售后查询、售后沟通等请求，接收售后模块反馈的售后数据与处理结果；不处理售后审核、售后履约等售后模块核心业务，仅负责用户个人售后的展示与操作入口。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向物流模块下发物流查询请求，接收物流模块反馈的物流轨迹数据，展示给用户；不处理物流配送、物流异常处理等物流模块核心业务，仅负责物流数据的展示。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向营销模块下发权益查询、优惠券领取/使用、积分兑换等请求，接收营销模块反馈的权益数据与活动信息；不处理营销活动创建、优惠核销等营销模块核心业务，仅负责用户个人权益的展示与操作入口。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mall-auth认证中心完成用户登录鉴权与账号安全管控，不负责鉴权逻辑与Token会话管理；汇总各模块反馈的用户相关数据，展示给用户，支撑用户自主操作；不接收其他模块的非用户个人相关业务指令，不处理跨域业务逻辑，仅提供请求转发与数据交互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对外边界</w:t>
      </w:r>
      <w:bookmarkEnd w:id="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开放接口：MVP阶段开放用户登录后个人信息管理、收货地址管理、个人订单查询与基础操作、账号安全设置、消息查看接口；后期拓展后，新增支付记录查询、售后申请、权益管理、个性化设置、用户反馈等接口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访问范围：仅向C端（H5、APP、小程序）开放所有接口（仅允许登录用户访问本人相关业务接口），向系统内微服务（mall-user、订单、支付等）开放请求转发与数据交互接口；不向PC运营后台、商家后台开放C端用户个人相关接口，确保用户数据安全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不暴露用户完整身份证号、支付密码、完整银行卡号、收货地址详细信息等敏感数据，所有接口返回数据均进行脱敏处理（如手机号隐藏中间4位、银行卡号隐藏中间8位）；严格保护用户个人信息、支付记录、订单详情等核心数据，防止数据泄露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要求：所有接口均需通过mall-auth模块的Sa-Token鉴权，仅允许登录用户访问本人相关业务接口；敏感操作（如修改密码、更换手机号、解绑支付方式）需进行二次验证（短信、人脸识别），确保用户操作安全、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5.4 禁止范围</w:t>
      </w:r>
      <w:bookmarkEnd w:id="1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用户注册、订单创建、支付发起、库存扣减、售后审核、物流配送等各业务模块的核心业务逻辑；不侵入其他模块的事务闭环，仅通过领域事件实现异步联动，遵循DDD事务边界原则，仅承担用户操作入口、数据展示与请求转发职责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用户核心业务数据、订单核心数据、支付记录、售后数据等非个人中心类数据，仅存储用户个人展示与操作相关数据（个人信息配置、收货地址、消息记录、个性化设置等），契合DDD值对象与聚合设计要求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不负责登录鉴权、Token会话管理、业务逻辑执行（统一由对应业务模块承担）；不直接处理用户实名认证审核、售后审核、支付结算等业务操作，仅提供用户操作入口与数据展示。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跨域修改其他领域数据，不接收其他领域的非用户个人相关业务指令（仅提供请求转发与数据交互支撑）；不允许未经鉴权的接口访问，严格管控敏感操作与高危接口的访问权限；不允许突破事务边界，干预其他模块的核心业务流程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放用户敏感数据查询接口，不允许任何第三方或非本人访问用户个人信息、支付记录、订单详情等敏感数据；不允许修改用户核心业务数据（如订单状态、支付记录）；不允许泄露用户隐私信息，所有用户数据均需符合隐私合规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六、阶段迭代说明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关键业务（对应六大核心域）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跑通C端个人中心主链路，支撑用户完成个人</w:t>
            </w:r>
            <w:r>
              <w:rPr>
                <w:rFonts w:eastAsia="等线" w:ascii="Arial" w:cs="Arial" w:hAnsi="Arial"/>
                <w:sz w:val="22"/>
              </w:rPr>
              <w:t>信息管理、订单查询与基础操作、账号安全设置等核心个人业务，保障</w:t>
            </w:r>
            <w:r>
              <w:rPr>
                <w:rFonts w:eastAsia="等线" w:ascii="Arial" w:cs="Arial" w:hAnsi="Arial"/>
                <w:sz w:val="22"/>
              </w:rPr>
              <w:t>用户操作便捷、数据准确、账号安全，遵循DDD基础事务边界，实现</w:t>
            </w:r>
            <w:r>
              <w:rPr>
                <w:rFonts w:eastAsia="等线" w:ascii="Arial" w:cs="Arial" w:hAnsi="Arial"/>
                <w:sz w:val="22"/>
              </w:rPr>
              <w:t>用户请求转发与数据展示的顺畅性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个人信息管理域（基础信息与地址管理）、个人订单管理</w:t>
            </w:r>
            <w:r>
              <w:rPr>
                <w:rFonts w:eastAsia="等线" w:ascii="Arial" w:cs="Arial" w:hAnsi="Arial"/>
                <w:sz w:val="22"/>
              </w:rPr>
              <w:t>域（基础订单查询与取消）、安全与设置域（账号安全基础设置</w:t>
            </w:r>
            <w:r>
              <w:rPr>
                <w:rFonts w:eastAsia="等线" w:ascii="Arial" w:cs="Arial" w:hAnsi="Arial"/>
                <w:sz w:val="22"/>
              </w:rPr>
              <w:t>、消息查看）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mall-auth（Sa-Token鉴权</w:t>
            </w:r>
            <w:r>
              <w:rPr>
                <w:rFonts w:eastAsia="等线" w:ascii="Arial" w:cs="Arial" w:hAnsi="Arial"/>
                <w:sz w:val="22"/>
              </w:rPr>
              <w:t>、登录状态管控）、mall-user（用户信息支撑）、订单模块、消息</w:t>
            </w:r>
            <w:r>
              <w:rPr>
                <w:rFonts w:eastAsia="等线" w:ascii="Arial" w:cs="Arial" w:hAnsi="Arial"/>
                <w:sz w:val="22"/>
              </w:rPr>
              <w:t>服务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后期拓展阶段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升级为企业级C端</w:t>
            </w:r>
            <w:r>
              <w:rPr>
                <w:rFonts w:eastAsia="等线" w:ascii="Arial" w:cs="Arial" w:hAnsi="Arial"/>
                <w:sz w:val="22"/>
              </w:rPr>
              <w:t>个人中心，满足用户个性化、便捷化、多元化需求</w:t>
            </w:r>
            <w:r>
              <w:rPr>
                <w:rFonts w:eastAsia="等线" w:ascii="Arial" w:cs="Arial" w:hAnsi="Arial"/>
                <w:sz w:val="22"/>
              </w:rPr>
              <w:t>，完善六大核心域，深化DDD领域设计应用，提升用户体验、用户</w:t>
            </w:r>
            <w:r>
              <w:rPr>
                <w:rFonts w:eastAsia="等线" w:ascii="Arial" w:cs="Arial" w:hAnsi="Arial"/>
                <w:sz w:val="22"/>
              </w:rPr>
              <w:t>留存率与复购率，支撑企业级C端用户服务需求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六大核心域全部业务（个人信息精细化</w:t>
            </w:r>
            <w:r>
              <w:rPr>
                <w:rFonts w:eastAsia="等线" w:ascii="Arial" w:cs="Arial" w:hAnsi="Arial"/>
                <w:sz w:val="22"/>
              </w:rPr>
              <w:t>管理、订单精细化管理、支付与财务管理、售后自主管理、权益精细化管理</w:t>
            </w:r>
            <w:r>
              <w:rPr>
                <w:rFonts w:eastAsia="等线" w:ascii="Arial" w:cs="Arial" w:hAnsi="Arial"/>
                <w:sz w:val="22"/>
              </w:rPr>
              <w:t>、安全精细化管控等）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mall-auth（精细化鉴权</w:t>
            </w:r>
            <w:r>
              <w:rPr>
                <w:rFonts w:eastAsia="等线" w:ascii="Arial" w:cs="Arial" w:hAnsi="Arial"/>
                <w:sz w:val="22"/>
              </w:rPr>
              <w:t>、安全管控）、mall-user、订单模块、支付模块、售后模块、物流</w:t>
            </w:r>
            <w:r>
              <w:rPr>
                <w:rFonts w:eastAsia="等线" w:ascii="Arial" w:cs="Arial" w:hAnsi="Arial"/>
                <w:sz w:val="22"/>
              </w:rPr>
              <w:t>模块、营销模块、消息服务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0465">
    <w:lvl>
      <w:start w:val="1"/>
      <w:numFmt w:val="decimal"/>
      <w:suff w:val="tab"/>
      <w:lvlText w:val="%1."/>
      <w:rPr>
        <w:color w:val="3370ff"/>
      </w:rPr>
    </w:lvl>
  </w:abstractNum>
  <w:abstractNum w:abstractNumId="170466">
    <w:lvl>
      <w:start w:val="2"/>
      <w:numFmt w:val="decimal"/>
      <w:suff w:val="tab"/>
      <w:lvlText w:val="%1."/>
      <w:rPr>
        <w:color w:val="3370ff"/>
      </w:rPr>
    </w:lvl>
  </w:abstractNum>
  <w:abstractNum w:abstractNumId="170467">
    <w:lvl>
      <w:start w:val="3"/>
      <w:numFmt w:val="decimal"/>
      <w:suff w:val="tab"/>
      <w:lvlText w:val="%1."/>
      <w:rPr>
        <w:color w:val="3370ff"/>
      </w:rPr>
    </w:lvl>
  </w:abstractNum>
  <w:abstractNum w:abstractNumId="170468">
    <w:lvl>
      <w:start w:val="4"/>
      <w:numFmt w:val="decimal"/>
      <w:suff w:val="tab"/>
      <w:lvlText w:val="%1."/>
      <w:rPr>
        <w:color w:val="3370ff"/>
      </w:rPr>
    </w:lvl>
  </w:abstractNum>
  <w:abstractNum w:abstractNumId="170469">
    <w:lvl>
      <w:start w:val="5"/>
      <w:numFmt w:val="decimal"/>
      <w:suff w:val="tab"/>
      <w:lvlText w:val="%1."/>
      <w:rPr>
        <w:color w:val="3370ff"/>
      </w:rPr>
    </w:lvl>
  </w:abstractNum>
  <w:abstractNum w:abstractNumId="170470">
    <w:lvl>
      <w:start w:val="6"/>
      <w:numFmt w:val="decimal"/>
      <w:suff w:val="tab"/>
      <w:lvlText w:val="%1."/>
      <w:rPr>
        <w:color w:val="3370ff"/>
      </w:rPr>
    </w:lvl>
  </w:abstractNum>
  <w:abstractNum w:abstractNumId="170471">
    <w:lvl>
      <w:numFmt w:val="bullet"/>
      <w:suff w:val="tab"/>
      <w:lvlText w:val="•"/>
      <w:rPr>
        <w:color w:val="3370ff"/>
      </w:rPr>
    </w:lvl>
  </w:abstractNum>
  <w:abstractNum w:abstractNumId="170472">
    <w:lvl>
      <w:numFmt w:val="bullet"/>
      <w:suff w:val="tab"/>
      <w:lvlText w:val="•"/>
      <w:rPr>
        <w:color w:val="3370ff"/>
      </w:rPr>
    </w:lvl>
  </w:abstractNum>
  <w:abstractNum w:abstractNumId="170473">
    <w:lvl>
      <w:numFmt w:val="bullet"/>
      <w:suff w:val="tab"/>
      <w:lvlText w:val="•"/>
      <w:rPr>
        <w:color w:val="3370ff"/>
      </w:rPr>
    </w:lvl>
  </w:abstractNum>
  <w:abstractNum w:abstractNumId="170474">
    <w:lvl>
      <w:start w:val="1"/>
      <w:numFmt w:val="decimal"/>
      <w:suff w:val="tab"/>
      <w:lvlText w:val="%1."/>
      <w:rPr>
        <w:color w:val="3370ff"/>
      </w:rPr>
    </w:lvl>
  </w:abstractNum>
  <w:abstractNum w:abstractNumId="170475">
    <w:lvl>
      <w:start w:val="2"/>
      <w:numFmt w:val="decimal"/>
      <w:suff w:val="tab"/>
      <w:lvlText w:val="%1."/>
      <w:rPr>
        <w:color w:val="3370ff"/>
      </w:rPr>
    </w:lvl>
  </w:abstractNum>
  <w:abstractNum w:abstractNumId="170476">
    <w:lvl>
      <w:start w:val="3"/>
      <w:numFmt w:val="decimal"/>
      <w:suff w:val="tab"/>
      <w:lvlText w:val="%1."/>
      <w:rPr>
        <w:color w:val="3370ff"/>
      </w:rPr>
    </w:lvl>
  </w:abstractNum>
  <w:abstractNum w:abstractNumId="170477">
    <w:lvl>
      <w:start w:val="4"/>
      <w:numFmt w:val="decimal"/>
      <w:suff w:val="tab"/>
      <w:lvlText w:val="%1."/>
      <w:rPr>
        <w:color w:val="3370ff"/>
      </w:rPr>
    </w:lvl>
  </w:abstractNum>
  <w:abstractNum w:abstractNumId="170478">
    <w:lvl>
      <w:start w:val="5"/>
      <w:numFmt w:val="decimal"/>
      <w:suff w:val="tab"/>
      <w:lvlText w:val="%1."/>
      <w:rPr>
        <w:color w:val="3370ff"/>
      </w:rPr>
    </w:lvl>
  </w:abstractNum>
  <w:abstractNum w:abstractNumId="170479">
    <w:lvl>
      <w:start w:val="6"/>
      <w:numFmt w:val="decimal"/>
      <w:suff w:val="tab"/>
      <w:lvlText w:val="%1."/>
      <w:rPr>
        <w:color w:val="3370ff"/>
      </w:rPr>
    </w:lvl>
  </w:abstractNum>
  <w:abstractNum w:abstractNumId="170480">
    <w:lvl>
      <w:start w:val="1"/>
      <w:numFmt w:val="decimal"/>
      <w:suff w:val="tab"/>
      <w:lvlText w:val="%1."/>
      <w:rPr>
        <w:color w:val="3370ff"/>
      </w:rPr>
    </w:lvl>
  </w:abstractNum>
  <w:abstractNum w:abstractNumId="170481">
    <w:lvl>
      <w:start w:val="2"/>
      <w:numFmt w:val="decimal"/>
      <w:suff w:val="tab"/>
      <w:lvlText w:val="%1."/>
      <w:rPr>
        <w:color w:val="3370ff"/>
      </w:rPr>
    </w:lvl>
  </w:abstractNum>
  <w:abstractNum w:abstractNumId="170482">
    <w:lvl>
      <w:start w:val="3"/>
      <w:numFmt w:val="decimal"/>
      <w:suff w:val="tab"/>
      <w:lvlText w:val="%1."/>
      <w:rPr>
        <w:color w:val="3370ff"/>
      </w:rPr>
    </w:lvl>
  </w:abstractNum>
  <w:abstractNum w:abstractNumId="170483">
    <w:lvl>
      <w:start w:val="4"/>
      <w:numFmt w:val="decimal"/>
      <w:suff w:val="tab"/>
      <w:lvlText w:val="%1."/>
      <w:rPr>
        <w:color w:val="3370ff"/>
      </w:rPr>
    </w:lvl>
  </w:abstractNum>
  <w:abstractNum w:abstractNumId="170484">
    <w:lvl>
      <w:start w:val="5"/>
      <w:numFmt w:val="decimal"/>
      <w:suff w:val="tab"/>
      <w:lvlText w:val="%1."/>
      <w:rPr>
        <w:color w:val="3370ff"/>
      </w:rPr>
    </w:lvl>
  </w:abstractNum>
  <w:abstractNum w:abstractNumId="170485">
    <w:lvl>
      <w:start w:val="6"/>
      <w:numFmt w:val="decimal"/>
      <w:suff w:val="tab"/>
      <w:lvlText w:val="%1."/>
      <w:rPr>
        <w:color w:val="3370ff"/>
      </w:rPr>
    </w:lvl>
  </w:abstractNum>
  <w:abstractNum w:abstractNumId="170486">
    <w:lvl>
      <w:start w:val="7"/>
      <w:numFmt w:val="decimal"/>
      <w:suff w:val="tab"/>
      <w:lvlText w:val="%1."/>
      <w:rPr>
        <w:color w:val="3370ff"/>
      </w:rPr>
    </w:lvl>
  </w:abstractNum>
  <w:abstractNum w:abstractNumId="170487">
    <w:lvl>
      <w:start w:val="8"/>
      <w:numFmt w:val="decimal"/>
      <w:suff w:val="tab"/>
      <w:lvlText w:val="%1."/>
      <w:rPr>
        <w:color w:val="3370ff"/>
      </w:rPr>
    </w:lvl>
  </w:abstractNum>
  <w:abstractNum w:abstractNumId="170488">
    <w:lvl>
      <w:start w:val="9"/>
      <w:numFmt w:val="decimal"/>
      <w:suff w:val="tab"/>
      <w:lvlText w:val="%1."/>
      <w:rPr>
        <w:color w:val="3370ff"/>
      </w:rPr>
    </w:lvl>
  </w:abstractNum>
  <w:abstractNum w:abstractNumId="170489">
    <w:lvl>
      <w:start w:val="10"/>
      <w:numFmt w:val="decimal"/>
      <w:suff w:val="tab"/>
      <w:lvlText w:val="%1."/>
      <w:rPr>
        <w:color w:val="3370ff"/>
      </w:rPr>
    </w:lvl>
  </w:abstractNum>
  <w:abstractNum w:abstractNumId="170490">
    <w:lvl>
      <w:numFmt w:val="bullet"/>
      <w:suff w:val="tab"/>
      <w:lvlText w:val="•"/>
      <w:rPr>
        <w:color w:val="3370ff"/>
      </w:rPr>
    </w:lvl>
  </w:abstractNum>
  <w:abstractNum w:abstractNumId="170491">
    <w:lvl>
      <w:numFmt w:val="bullet"/>
      <w:suff w:val="tab"/>
      <w:lvlText w:val="•"/>
      <w:rPr>
        <w:color w:val="3370ff"/>
      </w:rPr>
    </w:lvl>
  </w:abstractNum>
  <w:abstractNum w:abstractNumId="170492">
    <w:lvl>
      <w:numFmt w:val="bullet"/>
      <w:suff w:val="tab"/>
      <w:lvlText w:val="•"/>
      <w:rPr>
        <w:color w:val="3370ff"/>
      </w:rPr>
    </w:lvl>
  </w:abstractNum>
  <w:abstractNum w:abstractNumId="170493">
    <w:lvl>
      <w:numFmt w:val="bullet"/>
      <w:suff w:val="tab"/>
      <w:lvlText w:val="•"/>
      <w:rPr>
        <w:color w:val="3370ff"/>
      </w:rPr>
    </w:lvl>
  </w:abstractNum>
  <w:abstractNum w:abstractNumId="170494">
    <w:lvl>
      <w:numFmt w:val="bullet"/>
      <w:suff w:val="tab"/>
      <w:lvlText w:val="•"/>
      <w:rPr>
        <w:color w:val="3370ff"/>
      </w:rPr>
    </w:lvl>
  </w:abstractNum>
  <w:abstractNum w:abstractNumId="170495">
    <w:lvl>
      <w:numFmt w:val="bullet"/>
      <w:suff w:val="tab"/>
      <w:lvlText w:val="•"/>
      <w:rPr>
        <w:color w:val="3370ff"/>
      </w:rPr>
    </w:lvl>
  </w:abstractNum>
  <w:abstractNum w:abstractNumId="170496">
    <w:lvl>
      <w:numFmt w:val="bullet"/>
      <w:suff w:val="tab"/>
      <w:lvlText w:val="•"/>
      <w:rPr>
        <w:color w:val="3370ff"/>
      </w:rPr>
    </w:lvl>
  </w:abstractNum>
  <w:abstractNum w:abstractNumId="170497">
    <w:lvl>
      <w:numFmt w:val="bullet"/>
      <w:suff w:val="tab"/>
      <w:lvlText w:val="•"/>
      <w:rPr>
        <w:color w:val="3370ff"/>
      </w:rPr>
    </w:lvl>
  </w:abstractNum>
  <w:abstractNum w:abstractNumId="170498">
    <w:lvl>
      <w:numFmt w:val="bullet"/>
      <w:suff w:val="tab"/>
      <w:lvlText w:val="•"/>
      <w:rPr>
        <w:color w:val="3370ff"/>
      </w:rPr>
    </w:lvl>
  </w:abstractNum>
  <w:abstractNum w:abstractNumId="170499">
    <w:lvl>
      <w:numFmt w:val="bullet"/>
      <w:suff w:val="tab"/>
      <w:lvlText w:val="•"/>
      <w:rPr>
        <w:color w:val="3370ff"/>
      </w:rPr>
    </w:lvl>
  </w:abstractNum>
  <w:abstractNum w:abstractNumId="170500">
    <w:lvl>
      <w:numFmt w:val="bullet"/>
      <w:suff w:val="tab"/>
      <w:lvlText w:val="•"/>
      <w:rPr>
        <w:color w:val="3370ff"/>
      </w:rPr>
    </w:lvl>
  </w:abstractNum>
  <w:abstractNum w:abstractNumId="170501">
    <w:lvl>
      <w:numFmt w:val="bullet"/>
      <w:suff w:val="tab"/>
      <w:lvlText w:val="•"/>
      <w:rPr>
        <w:color w:val="3370ff"/>
      </w:rPr>
    </w:lvl>
  </w:abstractNum>
  <w:abstractNum w:abstractNumId="170502">
    <w:lvl>
      <w:numFmt w:val="bullet"/>
      <w:suff w:val="tab"/>
      <w:lvlText w:val="•"/>
      <w:rPr>
        <w:color w:val="3370ff"/>
      </w:rPr>
    </w:lvl>
  </w:abstractNum>
  <w:abstractNum w:abstractNumId="170503">
    <w:lvl>
      <w:numFmt w:val="bullet"/>
      <w:suff w:val="tab"/>
      <w:lvlText w:val="•"/>
      <w:rPr>
        <w:color w:val="3370ff"/>
      </w:rPr>
    </w:lvl>
  </w:abstractNum>
  <w:abstractNum w:abstractNumId="170504">
    <w:lvl>
      <w:numFmt w:val="bullet"/>
      <w:suff w:val="tab"/>
      <w:lvlText w:val="•"/>
      <w:rPr>
        <w:color w:val="3370ff"/>
      </w:rPr>
    </w:lvl>
  </w:abstractNum>
  <w:abstractNum w:abstractNumId="170505">
    <w:lvl>
      <w:numFmt w:val="bullet"/>
      <w:suff w:val="tab"/>
      <w:lvlText w:val="•"/>
      <w:rPr>
        <w:color w:val="3370ff"/>
      </w:rPr>
    </w:lvl>
  </w:abstractNum>
  <w:num w:numId="1">
    <w:abstractNumId w:val="170465"/>
  </w:num>
  <w:num w:numId="2">
    <w:abstractNumId w:val="170466"/>
  </w:num>
  <w:num w:numId="3">
    <w:abstractNumId w:val="170467"/>
  </w:num>
  <w:num w:numId="4">
    <w:abstractNumId w:val="170468"/>
  </w:num>
  <w:num w:numId="5">
    <w:abstractNumId w:val="170469"/>
  </w:num>
  <w:num w:numId="6">
    <w:abstractNumId w:val="170470"/>
  </w:num>
  <w:num w:numId="7">
    <w:abstractNumId w:val="170471"/>
  </w:num>
  <w:num w:numId="8">
    <w:abstractNumId w:val="170472"/>
  </w:num>
  <w:num w:numId="9">
    <w:abstractNumId w:val="170473"/>
  </w:num>
  <w:num w:numId="10">
    <w:abstractNumId w:val="170474"/>
  </w:num>
  <w:num w:numId="11">
    <w:abstractNumId w:val="170475"/>
  </w:num>
  <w:num w:numId="12">
    <w:abstractNumId w:val="170476"/>
  </w:num>
  <w:num w:numId="13">
    <w:abstractNumId w:val="170477"/>
  </w:num>
  <w:num w:numId="14">
    <w:abstractNumId w:val="170478"/>
  </w:num>
  <w:num w:numId="15">
    <w:abstractNumId w:val="170479"/>
  </w:num>
  <w:num w:numId="16">
    <w:abstractNumId w:val="170480"/>
  </w:num>
  <w:num w:numId="17">
    <w:abstractNumId w:val="170481"/>
  </w:num>
  <w:num w:numId="18">
    <w:abstractNumId w:val="170482"/>
  </w:num>
  <w:num w:numId="19">
    <w:abstractNumId w:val="170483"/>
  </w:num>
  <w:num w:numId="20">
    <w:abstractNumId w:val="170484"/>
  </w:num>
  <w:num w:numId="21">
    <w:abstractNumId w:val="170485"/>
  </w:num>
  <w:num w:numId="22">
    <w:abstractNumId w:val="170486"/>
  </w:num>
  <w:num w:numId="23">
    <w:abstractNumId w:val="170487"/>
  </w:num>
  <w:num w:numId="24">
    <w:abstractNumId w:val="170488"/>
  </w:num>
  <w:num w:numId="25">
    <w:abstractNumId w:val="170489"/>
  </w:num>
  <w:num w:numId="26">
    <w:abstractNumId w:val="170490"/>
  </w:num>
  <w:num w:numId="27">
    <w:abstractNumId w:val="170491"/>
  </w:num>
  <w:num w:numId="28">
    <w:abstractNumId w:val="170492"/>
  </w:num>
  <w:num w:numId="29">
    <w:abstractNumId w:val="170493"/>
  </w:num>
  <w:num w:numId="30">
    <w:abstractNumId w:val="170494"/>
  </w:num>
  <w:num w:numId="31">
    <w:abstractNumId w:val="170495"/>
  </w:num>
  <w:num w:numId="32">
    <w:abstractNumId w:val="170496"/>
  </w:num>
  <w:num w:numId="33">
    <w:abstractNumId w:val="170497"/>
  </w:num>
  <w:num w:numId="34">
    <w:abstractNumId w:val="170498"/>
  </w:num>
  <w:num w:numId="35">
    <w:abstractNumId w:val="170499"/>
  </w:num>
  <w:num w:numId="36">
    <w:abstractNumId w:val="170500"/>
  </w:num>
  <w:num w:numId="37">
    <w:abstractNumId w:val="170501"/>
  </w:num>
  <w:num w:numId="38">
    <w:abstractNumId w:val="170502"/>
  </w:num>
  <w:num w:numId="39">
    <w:abstractNumId w:val="170503"/>
  </w:num>
  <w:num w:numId="40">
    <w:abstractNumId w:val="170504"/>
  </w:num>
  <w:num w:numId="41">
    <w:abstractNumId w:val="1705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2026-04-23T20:18:04Z</dcterms:created>
  <dc:creator>Apache POI</dc:creator>
</cp:coreProperties>
</file>