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jc w:val="center"/>
        <w:rPr>
          <w:rFonts w:hint="eastAsia" w:ascii="仿宋" w:hAnsi="仿宋" w:eastAsia="仿宋" w:cs="仿宋"/>
          <w:color w:val="auto"/>
        </w:rPr>
      </w:pPr>
      <w:r>
        <w:rPr>
          <w:rFonts w:hint="eastAsia" w:ascii="仿宋" w:hAnsi="仿宋" w:eastAsia="仿宋" w:cs="仿宋"/>
          <w:b/>
          <w:color w:val="auto"/>
          <w:sz w:val="36"/>
        </w:rPr>
        <w:t>南山区企业“扬帆出海”系列互动</w:t>
      </w:r>
    </w:p>
    <w:p>
      <w:pPr>
        <w:spacing w:after="240"/>
        <w:jc w:val="center"/>
        <w:rPr>
          <w:rFonts w:hint="eastAsia" w:ascii="仿宋" w:hAnsi="仿宋" w:eastAsia="仿宋" w:cs="仿宋"/>
          <w:color w:val="auto"/>
        </w:rPr>
      </w:pPr>
      <w:r>
        <w:rPr>
          <w:rFonts w:hint="eastAsia" w:ascii="仿宋" w:hAnsi="仿宋" w:eastAsia="仿宋" w:cs="仿宋"/>
          <w:color w:val="auto"/>
        </w:rPr>
        <w:drawing>
          <wp:anchor distT="0" distB="0" distL="114300" distR="114300" simplePos="0" relativeHeight="251659264" behindDoc="1" locked="0" layoutInCell="1" allowOverlap="1">
            <wp:simplePos x="0" y="0"/>
            <wp:positionH relativeFrom="column">
              <wp:posOffset>4939665</wp:posOffset>
            </wp:positionH>
            <wp:positionV relativeFrom="paragraph">
              <wp:posOffset>640715</wp:posOffset>
            </wp:positionV>
            <wp:extent cx="1798320" cy="1798320"/>
            <wp:effectExtent l="0" t="0" r="5080" b="508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1798320" cy="1798320"/>
                    </a:xfrm>
                    <a:prstGeom prst="rect">
                      <a:avLst/>
                    </a:prstGeom>
                    <a:noFill/>
                    <a:ln>
                      <a:noFill/>
                    </a:ln>
                  </pic:spPr>
                </pic:pic>
              </a:graphicData>
            </a:graphic>
          </wp:anchor>
        </w:drawing>
      </w:r>
      <w:r>
        <w:rPr>
          <w:rFonts w:hint="eastAsia" w:ascii="仿宋" w:hAnsi="仿宋" w:eastAsia="仿宋" w:cs="仿宋"/>
          <w:b/>
          <w:color w:val="auto"/>
          <w:sz w:val="44"/>
        </w:rPr>
        <w:t>对美跨境业务合规与知识产权保护实务研讨会</w:t>
      </w:r>
      <w:r>
        <w:rPr>
          <w:rFonts w:hint="eastAsia" w:ascii="仿宋" w:hAnsi="仿宋" w:eastAsia="仿宋" w:cs="仿宋"/>
          <w:b/>
          <w:color w:val="auto"/>
          <w:sz w:val="44"/>
        </w:rPr>
        <w:br w:type="textWrapping"/>
      </w:r>
      <w:r>
        <w:rPr>
          <w:rFonts w:hint="eastAsia" w:ascii="仿宋" w:hAnsi="仿宋" w:eastAsia="仿宋" w:cs="仿宋"/>
          <w:b/>
          <w:color w:val="auto"/>
          <w:sz w:val="44"/>
        </w:rPr>
        <w:t>活动方案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96"/>
        <w:gridCol w:w="4896"/>
      </w:tblGrid>
      <w:tr>
        <w:trPr>
          <w:jc w:val="center"/>
        </w:trPr>
        <w:tc>
          <w:tcPr>
            <w:tcW w:w="180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活动时间</w:t>
            </w:r>
          </w:p>
        </w:tc>
        <w:tc>
          <w:tcPr>
            <w:tcW w:w="727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2026年6月29日 14:30-17:30</w:t>
            </w:r>
          </w:p>
        </w:tc>
      </w:tr>
      <w:tr>
        <w:trPr>
          <w:jc w:val="center"/>
        </w:trPr>
        <w:tc>
          <w:tcPr>
            <w:tcW w:w="180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活动地点</w:t>
            </w:r>
          </w:p>
        </w:tc>
        <w:tc>
          <w:tcPr>
            <w:tcW w:w="727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深圳市南山区知识产权保护中心 C4多功能会议厅（南山区沙河西路1819号深圳湾科技生态园7栋B座3楼）</w:t>
            </w:r>
          </w:p>
        </w:tc>
      </w:tr>
      <w:tr>
        <w:trPr>
          <w:jc w:val="center"/>
        </w:trPr>
        <w:tc>
          <w:tcPr>
            <w:tcW w:w="180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主办单位</w:t>
            </w:r>
          </w:p>
        </w:tc>
        <w:tc>
          <w:tcPr>
            <w:tcW w:w="727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Cathay Praxis Law（美国博衡律师事务所）</w:t>
            </w:r>
          </w:p>
        </w:tc>
      </w:tr>
      <w:tr>
        <w:trPr>
          <w:jc w:val="center"/>
        </w:trPr>
        <w:tc>
          <w:tcPr>
            <w:tcW w:w="180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活动对象</w:t>
            </w:r>
          </w:p>
        </w:tc>
        <w:tc>
          <w:tcPr>
            <w:tcW w:w="727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企业管理层、法务负责人、国际业务负责人及拟开展对美投资、贸易、品牌出海业务的企业代表</w:t>
            </w:r>
          </w:p>
        </w:tc>
      </w:tr>
    </w:tbl>
    <w:p>
      <w:pPr>
        <w:spacing w:after="40"/>
        <w:rPr>
          <w:rFonts w:hint="eastAsia" w:ascii="仿宋" w:hAnsi="仿宋" w:eastAsia="仿宋" w:cs="仿宋"/>
          <w:color w:val="auto"/>
        </w:rPr>
      </w:pPr>
    </w:p>
    <w:p>
      <w:pPr>
        <w:pStyle w:val="3"/>
        <w:rPr>
          <w:rFonts w:hint="eastAsia" w:ascii="仿宋" w:hAnsi="仿宋" w:eastAsia="仿宋" w:cs="仿宋"/>
          <w:color w:val="auto"/>
        </w:rPr>
      </w:pPr>
      <w:r>
        <w:rPr>
          <w:rFonts w:hint="eastAsia" w:ascii="仿宋" w:hAnsi="仿宋" w:eastAsia="仿宋" w:cs="仿宋"/>
          <w:color w:val="auto"/>
        </w:rPr>
        <w:t>一、活动背景</w:t>
      </w:r>
    </w:p>
    <w:p>
      <w:pPr>
        <w:ind w:firstLine="440"/>
        <w:rPr>
          <w:rFonts w:hint="eastAsia" w:ascii="仿宋" w:hAnsi="仿宋" w:eastAsia="仿宋" w:cs="仿宋"/>
          <w:color w:val="auto"/>
        </w:rPr>
      </w:pPr>
      <w:r>
        <w:rPr>
          <w:rFonts w:hint="eastAsia" w:ascii="仿宋" w:hAnsi="仿宋" w:eastAsia="仿宋" w:cs="仿宋"/>
          <w:color w:val="auto"/>
        </w:rPr>
        <w:t>随着中国企业持续拓展美国市场，出口管制、经济制裁、知识产权保护及跨境争议解决等问题已成为企业出海过程中的核心风险。美国监管规则更新频繁，执法强度持续提升，企业在供应链审查、交易筛查、客户与产品合规、品牌保护及侵权反制方面均面临更高要求。为帮助企业提前识别风险、完善合规体系并提升知识产权保护能力，拟举办本次专题研讨会。</w:t>
      </w:r>
    </w:p>
    <w:p>
      <w:pPr>
        <w:pStyle w:val="3"/>
        <w:rPr>
          <w:rFonts w:hint="eastAsia" w:ascii="仿宋" w:hAnsi="仿宋" w:eastAsia="仿宋" w:cs="仿宋"/>
          <w:color w:val="auto"/>
        </w:rPr>
      </w:pPr>
      <w:r>
        <w:rPr>
          <w:rFonts w:hint="eastAsia" w:ascii="仿宋" w:hAnsi="仿宋" w:eastAsia="仿宋" w:cs="仿宋"/>
          <w:color w:val="auto"/>
        </w:rPr>
        <w:t>二、活动目标</w:t>
      </w:r>
    </w:p>
    <w:p>
      <w:pPr>
        <w:ind w:firstLine="440"/>
        <w:rPr>
          <w:rFonts w:hint="eastAsia" w:ascii="仿宋" w:hAnsi="仿宋" w:eastAsia="仿宋" w:cs="仿宋"/>
          <w:color w:val="auto"/>
        </w:rPr>
      </w:pPr>
      <w:r>
        <w:rPr>
          <w:rFonts w:hint="eastAsia" w:ascii="仿宋" w:hAnsi="仿宋" w:eastAsia="仿宋" w:cs="仿宋"/>
          <w:color w:val="auto"/>
        </w:rPr>
        <w:t>本次活动旨在围绕美国市场准入、跨境合规与知识产权保护，为企业提供实务导向的法律支持与经验分享，帮助企业理解美国出口管制与经济制裁规则变化，掌握品牌出海中的商标、专利及版权保护路径，并形成可落地的风险识别和应对思路。</w:t>
      </w:r>
    </w:p>
    <w:p>
      <w:pPr>
        <w:pStyle w:val="3"/>
        <w:rPr>
          <w:rFonts w:hint="eastAsia" w:ascii="仿宋" w:hAnsi="仿宋" w:eastAsia="仿宋" w:cs="仿宋"/>
          <w:color w:val="auto"/>
        </w:rPr>
      </w:pPr>
      <w:r>
        <w:rPr>
          <w:rFonts w:hint="eastAsia" w:ascii="仿宋" w:hAnsi="仿宋" w:eastAsia="仿宋" w:cs="仿宋"/>
          <w:color w:val="auto"/>
        </w:rPr>
        <w:t>三、活动主题与核心议题</w:t>
      </w:r>
    </w:p>
    <w:p>
      <w:pPr>
        <w:pStyle w:val="16"/>
        <w:ind w:left="360" w:hanging="259"/>
        <w:rPr>
          <w:rFonts w:hint="eastAsia" w:ascii="仿宋" w:hAnsi="仿宋" w:eastAsia="仿宋" w:cs="仿宋"/>
          <w:color w:val="auto"/>
        </w:rPr>
      </w:pPr>
      <w:r>
        <w:rPr>
          <w:rFonts w:hint="eastAsia" w:ascii="仿宋" w:hAnsi="仿宋" w:eastAsia="仿宋" w:cs="仿宋"/>
          <w:color w:val="auto"/>
        </w:rPr>
        <w:t>中国企业在美投资、贸易及供应链合作中如何识别出口管制与经济制裁风险。</w:t>
      </w:r>
    </w:p>
    <w:p>
      <w:pPr>
        <w:pStyle w:val="16"/>
        <w:ind w:left="360" w:hanging="259"/>
        <w:rPr>
          <w:rFonts w:hint="eastAsia" w:ascii="仿宋" w:hAnsi="仿宋" w:eastAsia="仿宋" w:cs="仿宋"/>
          <w:color w:val="auto"/>
        </w:rPr>
      </w:pPr>
      <w:r>
        <w:rPr>
          <w:rFonts w:hint="eastAsia" w:ascii="仿宋" w:hAnsi="仿宋" w:eastAsia="仿宋" w:cs="仿宋"/>
          <w:color w:val="auto"/>
        </w:rPr>
        <w:t>如何理解OFAC制裁、BIS出口管制的最新监管趋势及企业合规体系建设要点。</w:t>
      </w:r>
    </w:p>
    <w:p>
      <w:pPr>
        <w:pStyle w:val="16"/>
        <w:ind w:left="360" w:hanging="259"/>
        <w:rPr>
          <w:rFonts w:hint="eastAsia" w:ascii="仿宋" w:hAnsi="仿宋" w:eastAsia="仿宋" w:cs="仿宋"/>
          <w:color w:val="auto"/>
        </w:rPr>
      </w:pPr>
      <w:r>
        <w:rPr>
          <w:rFonts w:hint="eastAsia" w:ascii="仿宋" w:hAnsi="仿宋" w:eastAsia="仿宋" w:cs="仿宋"/>
          <w:color w:val="auto"/>
        </w:rPr>
        <w:t>中国品牌出海过程中如何应对山寨、仿冒、抢注及侵权竞争。</w:t>
      </w:r>
    </w:p>
    <w:p>
      <w:pPr>
        <w:pStyle w:val="16"/>
        <w:ind w:left="360" w:hanging="259"/>
        <w:rPr>
          <w:rFonts w:hint="eastAsia" w:ascii="仿宋" w:hAnsi="仿宋" w:eastAsia="仿宋" w:cs="仿宋"/>
          <w:color w:val="auto"/>
        </w:rPr>
      </w:pPr>
      <w:r>
        <w:rPr>
          <w:rFonts w:hint="eastAsia" w:ascii="仿宋" w:hAnsi="仿宋" w:eastAsia="仿宋" w:cs="仿宋"/>
          <w:color w:val="auto"/>
        </w:rPr>
        <w:t>如何运用美国商标、专利、版权及诉讼机制构建知识产权护城河并主动反击。</w:t>
      </w:r>
    </w:p>
    <w:p>
      <w:pPr>
        <w:pStyle w:val="3"/>
        <w:rPr>
          <w:rFonts w:hint="eastAsia" w:ascii="仿宋" w:hAnsi="仿宋" w:eastAsia="仿宋" w:cs="仿宋"/>
          <w:color w:val="auto"/>
        </w:rPr>
      </w:pPr>
      <w:r>
        <w:rPr>
          <w:rFonts w:hint="eastAsia" w:ascii="仿宋" w:hAnsi="仿宋" w:eastAsia="仿宋" w:cs="仿宋"/>
          <w:color w:val="auto"/>
        </w:rPr>
        <w:t>四、拟定议程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4"/>
        <w:gridCol w:w="3264"/>
        <w:gridCol w:w="3264"/>
      </w:tblGrid>
      <w:tr>
        <w:trPr>
          <w:jc w:val="center"/>
        </w:trPr>
        <w:tc>
          <w:tcPr>
            <w:tcW w:w="1584"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时间</w:t>
            </w:r>
          </w:p>
        </w:tc>
        <w:tc>
          <w:tcPr>
            <w:tcW w:w="1944"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环节</w:t>
            </w:r>
          </w:p>
        </w:tc>
        <w:tc>
          <w:tcPr>
            <w:tcW w:w="5544"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内容</w:t>
            </w:r>
          </w:p>
        </w:tc>
      </w:tr>
      <w:tr>
        <w:trPr>
          <w:jc w:val="center"/>
        </w:trPr>
        <w:tc>
          <w:tcPr>
            <w:tcW w:w="158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14:00-14:30</w:t>
            </w:r>
          </w:p>
        </w:tc>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签到入场</w:t>
            </w:r>
          </w:p>
        </w:tc>
        <w:tc>
          <w:tcPr>
            <w:tcW w:w="55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参会人员签到、资料领取及会前交流</w:t>
            </w:r>
          </w:p>
        </w:tc>
      </w:tr>
      <w:tr>
        <w:trPr>
          <w:jc w:val="center"/>
        </w:trPr>
        <w:tc>
          <w:tcPr>
            <w:tcW w:w="158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14:30-14:40</w:t>
            </w:r>
          </w:p>
        </w:tc>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开场介绍</w:t>
            </w:r>
          </w:p>
        </w:tc>
        <w:tc>
          <w:tcPr>
            <w:tcW w:w="55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介绍活动背景、主办方及嘉宾</w:t>
            </w:r>
          </w:p>
        </w:tc>
      </w:tr>
      <w:tr>
        <w:trPr>
          <w:jc w:val="center"/>
        </w:trPr>
        <w:tc>
          <w:tcPr>
            <w:tcW w:w="158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14:40-15:35</w:t>
            </w:r>
          </w:p>
        </w:tc>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专题分享一</w:t>
            </w:r>
          </w:p>
        </w:tc>
        <w:tc>
          <w:tcPr>
            <w:tcW w:w="55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周争平律师：《美国出口管制与制裁的新规分析以及应对》</w:t>
            </w:r>
          </w:p>
        </w:tc>
      </w:tr>
      <w:tr>
        <w:trPr>
          <w:jc w:val="center"/>
        </w:trPr>
        <w:tc>
          <w:tcPr>
            <w:tcW w:w="158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15:35-15:45</w:t>
            </w:r>
          </w:p>
        </w:tc>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中场休息</w:t>
            </w:r>
          </w:p>
        </w:tc>
        <w:tc>
          <w:tcPr>
            <w:tcW w:w="55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茶歇及自由交流</w:t>
            </w:r>
          </w:p>
        </w:tc>
      </w:tr>
      <w:tr>
        <w:trPr>
          <w:jc w:val="center"/>
        </w:trPr>
        <w:tc>
          <w:tcPr>
            <w:tcW w:w="158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15:45-16:40</w:t>
            </w:r>
          </w:p>
        </w:tc>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专题分享二</w:t>
            </w:r>
          </w:p>
        </w:tc>
        <w:tc>
          <w:tcPr>
            <w:tcW w:w="55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叶明博律师：《护城河与反击：中国品牌如何用美国知产体系反制山寨》</w:t>
            </w:r>
          </w:p>
        </w:tc>
      </w:tr>
      <w:tr>
        <w:trPr>
          <w:jc w:val="center"/>
        </w:trPr>
        <w:tc>
          <w:tcPr>
            <w:tcW w:w="158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16:40-17:20</w:t>
            </w:r>
          </w:p>
        </w:tc>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互动问答</w:t>
            </w:r>
          </w:p>
        </w:tc>
        <w:tc>
          <w:tcPr>
            <w:tcW w:w="55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围绕企业出海合规、知识产权保护及争议应对进行交流</w:t>
            </w:r>
          </w:p>
        </w:tc>
      </w:tr>
      <w:tr>
        <w:trPr>
          <w:jc w:val="center"/>
        </w:trPr>
        <w:tc>
          <w:tcPr>
            <w:tcW w:w="158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17:20-17:30</w:t>
            </w:r>
          </w:p>
        </w:tc>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总结交流</w:t>
            </w:r>
          </w:p>
        </w:tc>
        <w:tc>
          <w:tcPr>
            <w:tcW w:w="55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活动总结、后续咨询及资源对接</w:t>
            </w:r>
          </w:p>
        </w:tc>
      </w:tr>
    </w:tbl>
    <w:p>
      <w:pPr>
        <w:spacing w:after="40"/>
        <w:rPr>
          <w:rFonts w:hint="eastAsia" w:ascii="仿宋" w:hAnsi="仿宋" w:eastAsia="仿宋" w:cs="仿宋"/>
          <w:color w:val="auto"/>
        </w:rPr>
      </w:pPr>
    </w:p>
    <w:p>
      <w:pPr>
        <w:pStyle w:val="3"/>
        <w:rPr>
          <w:rFonts w:hint="eastAsia" w:ascii="仿宋" w:hAnsi="仿宋" w:eastAsia="仿宋" w:cs="仿宋"/>
          <w:color w:val="auto"/>
        </w:rPr>
      </w:pPr>
      <w:r>
        <w:rPr>
          <w:rFonts w:hint="eastAsia" w:ascii="仿宋" w:hAnsi="仿宋" w:eastAsia="仿宋" w:cs="仿宋"/>
          <w:color w:val="auto"/>
        </w:rPr>
        <w:t>五、主讲嘉宾及分享内容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2448"/>
        <w:gridCol w:w="2448"/>
        <w:gridCol w:w="2448"/>
      </w:tblGrid>
      <w:tr>
        <w:trPr>
          <w:jc w:val="center"/>
        </w:trPr>
        <w:tc>
          <w:tcPr>
            <w:tcW w:w="1512"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嘉宾</w:t>
            </w:r>
          </w:p>
        </w:tc>
        <w:tc>
          <w:tcPr>
            <w:tcW w:w="2088"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身份</w:t>
            </w:r>
          </w:p>
        </w:tc>
        <w:tc>
          <w:tcPr>
            <w:tcW w:w="2952"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演讲主题</w:t>
            </w:r>
          </w:p>
        </w:tc>
        <w:tc>
          <w:tcPr>
            <w:tcW w:w="2520"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内容概要</w:t>
            </w:r>
          </w:p>
        </w:tc>
      </w:tr>
      <w:tr>
        <w:trPr>
          <w:jc w:val="center"/>
        </w:trPr>
        <w:tc>
          <w:tcPr>
            <w:tcW w:w="151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周争平律师</w:t>
            </w:r>
          </w:p>
        </w:tc>
        <w:tc>
          <w:tcPr>
            <w:tcW w:w="2088"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中国及美国加州执业律师</w:t>
            </w:r>
          </w:p>
        </w:tc>
        <w:tc>
          <w:tcPr>
            <w:tcW w:w="295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《美国出口管制与制裁的新规分析以及应对》</w:t>
            </w:r>
          </w:p>
        </w:tc>
        <w:tc>
          <w:tcPr>
            <w:tcW w:w="252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解读OFAC制裁、BIS出口管制最新趋势及企业合规体系建设。</w:t>
            </w:r>
          </w:p>
        </w:tc>
      </w:tr>
      <w:tr>
        <w:trPr>
          <w:jc w:val="center"/>
        </w:trPr>
        <w:tc>
          <w:tcPr>
            <w:tcW w:w="151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叶明博律师</w:t>
            </w:r>
          </w:p>
        </w:tc>
        <w:tc>
          <w:tcPr>
            <w:tcW w:w="2088"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美国加州及德州执业律师</w:t>
            </w:r>
          </w:p>
        </w:tc>
        <w:tc>
          <w:tcPr>
            <w:tcW w:w="295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《护城河与反击：中国品牌如何用美国知产体系反制山寨》</w:t>
            </w:r>
          </w:p>
        </w:tc>
        <w:tc>
          <w:tcPr>
            <w:tcW w:w="252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分享美国商标、专利布局及品牌维权实务经验。</w:t>
            </w:r>
          </w:p>
        </w:tc>
      </w:tr>
    </w:tbl>
    <w:p>
      <w:pPr>
        <w:spacing w:after="40"/>
        <w:rPr>
          <w:rFonts w:hint="eastAsia" w:ascii="仿宋" w:hAnsi="仿宋" w:eastAsia="仿宋" w:cs="仿宋"/>
          <w:color w:val="auto"/>
        </w:rPr>
      </w:pPr>
    </w:p>
    <w:p>
      <w:pPr>
        <w:rPr>
          <w:rFonts w:hint="eastAsia" w:ascii="仿宋" w:hAnsi="仿宋" w:eastAsia="仿宋" w:cs="仿宋"/>
          <w:color w:val="auto"/>
        </w:rPr>
      </w:pPr>
      <w:r>
        <w:rPr>
          <w:rFonts w:hint="eastAsia" w:ascii="仿宋" w:hAnsi="仿宋" w:eastAsia="仿宋" w:cs="仿宋"/>
          <w:color w:val="auto"/>
        </w:rPr>
        <w:br w:type="page"/>
      </w:r>
    </w:p>
    <w:p>
      <w:pPr>
        <w:pStyle w:val="3"/>
        <w:rPr>
          <w:rFonts w:hint="eastAsia" w:ascii="仿宋" w:hAnsi="仿宋" w:eastAsia="仿宋" w:cs="仿宋"/>
          <w:color w:val="auto"/>
        </w:rPr>
      </w:pPr>
      <w:r>
        <w:rPr>
          <w:rFonts w:hint="eastAsia" w:ascii="仿宋" w:hAnsi="仿宋" w:eastAsia="仿宋" w:cs="仿宋"/>
          <w:color w:val="auto"/>
        </w:rPr>
        <w:t>六、组织安排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96"/>
        <w:gridCol w:w="4896"/>
      </w:tblGrid>
      <w:tr>
        <w:trPr>
          <w:jc w:val="center"/>
        </w:trPr>
        <w:tc>
          <w:tcPr>
            <w:tcW w:w="1944"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事项</w:t>
            </w:r>
          </w:p>
        </w:tc>
        <w:tc>
          <w:tcPr>
            <w:tcW w:w="7128"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建议安排</w:t>
            </w:r>
          </w:p>
        </w:tc>
      </w:tr>
      <w:tr>
        <w:trPr>
          <w:jc w:val="center"/>
        </w:trPr>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报名方式</w:t>
            </w:r>
          </w:p>
        </w:tc>
        <w:tc>
          <w:tcPr>
            <w:tcW w:w="7128"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通过二维码填写个人信息收集表，主办方统一汇总参会名单。</w:t>
            </w:r>
          </w:p>
        </w:tc>
      </w:tr>
      <w:tr>
        <w:trPr>
          <w:jc w:val="center"/>
        </w:trPr>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会务准备</w:t>
            </w:r>
          </w:p>
        </w:tc>
        <w:tc>
          <w:tcPr>
            <w:tcW w:w="7128"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提前确认场地、投影设备、签到台、会议资料、茶歇及现场引导。</w:t>
            </w:r>
          </w:p>
        </w:tc>
      </w:tr>
      <w:tr>
        <w:trPr>
          <w:jc w:val="center"/>
        </w:trPr>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宣传材料</w:t>
            </w:r>
          </w:p>
        </w:tc>
        <w:tc>
          <w:tcPr>
            <w:tcW w:w="7128"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使用活动海报、报名二维码及活动简介进行定向邀请和转发。</w:t>
            </w:r>
          </w:p>
        </w:tc>
      </w:tr>
      <w:tr>
        <w:trPr>
          <w:jc w:val="center"/>
        </w:trPr>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现场流程</w:t>
            </w:r>
          </w:p>
        </w:tc>
        <w:tc>
          <w:tcPr>
            <w:tcW w:w="7128"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设置签到、开场、两场主题分享、互动问答及总结交流环节。</w:t>
            </w:r>
          </w:p>
        </w:tc>
      </w:tr>
      <w:tr>
        <w:trPr>
          <w:jc w:val="center"/>
        </w:trPr>
        <w:tc>
          <w:tcPr>
            <w:tcW w:w="1944"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后续跟进</w:t>
            </w:r>
          </w:p>
        </w:tc>
        <w:tc>
          <w:tcPr>
            <w:tcW w:w="7128"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整理参会企业需求，形成后续咨询、合规体检或专题交流清单。</w:t>
            </w:r>
          </w:p>
        </w:tc>
      </w:tr>
    </w:tbl>
    <w:p>
      <w:pPr>
        <w:spacing w:after="40"/>
        <w:rPr>
          <w:rFonts w:hint="eastAsia" w:ascii="仿宋" w:hAnsi="仿宋" w:eastAsia="仿宋" w:cs="仿宋"/>
          <w:color w:val="auto"/>
        </w:rPr>
      </w:pPr>
    </w:p>
    <w:p>
      <w:pPr>
        <w:pStyle w:val="3"/>
        <w:rPr>
          <w:rFonts w:hint="eastAsia" w:ascii="仿宋" w:hAnsi="仿宋" w:eastAsia="仿宋" w:cs="仿宋"/>
          <w:color w:val="auto"/>
        </w:rPr>
      </w:pPr>
      <w:r>
        <w:rPr>
          <w:rFonts w:hint="eastAsia" w:ascii="仿宋" w:hAnsi="仿宋" w:eastAsia="仿宋" w:cs="仿宋"/>
          <w:color w:val="auto"/>
        </w:rPr>
        <w:t>七、预期效果</w:t>
      </w:r>
    </w:p>
    <w:p>
      <w:pPr>
        <w:pStyle w:val="16"/>
        <w:ind w:left="360" w:hanging="259"/>
        <w:rPr>
          <w:rFonts w:hint="eastAsia" w:ascii="仿宋" w:hAnsi="仿宋" w:eastAsia="仿宋" w:cs="仿宋"/>
          <w:color w:val="auto"/>
        </w:rPr>
      </w:pPr>
      <w:r>
        <w:rPr>
          <w:rFonts w:hint="eastAsia" w:ascii="仿宋" w:hAnsi="仿宋" w:eastAsia="仿宋" w:cs="仿宋"/>
          <w:color w:val="auto"/>
        </w:rPr>
        <w:t>提升企业对美国出口管制、经济制裁及知识产权保护规则的理解。</w:t>
      </w:r>
    </w:p>
    <w:p>
      <w:pPr>
        <w:pStyle w:val="16"/>
        <w:ind w:left="360" w:hanging="259"/>
        <w:rPr>
          <w:rFonts w:hint="eastAsia" w:ascii="仿宋" w:hAnsi="仿宋" w:eastAsia="仿宋" w:cs="仿宋"/>
          <w:color w:val="auto"/>
        </w:rPr>
      </w:pPr>
      <w:r>
        <w:rPr>
          <w:rFonts w:hint="eastAsia" w:ascii="仿宋" w:hAnsi="仿宋" w:eastAsia="仿宋" w:cs="仿宋"/>
          <w:color w:val="auto"/>
        </w:rPr>
        <w:t>帮助参会企业识别对美业务中的重点法律风险和合规薄弱环节。</w:t>
      </w:r>
    </w:p>
    <w:p>
      <w:pPr>
        <w:pStyle w:val="16"/>
        <w:ind w:left="360" w:hanging="259"/>
        <w:rPr>
          <w:rFonts w:hint="eastAsia" w:ascii="仿宋" w:hAnsi="仿宋" w:eastAsia="仿宋" w:cs="仿宋"/>
          <w:color w:val="auto"/>
        </w:rPr>
      </w:pPr>
      <w:r>
        <w:rPr>
          <w:rFonts w:hint="eastAsia" w:ascii="仿宋" w:hAnsi="仿宋" w:eastAsia="仿宋" w:cs="仿宋"/>
          <w:color w:val="auto"/>
        </w:rPr>
        <w:t>增强企业在品牌出海、知识产权布局及侵权反制方面的实务能力。</w:t>
      </w:r>
    </w:p>
    <w:p>
      <w:pPr>
        <w:pStyle w:val="16"/>
        <w:ind w:left="360" w:hanging="259"/>
        <w:rPr>
          <w:rFonts w:hint="eastAsia" w:ascii="仿宋" w:hAnsi="仿宋" w:eastAsia="仿宋" w:cs="仿宋"/>
          <w:color w:val="auto"/>
        </w:rPr>
      </w:pPr>
      <w:r>
        <w:rPr>
          <w:rFonts w:hint="eastAsia" w:ascii="仿宋" w:hAnsi="仿宋" w:eastAsia="仿宋" w:cs="仿宋"/>
          <w:color w:val="auto"/>
        </w:rPr>
        <w:t>促进主办方与企业之间的深度交流，为后续法律服务和资源对接奠定基础。</w:t>
      </w:r>
    </w:p>
    <w:p>
      <w:pPr>
        <w:pStyle w:val="3"/>
        <w:rPr>
          <w:rFonts w:hint="eastAsia" w:ascii="仿宋" w:hAnsi="仿宋" w:eastAsia="仿宋" w:cs="仿宋"/>
          <w:color w:val="auto"/>
        </w:rPr>
      </w:pPr>
      <w:r>
        <w:rPr>
          <w:rFonts w:hint="eastAsia" w:ascii="仿宋" w:hAnsi="仿宋" w:eastAsia="仿宋" w:cs="仿宋"/>
          <w:color w:val="auto"/>
        </w:rPr>
        <w:t>八、待确认事项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96"/>
        <w:gridCol w:w="4896"/>
      </w:tblGrid>
      <w:tr>
        <w:trPr>
          <w:jc w:val="center"/>
        </w:trPr>
        <w:tc>
          <w:tcPr>
            <w:tcW w:w="4320"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事项</w:t>
            </w:r>
          </w:p>
        </w:tc>
        <w:tc>
          <w:tcPr>
            <w:tcW w:w="4752" w:type="dxa"/>
            <w:shd w:val="clear" w:color="auto" w:fill="F2F4F7"/>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color w:val="auto"/>
                <w:sz w:val="21"/>
              </w:rPr>
              <w:t>状态</w:t>
            </w:r>
          </w:p>
        </w:tc>
      </w:tr>
      <w:tr>
        <w:trPr>
          <w:jc w:val="center"/>
        </w:trPr>
        <w:tc>
          <w:tcPr>
            <w:tcW w:w="432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参会规模及邀请名单</w:t>
            </w:r>
          </w:p>
        </w:tc>
        <w:tc>
          <w:tcPr>
            <w:tcW w:w="475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待确认</w:t>
            </w:r>
          </w:p>
        </w:tc>
      </w:tr>
      <w:tr>
        <w:trPr>
          <w:jc w:val="center"/>
        </w:trPr>
        <w:tc>
          <w:tcPr>
            <w:tcW w:w="432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现场联系人及签到安排</w:t>
            </w:r>
          </w:p>
        </w:tc>
        <w:tc>
          <w:tcPr>
            <w:tcW w:w="475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待确认</w:t>
            </w:r>
          </w:p>
        </w:tc>
      </w:tr>
      <w:tr>
        <w:trPr>
          <w:jc w:val="center"/>
        </w:trPr>
        <w:tc>
          <w:tcPr>
            <w:tcW w:w="432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是否设置茶歇、摄影或媒体发布</w:t>
            </w:r>
          </w:p>
        </w:tc>
        <w:tc>
          <w:tcPr>
            <w:tcW w:w="475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待确认</w:t>
            </w:r>
          </w:p>
        </w:tc>
      </w:tr>
      <w:tr>
        <w:trPr>
          <w:jc w:val="center"/>
        </w:trPr>
        <w:tc>
          <w:tcPr>
            <w:tcW w:w="4320"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活动最终议程及主持人</w:t>
            </w:r>
          </w:p>
        </w:tc>
        <w:tc>
          <w:tcPr>
            <w:tcW w:w="4752" w:type="dxa"/>
            <w:tcMar>
              <w:top w:w="80" w:type="dxa"/>
              <w:left w:w="120" w:type="dxa"/>
              <w:bottom w:w="80" w:type="dxa"/>
              <w:right w:w="120" w:type="dxa"/>
            </w:tcMar>
            <w:vAlign w:val="center"/>
          </w:tcPr>
          <w:p>
            <w:pPr>
              <w:spacing w:after="0"/>
              <w:rPr>
                <w:rFonts w:hint="eastAsia" w:ascii="仿宋" w:hAnsi="仿宋" w:eastAsia="仿宋" w:cs="仿宋"/>
                <w:color w:val="auto"/>
              </w:rPr>
            </w:pPr>
            <w:r>
              <w:rPr>
                <w:rFonts w:hint="eastAsia" w:ascii="仿宋" w:hAnsi="仿宋" w:eastAsia="仿宋" w:cs="仿宋"/>
                <w:b w:val="0"/>
                <w:color w:val="auto"/>
                <w:sz w:val="21"/>
              </w:rPr>
              <w:t>待确认</w:t>
            </w:r>
          </w:p>
        </w:tc>
      </w:tr>
    </w:tbl>
    <w:p>
      <w:pPr>
        <w:spacing w:after="40"/>
        <w:rPr>
          <w:rFonts w:hint="eastAsia" w:ascii="仿宋" w:hAnsi="仿宋" w:eastAsia="仿宋" w:cs="仿宋"/>
          <w:color w:val="auto"/>
        </w:rPr>
      </w:pPr>
    </w:p>
    <w:sectPr>
      <w:headerReference r:id="rId5" w:type="default"/>
      <w:footerReference r:id="rId6" w:type="default"/>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color w:val="6B7280"/>
        <w:sz w:val="18"/>
      </w:rPr>
      <w:t>Cathay Praxis Law（美国博衡律师事务所）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right"/>
    </w:pPr>
    <w:r>
      <w:rPr>
        <w:color w:val="6B7280"/>
        <w:sz w:val="18"/>
      </w:rPr>
      <w:t>南山区企业“扬帆出海”系列互动｜活动方案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B3FAF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微软雅黑" w:cstheme="minorBidi"/>
      <w:color w:val="1F2937"/>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1F4D78"/>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1269</Words>
  <Characters>1379</Characters>
  <Lines>0</Lines>
  <Paragraphs>0</Paragraphs>
  <TotalTime>8</TotalTime>
  <ScaleCrop>false</ScaleCrop>
  <LinksUpToDate>false</LinksUpToDate>
  <CharactersWithSpaces>1383</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Cathay Praxis Law</dc:creator>
  <dc:description>generated by python-docx</dc:description>
  <cp:lastModifiedBy>kangda-changhengchen</cp:lastModifiedBy>
  <dcterms:modified xsi:type="dcterms:W3CDTF">2026-06-15T16:07:26Z</dcterms:modified>
  <dc:subject>对美跨境业务合规与知识产权保护实务研讨会</dc:subject>
  <dc:title>南山区企业扬帆出海系列互动活动方案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F4996C856EB13F61BEB22F6A44FD64FB_42</vt:lpwstr>
  </property>
</Properties>
</file>