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12 -->
  <w:body>
    <w:p>
      <w:pPr>
        <w:rPr>
          <w:rFonts w:ascii="宋体" w:eastAsia="宋体" w:hAnsi="宋体" w:cs="Arial" w:hint="eastAsia"/>
          <w:bCs/>
          <w:szCs w:val="32"/>
        </w:rPr>
      </w:pPr>
    </w:p>
    <w:p>
      <w:pPr>
        <w:rPr>
          <w:rFonts w:ascii="宋体" w:eastAsia="宋体" w:hAnsi="宋体" w:cs="Arial" w:hint="eastAsia"/>
          <w:bCs/>
          <w:szCs w:val="32"/>
        </w:rPr>
      </w:pPr>
    </w:p>
    <w:p>
      <w:pPr>
        <w:jc w:val="center"/>
        <w:rPr>
          <w:rFonts w:ascii="宋体" w:eastAsia="宋体" w:hAnsi="宋体" w:cs="Arial" w:hint="eastAsia"/>
          <w:bCs/>
          <w:sz w:val="44"/>
          <w:szCs w:val="44"/>
        </w:rPr>
      </w:pPr>
      <w:bookmarkStart w:id="0" w:name="Title"/>
      <w:r>
        <w:rPr>
          <w:rFonts w:ascii="宋体" w:eastAsia="宋体" w:hAnsi="宋体" w:cs="Arial"/>
          <w:bCs/>
          <w:sz w:val="44"/>
          <w:szCs w:val="44"/>
        </w:rPr>
        <w:t>关于加快市区城中村改造建设的实施意见</w:t>
      </w:r>
      <w:bookmarkEnd w:id="0"/>
    </w:p>
    <w:p>
      <w:pPr>
        <w:ind w:left="800" w:right="538" w:hanging="160" w:leftChars="200" w:rightChars="168" w:hangingChars="50"/>
        <w:jc w:val="center"/>
        <w:rPr>
          <w:rFonts w:ascii="楷体_GB2312" w:eastAsia="楷体_GB2312" w:hAnsi="Arial" w:cs="Arial" w:hint="eastAsia"/>
          <w:szCs w:val="32"/>
        </w:rPr>
      </w:pPr>
      <w:bookmarkStart w:id="1" w:name="TitleDescription"/>
      <w:r>
        <w:rPr>
          <w:rFonts w:ascii="Times New Roman" w:eastAsia="楷体_GB2312" w:hAnsi="Arial" w:cs="Arial" w:hint="eastAsia"/>
          <w:szCs w:val="32"/>
        </w:rPr>
        <w:t>（太太政规〔2010〕5号）</w:t>
      </w:r>
      <w:bookmarkEnd w:id="1"/>
    </w:p>
    <w:p>
      <w:pPr>
        <w:ind w:right="538" w:rightChars="168"/>
        <w:rPr>
          <w:rFonts w:ascii="宋体" w:eastAsia="宋体" w:hAnsi="宋体" w:cs="Arial" w:hint="eastAsia"/>
          <w:szCs w:val="32"/>
        </w:rPr>
      </w:pPr>
    </w:p>
    <w:p>
      <w:pPr>
        <w:spacing w:line="240" w:lineRule="auto"/>
        <w:ind w:firstLine="640"/>
        <w:jc w:val="both"/>
      </w:pPr>
      <w:r>
        <w:rPr>
          <w:rFonts w:ascii="仿宋_GB2312" w:eastAsia="仿宋_GB2312" w:hAnsi="仿宋_GB2312" w:cs="仿宋_GB2312"/>
          <w:sz w:val="32"/>
        </w:rPr>
        <w:t>为加快推进我市城市现代化进程，切实改善居民的居住环境和条件，提升城市形象，现对加快市区城中村改造建设提出如下实施意见：</w:t>
      </w:r>
    </w:p>
    <w:p>
      <w:pPr>
        <w:spacing w:line="240" w:lineRule="auto"/>
        <w:ind w:firstLine="640"/>
        <w:jc w:val="both"/>
      </w:pPr>
      <w:r>
        <w:rPr>
          <w:rFonts w:ascii="黑体" w:eastAsia="黑体" w:hAnsi="黑体" w:cs="黑体"/>
          <w:sz w:val="32"/>
        </w:rPr>
        <w:t>一</w:t>
      </w:r>
      <w:r>
        <w:rPr>
          <w:rFonts w:ascii="黑体" w:eastAsia="黑体" w:hAnsi="黑体" w:cs="黑体"/>
          <w:sz w:val="32"/>
        </w:rPr>
        <w:t>、</w:t>
      </w:r>
      <w:r>
        <w:rPr>
          <w:rFonts w:ascii="黑体" w:eastAsia="黑体" w:hAnsi="黑体" w:cs="黑体"/>
          <w:sz w:val="32"/>
        </w:rPr>
        <w:t>指导思想</w:t>
      </w:r>
    </w:p>
    <w:p>
      <w:pPr>
        <w:spacing w:line="240" w:lineRule="auto"/>
        <w:ind w:firstLine="640"/>
        <w:jc w:val="both"/>
      </w:pPr>
      <w:r>
        <w:rPr>
          <w:rFonts w:ascii="仿宋_GB2312" w:eastAsia="仿宋_GB2312" w:hAnsi="仿宋_GB2312" w:cs="仿宋_GB2312"/>
          <w:sz w:val="32"/>
        </w:rPr>
        <w:t>全面贯彻党的十七大和十七届三中、四中全会精神，以邓小平理论和“三个代表”重要思想为指导，落实科学发展观，把改善城中村区域居民人居环境和生活质量作为工作的出发点和根本目标，把城中村改造作为今后一段时期城市建设和民生工程的重点工作，按照“政府主导、政策推动、统一规划、分步实施、统筹平衡”的总体原则，对城中村进行一次普遍改造，打造优美人居环境，促进城乡一体化发展，提升城市形象，使广大城中村居民共享城市改革和发展的成果。</w:t>
      </w:r>
    </w:p>
    <w:p>
      <w:pPr>
        <w:spacing w:line="240" w:lineRule="auto"/>
        <w:ind w:firstLine="640"/>
        <w:jc w:val="both"/>
      </w:pPr>
      <w:r>
        <w:rPr>
          <w:rFonts w:ascii="黑体" w:eastAsia="黑体" w:hAnsi="黑体" w:cs="黑体"/>
          <w:sz w:val="32"/>
        </w:rPr>
        <w:t>二</w:t>
      </w:r>
      <w:r>
        <w:rPr>
          <w:rFonts w:ascii="黑体" w:eastAsia="黑体" w:hAnsi="黑体" w:cs="黑体"/>
          <w:sz w:val="32"/>
        </w:rPr>
        <w:t>、</w:t>
      </w:r>
      <w:r>
        <w:rPr>
          <w:rFonts w:ascii="黑体" w:eastAsia="黑体" w:hAnsi="黑体" w:cs="黑体"/>
          <w:sz w:val="32"/>
        </w:rPr>
        <w:t>改造范围</w:t>
      </w:r>
    </w:p>
    <w:p>
      <w:pPr>
        <w:spacing w:line="240" w:lineRule="auto"/>
        <w:ind w:firstLine="640"/>
        <w:jc w:val="both"/>
      </w:pPr>
      <w:r>
        <w:rPr>
          <w:rFonts w:ascii="Times New Roman" w:eastAsia="仿宋_GB2312" w:hAnsi="仿宋_GB2312" w:cs="仿宋_GB2312"/>
          <w:sz w:val="32"/>
        </w:rPr>
        <w:t>列入本次城中村改造的范围为东至沿江高速公路、西至204国道、南至新浏河、北至苏州路的近20平方公里的建成区域内，共有80个城中村居住点，占地2541亩，总建筑面积98万平方米，共有住户4085户。该范围以外的城中村，因城市建设需要进行改造的，应由市政府批准后执行本《意见》。</w:t>
      </w:r>
    </w:p>
    <w:p>
      <w:pPr>
        <w:spacing w:line="240" w:lineRule="auto"/>
        <w:ind w:firstLine="640"/>
        <w:jc w:val="both"/>
      </w:pPr>
      <w:r>
        <w:rPr>
          <w:rFonts w:ascii="黑体" w:eastAsia="黑体" w:hAnsi="黑体" w:cs="黑体"/>
          <w:sz w:val="32"/>
        </w:rPr>
        <w:t>三</w:t>
      </w:r>
      <w:r>
        <w:rPr>
          <w:rFonts w:ascii="黑体" w:eastAsia="黑体" w:hAnsi="黑体" w:cs="黑体"/>
          <w:sz w:val="32"/>
        </w:rPr>
        <w:t>、</w:t>
      </w:r>
      <w:r>
        <w:rPr>
          <w:rFonts w:ascii="黑体" w:eastAsia="黑体" w:hAnsi="黑体" w:cs="黑体"/>
          <w:sz w:val="32"/>
        </w:rPr>
        <w:t>基本原则</w:t>
      </w:r>
    </w:p>
    <w:p>
      <w:pPr>
        <w:spacing w:line="240" w:lineRule="auto"/>
        <w:ind w:firstLine="640"/>
        <w:jc w:val="both"/>
      </w:pPr>
      <w:r>
        <w:rPr>
          <w:rFonts w:ascii="仿宋_GB2312" w:eastAsia="仿宋_GB2312" w:hAnsi="仿宋_GB2312" w:cs="仿宋_GB2312"/>
          <w:sz w:val="32"/>
        </w:rPr>
        <w:t>按照统一规划，分步实施的总体原则，在城中村改造建设时，应着重考虑和遵循以下原则：</w:t>
      </w:r>
    </w:p>
    <w:p>
      <w:pPr>
        <w:spacing w:line="240" w:lineRule="auto"/>
        <w:ind w:firstLine="640"/>
        <w:jc w:val="both"/>
      </w:pPr>
      <w:r>
        <w:rPr>
          <w:rFonts w:ascii="仿宋_GB2312" w:eastAsia="仿宋_GB2312" w:hAnsi="仿宋_GB2312" w:cs="仿宋_GB2312"/>
          <w:sz w:val="32"/>
        </w:rPr>
        <w:t>——整体性原则。要按照城市总体规划，科学编制城中村改造控制性详细规划，充分考虑改造建设的整体性和完整性，以单个城中村为单位实施的整体改造，在划定红线内如涉及少量建设年代比较久远的公寓房，则一并列入改造范围。</w:t>
      </w:r>
    </w:p>
    <w:p>
      <w:pPr>
        <w:spacing w:line="240" w:lineRule="auto"/>
        <w:ind w:firstLine="640"/>
        <w:jc w:val="both"/>
      </w:pPr>
      <w:r>
        <w:rPr>
          <w:rFonts w:ascii="仿宋_GB2312" w:eastAsia="仿宋_GB2312" w:hAnsi="仿宋_GB2312" w:cs="仿宋_GB2312"/>
          <w:sz w:val="32"/>
        </w:rPr>
        <w:t>——完善配套设施方便居民生活原则。城中村改造按照现行居住小区的标准进行改造，增加城市公共设施和配套设施，提高居民生活质量。</w:t>
      </w:r>
    </w:p>
    <w:p>
      <w:pPr>
        <w:spacing w:line="240" w:lineRule="auto"/>
        <w:ind w:firstLine="640"/>
        <w:jc w:val="both"/>
      </w:pPr>
      <w:r>
        <w:rPr>
          <w:rFonts w:ascii="仿宋_GB2312" w:eastAsia="仿宋_GB2312" w:hAnsi="仿宋_GB2312" w:cs="仿宋_GB2312"/>
          <w:sz w:val="32"/>
        </w:rPr>
        <w:t>——与周边环境相协调原则。在城中村改造设计时，应当充分考虑其周边城市建设的整体风格和建筑风貌，保持城市规划和布局的一致性和协调性。</w:t>
      </w:r>
    </w:p>
    <w:p>
      <w:pPr>
        <w:spacing w:line="240" w:lineRule="auto"/>
        <w:ind w:firstLine="640"/>
        <w:jc w:val="both"/>
      </w:pPr>
      <w:r>
        <w:rPr>
          <w:rFonts w:ascii="Times New Roman" w:eastAsia="仿宋_GB2312" w:hAnsi="仿宋_GB2312" w:cs="仿宋_GB2312"/>
          <w:sz w:val="32"/>
        </w:rPr>
        <w:t>——居民自愿原则。城中村改造建设应广泛征求所在地居民的意见，并取得90%以上的支持才能实施。具体操作上，可选择当地居民改造意愿比较强烈的村先行实施，采用典型引路的示范方式。</w:t>
      </w:r>
    </w:p>
    <w:p>
      <w:pPr>
        <w:spacing w:line="240" w:lineRule="auto"/>
        <w:ind w:firstLine="640"/>
        <w:jc w:val="both"/>
      </w:pPr>
      <w:r>
        <w:rPr>
          <w:rFonts w:ascii="黑体" w:eastAsia="黑体" w:hAnsi="黑体" w:cs="黑体"/>
          <w:sz w:val="32"/>
        </w:rPr>
        <w:t>四</w:t>
      </w:r>
      <w:r>
        <w:rPr>
          <w:rFonts w:ascii="黑体" w:eastAsia="黑体" w:hAnsi="黑体" w:cs="黑体"/>
          <w:sz w:val="32"/>
        </w:rPr>
        <w:t>、</w:t>
      </w:r>
      <w:r>
        <w:rPr>
          <w:rFonts w:ascii="黑体" w:eastAsia="黑体" w:hAnsi="黑体" w:cs="黑体"/>
          <w:sz w:val="32"/>
        </w:rPr>
        <w:t>实施方式</w:t>
      </w:r>
    </w:p>
    <w:p>
      <w:pPr>
        <w:spacing w:line="240" w:lineRule="auto"/>
        <w:ind w:firstLine="640"/>
        <w:jc w:val="both"/>
      </w:pPr>
      <w:r>
        <w:rPr>
          <w:rFonts w:ascii="仿宋_GB2312" w:eastAsia="仿宋_GB2312" w:hAnsi="仿宋_GB2312" w:cs="仿宋_GB2312"/>
          <w:sz w:val="32"/>
        </w:rPr>
        <w:t>根据城中村的所处区域、地理位置、现状条件、规划设计和市场潜力，城中村改造实行“新城开发”、“土地储备”和“整体改造”三种模式。</w:t>
      </w:r>
    </w:p>
    <w:p>
      <w:pPr>
        <w:spacing w:line="240" w:lineRule="auto"/>
        <w:ind w:firstLine="640"/>
        <w:jc w:val="both"/>
      </w:pPr>
      <w:r>
        <w:rPr>
          <w:rFonts w:ascii="仿宋_GB2312" w:eastAsia="仿宋_GB2312" w:hAnsi="仿宋_GB2312" w:cs="仿宋_GB2312"/>
          <w:sz w:val="32"/>
        </w:rPr>
        <w:t>（一）新城开发。位于新区一期范围内的大部分城中村可按新区规划结合企业“退二进三”，实现整片拆迁改造开发。</w:t>
      </w:r>
    </w:p>
    <w:p>
      <w:pPr>
        <w:spacing w:line="240" w:lineRule="auto"/>
        <w:ind w:firstLine="640"/>
        <w:jc w:val="both"/>
      </w:pPr>
      <w:r>
        <w:rPr>
          <w:rFonts w:ascii="仿宋_GB2312" w:eastAsia="仿宋_GB2312" w:hAnsi="仿宋_GB2312" w:cs="仿宋_GB2312"/>
          <w:sz w:val="32"/>
        </w:rPr>
        <w:t>（二）土地储备。将城中村列入土地储备计划，由土地储备中心实施拆迁后，将土地推向市场，实行市场化改造建设。</w:t>
      </w:r>
    </w:p>
    <w:p>
      <w:pPr>
        <w:spacing w:line="240" w:lineRule="auto"/>
        <w:ind w:firstLine="640"/>
        <w:jc w:val="both"/>
      </w:pPr>
      <w:r>
        <w:rPr>
          <w:rFonts w:ascii="仿宋_GB2312" w:eastAsia="仿宋_GB2312" w:hAnsi="仿宋_GB2312" w:cs="仿宋_GB2312"/>
          <w:sz w:val="32"/>
        </w:rPr>
        <w:t>（三）整体改造。对于部分居民改造意愿比较强烈，改造方案经济测算处于基本平衡的城中村，可采用政府提供优惠政策，由国有公司（或社区）组建实施主体进行运作，拆迁由所在地政府配合。</w:t>
      </w:r>
    </w:p>
    <w:p>
      <w:pPr>
        <w:spacing w:line="240" w:lineRule="auto"/>
        <w:ind w:firstLine="640"/>
        <w:jc w:val="both"/>
      </w:pPr>
      <w:r>
        <w:rPr>
          <w:rFonts w:ascii="黑体" w:eastAsia="黑体" w:hAnsi="黑体" w:cs="黑体"/>
          <w:sz w:val="32"/>
        </w:rPr>
        <w:t>五</w:t>
      </w:r>
      <w:r>
        <w:rPr>
          <w:rFonts w:ascii="黑体" w:eastAsia="黑体" w:hAnsi="黑体" w:cs="黑体"/>
          <w:sz w:val="32"/>
        </w:rPr>
        <w:t>、</w:t>
      </w:r>
      <w:r>
        <w:rPr>
          <w:rFonts w:ascii="黑体" w:eastAsia="黑体" w:hAnsi="黑体" w:cs="黑体"/>
          <w:sz w:val="32"/>
        </w:rPr>
        <w:t>有关政策</w:t>
      </w:r>
    </w:p>
    <w:p>
      <w:pPr>
        <w:spacing w:line="240" w:lineRule="auto"/>
        <w:ind w:firstLine="640"/>
        <w:jc w:val="both"/>
      </w:pPr>
      <w:r>
        <w:rPr>
          <w:rFonts w:ascii="仿宋_GB2312" w:eastAsia="仿宋_GB2312" w:hAnsi="仿宋_GB2312" w:cs="仿宋_GB2312"/>
          <w:sz w:val="32"/>
        </w:rPr>
        <w:t>（一）拆迁安置政策</w:t>
      </w:r>
    </w:p>
    <w:p>
      <w:pPr>
        <w:spacing w:line="240" w:lineRule="auto"/>
        <w:ind w:firstLine="640"/>
        <w:jc w:val="both"/>
      </w:pPr>
      <w:r>
        <w:rPr>
          <w:rFonts w:ascii="Times New Roman" w:eastAsia="仿宋_GB2312" w:hAnsi="仿宋_GB2312" w:cs="仿宋_GB2312"/>
          <w:sz w:val="32"/>
        </w:rPr>
        <w:t>城中村改造拆迁安置政策参照《关于公布太仓市市区城市房屋拆迁区位、拆迁区位基准价及商业用房道路类别的通知》（太政发〔2009〕68号）、《关于调整太仓市城市房屋拆迁补偿结算暂行办法的通知》（太规建建〔2009〕37号）、《关于调整太仓市城市房屋拆迁搬迁补助费、临时安置补助费等发放标准的通知》（太规建建〔2009〕38号）等现行文件的相关规定执行。具体实施政策，由各实施主体报主管部门批准后执行。</w:t>
      </w:r>
    </w:p>
    <w:p>
      <w:pPr>
        <w:spacing w:line="240" w:lineRule="auto"/>
        <w:ind w:firstLine="640"/>
        <w:jc w:val="both"/>
      </w:pPr>
      <w:r>
        <w:rPr>
          <w:rFonts w:ascii="仿宋_GB2312" w:eastAsia="仿宋_GB2312" w:hAnsi="仿宋_GB2312" w:cs="仿宋_GB2312"/>
          <w:sz w:val="32"/>
        </w:rPr>
        <w:t>（二）相关配套政策</w:t>
      </w:r>
    </w:p>
    <w:p>
      <w:pPr>
        <w:spacing w:line="240" w:lineRule="auto"/>
        <w:ind w:firstLine="640"/>
        <w:jc w:val="both"/>
      </w:pPr>
      <w:r>
        <w:rPr>
          <w:rFonts w:ascii="仿宋_GB2312" w:eastAsia="仿宋_GB2312" w:hAnsi="仿宋_GB2312" w:cs="仿宋_GB2312"/>
          <w:sz w:val="32"/>
        </w:rPr>
        <w:t>以“整体改造”模式实施的城中村改造项目，可享受以下相关政策：</w:t>
      </w:r>
    </w:p>
    <w:p>
      <w:pPr>
        <w:spacing w:line="240" w:lineRule="auto"/>
        <w:ind w:firstLine="640"/>
        <w:jc w:val="both"/>
      </w:pPr>
      <w:r>
        <w:rPr>
          <w:rFonts w:ascii="Times New Roman" w:eastAsia="仿宋_GB2312" w:hAnsi="仿宋_GB2312" w:cs="仿宋_GB2312"/>
          <w:sz w:val="32"/>
        </w:rPr>
        <w:t>——规费减免。对城中村改造建设过程中发生的相关规费进行减免，免除人防费（因城中村改造面积较小无法建设人防工程）、市政设施配套费、防雷设施费等规费，服务性收费（包括地震安全性评价费、审图费、白蚁防治费、城建档案资料服务费、建筑放样费、规划技术服务费、安监费等）按标准的50%收取。</w:t>
      </w:r>
    </w:p>
    <w:p>
      <w:pPr>
        <w:spacing w:line="240" w:lineRule="auto"/>
        <w:ind w:firstLine="640"/>
        <w:jc w:val="both"/>
      </w:pPr>
      <w:r>
        <w:rPr>
          <w:rFonts w:ascii="仿宋_GB2312" w:eastAsia="仿宋_GB2312" w:hAnsi="仿宋_GB2312" w:cs="仿宋_GB2312"/>
          <w:sz w:val="32"/>
        </w:rPr>
        <w:t>——工程建设配套费用差额征收。对城中村改造后用于安置的房屋免收水、电、广电、电讯等增容、管道工程、移机费用，只收取一定的材料费和人工费。只对市场销售的部分房屋按标准收取增容费或初装费。</w:t>
      </w:r>
    </w:p>
    <w:p>
      <w:pPr>
        <w:spacing w:line="240" w:lineRule="auto"/>
        <w:ind w:firstLine="640"/>
        <w:jc w:val="both"/>
      </w:pPr>
      <w:r>
        <w:rPr>
          <w:rFonts w:ascii="仿宋_GB2312" w:eastAsia="仿宋_GB2312" w:hAnsi="仿宋_GB2312" w:cs="仿宋_GB2312"/>
          <w:sz w:val="32"/>
        </w:rPr>
        <w:t>——土地出让金全额返还。对土地挂牌出让金除上交中央、省部分外，全额用于补偿拆迁安置费用。</w:t>
      </w:r>
    </w:p>
    <w:p>
      <w:pPr>
        <w:spacing w:line="240" w:lineRule="auto"/>
        <w:ind w:firstLine="640"/>
        <w:jc w:val="both"/>
      </w:pPr>
      <w:r>
        <w:rPr>
          <w:rFonts w:ascii="仿宋_GB2312" w:eastAsia="仿宋_GB2312" w:hAnsi="仿宋_GB2312" w:cs="仿宋_GB2312"/>
          <w:sz w:val="32"/>
        </w:rPr>
        <w:t>——享受财政贴息支持。城中村改造建设资金由项目实施主体实行封闭运作，市融资平台提供必要的融资帮助，市财政提供贴息支持。</w:t>
      </w:r>
    </w:p>
    <w:p>
      <w:pPr>
        <w:spacing w:line="240" w:lineRule="auto"/>
        <w:ind w:firstLine="640"/>
        <w:jc w:val="both"/>
      </w:pPr>
      <w:r>
        <w:rPr>
          <w:rFonts w:ascii="仿宋_GB2312" w:eastAsia="仿宋_GB2312" w:hAnsi="仿宋_GB2312" w:cs="仿宋_GB2312"/>
          <w:sz w:val="32"/>
        </w:rPr>
        <w:t>——公积金制度。对拆迁后住户超面积购买的房屋，符合公积金贷款条件的，可以使用公积金贷款。</w:t>
      </w:r>
    </w:p>
    <w:p>
      <w:pPr>
        <w:spacing w:line="240" w:lineRule="auto"/>
        <w:ind w:firstLine="640"/>
        <w:jc w:val="both"/>
      </w:pPr>
      <w:r>
        <w:rPr>
          <w:rFonts w:ascii="黑体" w:eastAsia="黑体" w:hAnsi="黑体" w:cs="黑体"/>
          <w:sz w:val="32"/>
        </w:rPr>
        <w:t>六</w:t>
      </w:r>
      <w:r>
        <w:rPr>
          <w:rFonts w:ascii="黑体" w:eastAsia="黑体" w:hAnsi="黑体" w:cs="黑体"/>
          <w:sz w:val="32"/>
        </w:rPr>
        <w:t>、</w:t>
      </w:r>
      <w:r>
        <w:rPr>
          <w:rFonts w:ascii="黑体" w:eastAsia="黑体" w:hAnsi="黑体" w:cs="黑体"/>
          <w:sz w:val="32"/>
        </w:rPr>
        <w:t>实施步骤</w:t>
      </w:r>
    </w:p>
    <w:p>
      <w:pPr>
        <w:spacing w:line="240" w:lineRule="auto"/>
        <w:ind w:firstLine="640"/>
        <w:jc w:val="both"/>
      </w:pPr>
      <w:r>
        <w:rPr>
          <w:rFonts w:ascii="Times New Roman" w:eastAsia="仿宋_GB2312" w:hAnsi="仿宋_GB2312" w:cs="仿宋_GB2312"/>
          <w:sz w:val="32"/>
        </w:rPr>
        <w:t>鉴于市区城中村改造涉及到老城区、新区和城厢镇等区域，是一项比较复杂和艰巨的任务，2010年由新区、城厢镇及市住房和城乡建设局分别推进试点，待取得经验后再全面推开。</w:t>
      </w:r>
    </w:p>
    <w:p>
      <w:pPr>
        <w:spacing w:line="240" w:lineRule="auto"/>
        <w:ind w:firstLine="640"/>
        <w:jc w:val="both"/>
      </w:pPr>
      <w:r>
        <w:rPr>
          <w:rFonts w:ascii="黑体" w:eastAsia="黑体" w:hAnsi="黑体" w:cs="黑体"/>
          <w:sz w:val="32"/>
        </w:rPr>
        <w:t>七</w:t>
      </w:r>
      <w:r>
        <w:rPr>
          <w:rFonts w:ascii="黑体" w:eastAsia="黑体" w:hAnsi="黑体" w:cs="黑体"/>
          <w:sz w:val="32"/>
        </w:rPr>
        <w:t>、</w:t>
      </w:r>
      <w:r>
        <w:rPr>
          <w:rFonts w:ascii="黑体" w:eastAsia="黑体" w:hAnsi="黑体" w:cs="黑体"/>
          <w:sz w:val="32"/>
        </w:rPr>
        <w:t>组织保障</w:t>
      </w:r>
    </w:p>
    <w:p>
      <w:pPr>
        <w:spacing w:line="240" w:lineRule="auto"/>
        <w:ind w:firstLine="640"/>
        <w:jc w:val="both"/>
      </w:pPr>
      <w:r>
        <w:rPr>
          <w:rFonts w:ascii="仿宋_GB2312" w:eastAsia="仿宋_GB2312" w:hAnsi="仿宋_GB2312" w:cs="仿宋_GB2312"/>
          <w:sz w:val="32"/>
        </w:rPr>
        <w:t>成立城中村改造领导小组，由市政府主要领导任组长，市政府分管领导任常务副组长，新区、城厢镇分管领导和住房和城乡建设局主要领导任副组长，成员单位为：市委宣传部、发改委、监察局、民政局、财政局、人力资源和社会保障局、国土局、城管局、审计局、市土地储备中心和市城投公司等。领导小组下设办公室，设在市住房和城乡建设局内，由市住房和城乡建设局主要领导兼任办公室主任，新区、城厢镇以及市住房和城乡建设局各派一名领导任副主任。市领导小组负责全面协调部署城中村改造工作，审议决定城中村改造的重大方针政策措施和计划安排，研究解决改造中的重大问题。办公室负责城中村改造的组织、协调和考核等各项日常管理工作，研究制订有关改造政策措施，承办领导小组交办的其他工作。</w:t>
      </w:r>
    </w:p>
    <w:sectPr>
      <w:footerReference w:type="even" r:id="rId4"/>
      <w:footerReference w:type="default" r:id="rId5"/>
      <w:pgSz w:w="11906" w:h="16838"/>
      <w:pgMar w:top="2098" w:right="1474" w:bottom="1985" w:left="1588" w:header="851" w:footer="397" w:gutter="0"/>
      <w:cols w:space="708"/>
      <w:docGrid w:type="linesAndChars" w:linePitch="579" w:charSpace="-84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default"/>
    <w:sig w:usb0="E4002EFF" w:usb1="C000247B" w:usb2="00000009" w:usb3="00000000" w:csb0="200001FF" w:csb1="00000000"/>
  </w:font>
  <w:font w:name="宋体">
    <w:panose1 w:val="02010600030101010101"/>
    <w:charset w:val="86"/>
    <w:family w:val="auto"/>
    <w:pitch w:val="default"/>
    <w:sig w:usb0="00000003" w:usb1="288F0000" w:usb2="00000006" w:usb3="00000000" w:csb0="00040001" w:csb1="00000000"/>
  </w:font>
  <w:font w:name="Times New Roman">
    <w:panose1 w:val="02020603050405020304"/>
    <w:charset w:val="00"/>
    <w:family w:val="auto"/>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rPr>
        <w:rFonts w:ascii="宋体" w:eastAsia="宋体" w:hAnsi="宋体" w:hint="eastAsia"/>
        <w:sz w:val="28"/>
        <w:szCs w:val="28"/>
      </w:rPr>
    </w:pPr>
    <w:r>
      <w:rPr>
        <w:rFonts w:ascii="宋体" w:eastAsia="宋体" w:hAnsi="宋体" w:hint="eastAsia"/>
        <w:sz w:val="28"/>
        <w:szCs w:val="28"/>
        <w:lang w:eastAsia="zh-CN"/>
      </w:rPr>
      <w:t>　</w:t>
    </w: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wordWrap w:val="0"/>
      <w:jc w:val="right"/>
      <w:rPr>
        <w:rFonts w:ascii="宋体" w:eastAsia="宋体" w:hAnsi="宋体" w:hint="eastAsia"/>
        <w:sz w:val="28"/>
        <w:szCs w:val="28"/>
        <w:lang w:eastAsia="zh-CN"/>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r>
      <w:rPr>
        <w:rFonts w:ascii="宋体" w:eastAsia="宋体" w:hAnsi="宋体" w:hint="eastAsia"/>
        <w:sz w:val="28"/>
        <w:szCs w:val="28"/>
        <w:lang w:eastAsia="zh-CN"/>
      </w:rPr>
      <w:t>　</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en-US" w:val="$([{£¥·‘“〈《「『【〔〖〝﹙﹛﹝＄（．［｛￡￥"/>
  <w:noLineBreaksBefore w:lang="en-US" w:val="!%),.:;&gt;?]}¢¨°·ˇˉ―‖’”…‰′″›℃∶、。〃〉》」』】〕〗〞︶︺︾﹀﹄﹚﹜﹞！＂％＇），．：；？］｀｜｝～￠"/>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E703F"/>
    <w:rsid w:val="00005CBA"/>
    <w:rsid w:val="00067A46"/>
    <w:rsid w:val="000F7DA8"/>
    <w:rsid w:val="001007FD"/>
    <w:rsid w:val="00131BA9"/>
    <w:rsid w:val="0013352A"/>
    <w:rsid w:val="001C12CA"/>
    <w:rsid w:val="001C4316"/>
    <w:rsid w:val="0026195D"/>
    <w:rsid w:val="00276FEF"/>
    <w:rsid w:val="002E3D11"/>
    <w:rsid w:val="00315BE5"/>
    <w:rsid w:val="00353AD7"/>
    <w:rsid w:val="003A0332"/>
    <w:rsid w:val="004A0781"/>
    <w:rsid w:val="004F542C"/>
    <w:rsid w:val="00513E96"/>
    <w:rsid w:val="005A4A7E"/>
    <w:rsid w:val="005C49EF"/>
    <w:rsid w:val="00616EB4"/>
    <w:rsid w:val="006B294D"/>
    <w:rsid w:val="006D04C5"/>
    <w:rsid w:val="006D3381"/>
    <w:rsid w:val="00780729"/>
    <w:rsid w:val="007A6644"/>
    <w:rsid w:val="007C1C0A"/>
    <w:rsid w:val="007E3972"/>
    <w:rsid w:val="00835D25"/>
    <w:rsid w:val="00867A37"/>
    <w:rsid w:val="00874984"/>
    <w:rsid w:val="00910245"/>
    <w:rsid w:val="00A87604"/>
    <w:rsid w:val="00B32293"/>
    <w:rsid w:val="00B759C5"/>
    <w:rsid w:val="00BA548B"/>
    <w:rsid w:val="00BB0938"/>
    <w:rsid w:val="00BF51CB"/>
    <w:rsid w:val="00C16EFC"/>
    <w:rsid w:val="00D0095F"/>
    <w:rsid w:val="00D1515A"/>
    <w:rsid w:val="00D36965"/>
    <w:rsid w:val="00D625F1"/>
    <w:rsid w:val="00D64B65"/>
    <w:rsid w:val="00DB7DE9"/>
    <w:rsid w:val="00DC4D4C"/>
    <w:rsid w:val="00ED3B70"/>
    <w:rsid w:val="00F352BC"/>
    <w:rsid w:val="00F72984"/>
    <w:rsid w:val="00FA7EE2"/>
    <w:rsid w:val="09B230C6"/>
    <w:rsid w:val="2EDA33C3"/>
    <w:rsid w:val="5682086F"/>
    <w:rsid w:val="622A54EC"/>
    <w:rsid w:val="688A427F"/>
    <w:rsid w:val="6B852847"/>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lsdException w:name="Table Grid" w:semiHidden="0" w:uiPriority="59" w:unhideWhenUsed="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rFonts w:ascii="Times New Roman" w:eastAsia="仿宋_GB2312" w:hAnsi="Times New Roman"/>
      <w:kern w:val="2"/>
      <w:sz w:val="32"/>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Footer">
    <w:name w:val="footer"/>
    <w:basedOn w:val="Normal"/>
    <w:link w:val="a"/>
    <w:uiPriority w:val="99"/>
    <w:unhideWhenUsed/>
    <w:pPr>
      <w:tabs>
        <w:tab w:val="center" w:pos="4153"/>
        <w:tab w:val="right" w:pos="8306"/>
      </w:tabs>
      <w:snapToGrid w:val="0"/>
      <w:jc w:val="left"/>
    </w:pPr>
    <w:rPr>
      <w:sz w:val="18"/>
      <w:szCs w:val="18"/>
    </w:rPr>
  </w:style>
  <w:style w:type="character" w:customStyle="1" w:styleId="a">
    <w:name w:val="页脚 字符"/>
    <w:link w:val="Footer"/>
    <w:uiPriority w:val="99"/>
    <w:rPr>
      <w:sz w:val="18"/>
      <w:szCs w:val="18"/>
    </w:rPr>
  </w:style>
  <w:style w:type="paragraph" w:styleId="Header">
    <w:name w:val="header"/>
    <w:basedOn w:val="Normal"/>
    <w:link w:val="a0"/>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0">
    <w:name w:val="页眉 字符"/>
    <w:link w:val="Header"/>
    <w:uiPriority w:val="99"/>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12</Words>
  <Characters>69</Characters>
  <Application>Microsoft Office Word</Application>
  <DocSecurity>0</DocSecurity>
  <Lines>1</Lines>
  <Paragraphs>1</Paragraphs>
  <ScaleCrop>false</ScaleCrop>
  <Company/>
  <LinksUpToDate>false</LinksUpToDate>
  <CharactersWithSpaces>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Mr.81</cp:lastModifiedBy>
  <cp:revision>12</cp:revision>
  <dcterms:created xsi:type="dcterms:W3CDTF">2017-11-15T03:25:00Z</dcterms:created>
  <dcterms:modified xsi:type="dcterms:W3CDTF">2022-03-15T06:26:09Z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EFD2D30F566A46329AAC8165BB6E62C5</vt:lpwstr>
  </property>
  <property fmtid="{D5CDD505-2E9C-101B-9397-08002B2CF9AE}" pid="3" name="KSOProductBuildVer">
    <vt:lpwstr>2052-11.1.0.11365</vt:lpwstr>
  </property>
</Properties>
</file>