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6EC0" w14:textId="77777777" w:rsidR="000565D6" w:rsidRDefault="00000000">
      <w:pPr>
        <w:spacing w:before="480" w:after="240"/>
        <w:jc w:val="center"/>
        <w:rPr>
          <w:rFonts w:ascii="黑体" w:eastAsia="黑体" w:hAnsi="黑体"/>
          <w:b/>
          <w:color w:val="1B365D"/>
          <w:sz w:val="36"/>
          <w:lang w:eastAsia="zh-CN"/>
        </w:rPr>
      </w:pPr>
      <w:r w:rsidRPr="00BA026A">
        <w:rPr>
          <w:rFonts w:ascii="黑体" w:eastAsia="黑体" w:hAnsi="黑体"/>
          <w:b/>
          <w:color w:val="1B365D"/>
          <w:sz w:val="36"/>
          <w:lang w:eastAsia="zh-CN"/>
        </w:rPr>
        <w:t>二维过渡金属氧化物异质结领域的文献计量学与科学知识图谱分析报告</w:t>
      </w:r>
    </w:p>
    <w:p w14:paraId="6E81D0E5" w14:textId="0028AAEC" w:rsidR="00E203A7" w:rsidRPr="00E203A7" w:rsidRDefault="00E203A7">
      <w:pPr>
        <w:spacing w:before="480" w:after="240"/>
        <w:jc w:val="center"/>
        <w:rPr>
          <w:rFonts w:ascii="黑体" w:eastAsia="黑体" w:hAnsi="黑体" w:hint="eastAsia"/>
          <w:bCs/>
          <w:color w:val="auto"/>
          <w:sz w:val="20"/>
          <w:szCs w:val="20"/>
          <w:lang w:eastAsia="zh-CN"/>
        </w:rPr>
      </w:pPr>
      <w:r w:rsidRPr="00E203A7">
        <w:rPr>
          <w:rFonts w:ascii="黑体" w:eastAsia="黑体" w:hAnsi="黑体" w:hint="eastAsia"/>
          <w:bCs/>
          <w:color w:val="auto"/>
          <w:sz w:val="28"/>
          <w:szCs w:val="20"/>
          <w:lang w:eastAsia="zh-CN"/>
        </w:rPr>
        <w:t xml:space="preserve">陈伯言 </w:t>
      </w:r>
      <w:proofErr w:type="gramStart"/>
      <w:r w:rsidRPr="00E203A7">
        <w:rPr>
          <w:rFonts w:ascii="黑体" w:eastAsia="黑体" w:hAnsi="黑体" w:hint="eastAsia"/>
          <w:bCs/>
          <w:color w:val="auto"/>
          <w:sz w:val="28"/>
          <w:szCs w:val="20"/>
          <w:lang w:eastAsia="zh-CN"/>
        </w:rPr>
        <w:t>吴量</w:t>
      </w:r>
      <w:proofErr w:type="gramEnd"/>
      <w:r w:rsidRPr="00E203A7">
        <w:rPr>
          <w:rFonts w:ascii="黑体" w:eastAsia="黑体" w:hAnsi="黑体" w:hint="eastAsia"/>
          <w:bCs/>
          <w:color w:val="auto"/>
          <w:sz w:val="28"/>
          <w:szCs w:val="20"/>
          <w:lang w:eastAsia="zh-CN"/>
        </w:rPr>
        <w:t xml:space="preserve"> 陈宇</w:t>
      </w:r>
      <w:proofErr w:type="gramStart"/>
      <w:r w:rsidRPr="00E203A7">
        <w:rPr>
          <w:rFonts w:ascii="黑体" w:eastAsia="黑体" w:hAnsi="黑体" w:hint="eastAsia"/>
          <w:bCs/>
          <w:color w:val="auto"/>
          <w:sz w:val="28"/>
          <w:szCs w:val="20"/>
          <w:lang w:eastAsia="zh-CN"/>
        </w:rPr>
        <w:t>浩</w:t>
      </w:r>
      <w:proofErr w:type="gramEnd"/>
      <w:r w:rsidRPr="00E203A7">
        <w:rPr>
          <w:rFonts w:ascii="黑体" w:eastAsia="黑体" w:hAnsi="黑体" w:hint="eastAsia"/>
          <w:bCs/>
          <w:color w:val="auto"/>
          <w:sz w:val="28"/>
          <w:szCs w:val="20"/>
          <w:lang w:eastAsia="zh-CN"/>
        </w:rPr>
        <w:t xml:space="preserve"> </w:t>
      </w:r>
      <w:proofErr w:type="gramStart"/>
      <w:r w:rsidRPr="00E203A7">
        <w:rPr>
          <w:rFonts w:ascii="黑体" w:eastAsia="黑体" w:hAnsi="黑体" w:hint="eastAsia"/>
          <w:bCs/>
          <w:color w:val="auto"/>
          <w:sz w:val="28"/>
          <w:szCs w:val="20"/>
          <w:lang w:eastAsia="zh-CN"/>
        </w:rPr>
        <w:t>武思远</w:t>
      </w:r>
      <w:proofErr w:type="gramEnd"/>
    </w:p>
    <w:p w14:paraId="50826B02"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1. 研究背景与科学问题</w:t>
      </w:r>
    </w:p>
    <w:p w14:paraId="36500857" w14:textId="77777777" w:rsidR="000565D6" w:rsidRPr="00BA026A" w:rsidRDefault="00000000">
      <w:pPr>
        <w:rPr>
          <w:rFonts w:ascii="黑体" w:eastAsia="黑体" w:hAnsi="黑体" w:hint="eastAsia"/>
          <w:lang w:eastAsia="zh-CN"/>
        </w:rPr>
      </w:pPr>
      <w:r w:rsidRPr="00BA026A">
        <w:rPr>
          <w:rFonts w:ascii="黑体" w:eastAsia="黑体" w:hAnsi="黑体"/>
          <w:lang w:eastAsia="zh-CN"/>
        </w:rPr>
        <w:t>二维过渡金属氧化物（Transition Metal Oxides, TMOs）异质结作为当前材料科学与凝聚态物理领域的前沿核心体系，因其独特的电子局域化效应、丰富的界面电荷转移现象以及优异的催化与光电学特性，吸引了全球学者的广泛关注。然而，随着相关文献产出量的爆炸式增长，传统基于人工阅读与定性综述的研究方法在把握宏观学科演进脉络、动态识别知识前沿方面显得捉襟见肘。</w:t>
      </w:r>
    </w:p>
    <w:p w14:paraId="375CB890" w14:textId="77777777" w:rsidR="000565D6" w:rsidRPr="00BA026A" w:rsidRDefault="00000000">
      <w:pPr>
        <w:rPr>
          <w:rFonts w:ascii="黑体" w:eastAsia="黑体" w:hAnsi="黑体" w:hint="eastAsia"/>
          <w:lang w:eastAsia="zh-CN"/>
        </w:rPr>
      </w:pPr>
      <w:r w:rsidRPr="00BA026A">
        <w:rPr>
          <w:rFonts w:ascii="黑体" w:eastAsia="黑体" w:hAnsi="黑体"/>
          <w:lang w:eastAsia="zh-CN"/>
        </w:rPr>
        <w:t>本研究基于 Web of Science (WOS) 核心合集，筛选出 2012 年至 2025 年间发表的 2349 篇高质量文献，采用文献计量学与科学知识图谱的方法，对该领域进行全景式复盘。</w:t>
      </w:r>
    </w:p>
    <w:p w14:paraId="7B2146AC" w14:textId="77777777" w:rsidR="000565D6" w:rsidRPr="00BA026A" w:rsidRDefault="00000000">
      <w:pPr>
        <w:keepNext/>
        <w:spacing w:before="240" w:after="80"/>
        <w:rPr>
          <w:rFonts w:ascii="黑体" w:eastAsia="黑体" w:hAnsi="黑体" w:hint="eastAsia"/>
        </w:rPr>
      </w:pPr>
      <w:r w:rsidRPr="00BA026A">
        <w:rPr>
          <w:rFonts w:ascii="黑体" w:eastAsia="黑体" w:hAnsi="黑体"/>
          <w:b/>
          <w:color w:val="4A777A"/>
          <w:sz w:val="24"/>
        </w:rPr>
        <w:t xml:space="preserve">1.1 </w:t>
      </w:r>
      <w:proofErr w:type="spellStart"/>
      <w:r w:rsidRPr="00BA026A">
        <w:rPr>
          <w:rFonts w:ascii="黑体" w:eastAsia="黑体" w:hAnsi="黑体"/>
          <w:b/>
          <w:color w:val="4A777A"/>
          <w:sz w:val="24"/>
        </w:rPr>
        <w:t>本研究聚焦的三大核心科学问题</w:t>
      </w:r>
      <w:proofErr w:type="spellEnd"/>
      <w:r w:rsidRPr="00BA026A">
        <w:rPr>
          <w:rFonts w:ascii="黑体" w:eastAsia="黑体" w:hAnsi="黑体"/>
          <w:b/>
          <w:color w:val="4A777A"/>
          <w:sz w:val="24"/>
        </w:rPr>
        <w:t xml:space="preserve"> (Research Questions)</w:t>
      </w:r>
    </w:p>
    <w:p w14:paraId="46A136EF"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RQ1 发展趋势规律识别</w:t>
      </w:r>
      <w:r w:rsidRPr="00BA026A">
        <w:rPr>
          <w:rFonts w:ascii="黑体" w:eastAsia="黑体" w:hAnsi="黑体"/>
          <w:lang w:eastAsia="zh-CN"/>
        </w:rPr>
        <w:t>：二维过渡金属氧化物异质结领域的文献随年份呈现何种增长轨迹？是否存在明确的阶段性演进特征？</w:t>
      </w:r>
    </w:p>
    <w:p w14:paraId="31C551CE"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RQ2 核心科研力量与合作网络剖析</w:t>
      </w:r>
      <w:r w:rsidRPr="00BA026A">
        <w:rPr>
          <w:rFonts w:ascii="黑体" w:eastAsia="黑体" w:hAnsi="黑体"/>
          <w:lang w:eastAsia="zh-CN"/>
        </w:rPr>
        <w:t>：全球范围内哪些学者、机构与国家构成了该领域的核心科研力量？其实现学术合作与知识传播的网络结构特征为何？</w:t>
      </w:r>
    </w:p>
    <w:p w14:paraId="79E023A6"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RQ3 知识基石解析与前沿趋势预测</w:t>
      </w:r>
      <w:r w:rsidRPr="00BA026A">
        <w:rPr>
          <w:rFonts w:ascii="黑体" w:eastAsia="黑体" w:hAnsi="黑体"/>
          <w:lang w:eastAsia="zh-CN"/>
        </w:rPr>
        <w:t>：该领域的核心知识基石（共被引高频文献）有哪些？其关键主题的动态演变与未来潜在的研究爆发点（Bursts）是什么？</w:t>
      </w:r>
    </w:p>
    <w:p w14:paraId="26C49303"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2. 数据来源与研究方法</w:t>
      </w:r>
    </w:p>
    <w:p w14:paraId="5E48AFBB"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t>2.1 数据获取与预处理体系</w:t>
      </w:r>
    </w:p>
    <w:p w14:paraId="258A8A61" w14:textId="77777777" w:rsidR="000565D6" w:rsidRPr="00BA026A" w:rsidRDefault="00000000">
      <w:pPr>
        <w:rPr>
          <w:rFonts w:ascii="黑体" w:eastAsia="黑体" w:hAnsi="黑体" w:hint="eastAsia"/>
        </w:rPr>
      </w:pPr>
      <w:proofErr w:type="spellStart"/>
      <w:r w:rsidRPr="00BA026A">
        <w:rPr>
          <w:rFonts w:ascii="黑体" w:eastAsia="黑体" w:hAnsi="黑体"/>
        </w:rPr>
        <w:t>研究数据精确锚定</w:t>
      </w:r>
      <w:proofErr w:type="spellEnd"/>
      <w:r w:rsidRPr="00BA026A">
        <w:rPr>
          <w:rFonts w:ascii="黑体" w:eastAsia="黑体" w:hAnsi="黑体"/>
        </w:rPr>
        <w:t xml:space="preserve"> Web of Science Core Collection 核心合集，检索策略以二维过渡金属氧化物、异质结等为核心主题词，时间跨度界定为 2012 至 2025 年，文献类型严格限定为 Article 与 Review。</w:t>
      </w:r>
    </w:p>
    <w:p w14:paraId="4EEB5EDD" w14:textId="77777777" w:rsidR="000565D6" w:rsidRPr="00BA026A" w:rsidRDefault="00000000">
      <w:pPr>
        <w:rPr>
          <w:rFonts w:ascii="黑体" w:eastAsia="黑体" w:hAnsi="黑体" w:hint="eastAsia"/>
          <w:lang w:eastAsia="zh-CN"/>
        </w:rPr>
      </w:pPr>
      <w:r w:rsidRPr="00BA026A">
        <w:rPr>
          <w:rFonts w:ascii="黑体" w:eastAsia="黑体" w:hAnsi="黑体"/>
          <w:lang w:eastAsia="zh-CN"/>
        </w:rPr>
        <w:t xml:space="preserve">利用自主开发的 Python 数据清洗脚本，对导出的 2352 条原始 CSV 格式记录进行自动化去重、漏项检查及元数据格式校验，消除了作者同名异人、机构多重著录、关键词同义异形等计量偏误，最终确立了 2349 </w:t>
      </w:r>
      <w:proofErr w:type="gramStart"/>
      <w:r w:rsidRPr="00BA026A">
        <w:rPr>
          <w:rFonts w:ascii="黑体" w:eastAsia="黑体" w:hAnsi="黑体"/>
          <w:lang w:eastAsia="zh-CN"/>
        </w:rPr>
        <w:t>篇高有效性</w:t>
      </w:r>
      <w:proofErr w:type="gramEnd"/>
      <w:r w:rsidRPr="00BA026A">
        <w:rPr>
          <w:rFonts w:ascii="黑体" w:eastAsia="黑体" w:hAnsi="黑体"/>
          <w:lang w:eastAsia="zh-CN"/>
        </w:rPr>
        <w:t>样本池，全流程生成可追溯的质量评估报告，为后续科学图谱的构建夯实了数据根基。</w:t>
      </w:r>
    </w:p>
    <w:p w14:paraId="36A323E5"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lastRenderedPageBreak/>
        <w:t>2.2 多维计量模型与分析逻辑</w:t>
      </w:r>
    </w:p>
    <w:p w14:paraId="2BA4D957" w14:textId="77777777" w:rsidR="000565D6" w:rsidRPr="00BA026A" w:rsidRDefault="00000000">
      <w:pPr>
        <w:rPr>
          <w:rFonts w:ascii="黑体" w:eastAsia="黑体" w:hAnsi="黑体" w:hint="eastAsia"/>
          <w:lang w:eastAsia="zh-CN"/>
        </w:rPr>
      </w:pPr>
      <w:proofErr w:type="spellStart"/>
      <w:r w:rsidRPr="00BA026A">
        <w:rPr>
          <w:rFonts w:ascii="黑体" w:eastAsia="黑体" w:hAnsi="黑体"/>
        </w:rPr>
        <w:t>本研究构建了融合「文献-作者-关键词-期刊」的复杂多模图数据网络模型（Graph</w:t>
      </w:r>
      <w:proofErr w:type="spellEnd"/>
      <w:r w:rsidRPr="00BA026A">
        <w:rPr>
          <w:rFonts w:ascii="黑体" w:eastAsia="黑体" w:hAnsi="黑体"/>
        </w:rPr>
        <w:t xml:space="preserve"> Data Model）。</w:t>
      </w:r>
      <w:proofErr w:type="spellStart"/>
      <w:r w:rsidRPr="00BA026A">
        <w:rPr>
          <w:rFonts w:ascii="黑体" w:eastAsia="黑体" w:hAnsi="黑体"/>
        </w:rPr>
        <w:t>综合运用共被引路径追踪（Co-citation</w:t>
      </w:r>
      <w:proofErr w:type="spellEnd"/>
      <w:r w:rsidRPr="00BA026A">
        <w:rPr>
          <w:rFonts w:ascii="黑体" w:eastAsia="黑体" w:hAnsi="黑体"/>
        </w:rPr>
        <w:t xml:space="preserve"> Analysis）、</w:t>
      </w:r>
      <w:proofErr w:type="spellStart"/>
      <w:r w:rsidRPr="00BA026A">
        <w:rPr>
          <w:rFonts w:ascii="黑体" w:eastAsia="黑体" w:hAnsi="黑体"/>
        </w:rPr>
        <w:t>共现聚类挖掘（Co-occurrence</w:t>
      </w:r>
      <w:proofErr w:type="spellEnd"/>
      <w:r w:rsidRPr="00BA026A">
        <w:rPr>
          <w:rFonts w:ascii="黑体" w:eastAsia="黑体" w:hAnsi="黑体"/>
        </w:rPr>
        <w:t xml:space="preserve"> </w:t>
      </w:r>
      <w:proofErr w:type="spellStart"/>
      <w:r w:rsidRPr="00BA026A">
        <w:rPr>
          <w:rFonts w:ascii="黑体" w:eastAsia="黑体" w:hAnsi="黑体"/>
        </w:rPr>
        <w:t>Clustering）以及社会网络分析（SNA）中的中介中心性与特征向量中心性指标</w:t>
      </w:r>
      <w:proofErr w:type="spellEnd"/>
      <w:r w:rsidRPr="00BA026A">
        <w:rPr>
          <w:rFonts w:ascii="黑体" w:eastAsia="黑体" w:hAnsi="黑体"/>
        </w:rPr>
        <w:t>。</w:t>
      </w:r>
      <w:r w:rsidRPr="00BA026A">
        <w:rPr>
          <w:rFonts w:ascii="黑体" w:eastAsia="黑体" w:hAnsi="黑体"/>
          <w:lang w:eastAsia="zh-CN"/>
        </w:rPr>
        <w:t xml:space="preserve">在关联性量化层面，引入 Cosine 与 Jaccard 双重相似度算法精确计算主题内容的耦合强度，并依托 </w:t>
      </w:r>
      <w:proofErr w:type="spellStart"/>
      <w:r w:rsidRPr="00BA026A">
        <w:rPr>
          <w:rFonts w:ascii="黑体" w:eastAsia="黑体" w:hAnsi="黑体"/>
          <w:lang w:eastAsia="zh-CN"/>
        </w:rPr>
        <w:t>VOSviewer</w:t>
      </w:r>
      <w:proofErr w:type="spellEnd"/>
      <w:r w:rsidRPr="00BA026A">
        <w:rPr>
          <w:rFonts w:ascii="黑体" w:eastAsia="黑体" w:hAnsi="黑体"/>
          <w:lang w:eastAsia="zh-CN"/>
        </w:rPr>
        <w:t xml:space="preserve">、Gephi 以及 </w:t>
      </w:r>
      <w:proofErr w:type="spellStart"/>
      <w:r w:rsidRPr="00BA026A">
        <w:rPr>
          <w:rFonts w:ascii="黑体" w:eastAsia="黑体" w:hAnsi="黑体"/>
          <w:lang w:eastAsia="zh-CN"/>
        </w:rPr>
        <w:t>CiteSpace</w:t>
      </w:r>
      <w:proofErr w:type="spellEnd"/>
      <w:r w:rsidRPr="00BA026A">
        <w:rPr>
          <w:rFonts w:ascii="黑体" w:eastAsia="黑体" w:hAnsi="黑体"/>
          <w:lang w:eastAsia="zh-CN"/>
        </w:rPr>
        <w:t xml:space="preserve"> 等主流可视化工具实现高维矩阵的动态降维展示。</w:t>
      </w:r>
    </w:p>
    <w:p w14:paraId="6E32AD94"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3. 领域发展趋势与发文量演进</w:t>
      </w:r>
    </w:p>
    <w:p w14:paraId="2939F1D7" w14:textId="77777777" w:rsidR="000565D6" w:rsidRPr="00BA026A" w:rsidRDefault="00000000">
      <w:pPr>
        <w:rPr>
          <w:rFonts w:ascii="黑体" w:eastAsia="黑体" w:hAnsi="黑体" w:hint="eastAsia"/>
          <w:lang w:eastAsia="zh-CN"/>
        </w:rPr>
      </w:pPr>
      <w:r w:rsidRPr="00BA026A">
        <w:rPr>
          <w:rFonts w:ascii="黑体" w:eastAsia="黑体" w:hAnsi="黑体"/>
          <w:lang w:eastAsia="zh-CN"/>
        </w:rPr>
        <w:t>自 2012 年以来，二维过渡金属氧化物异质结领域的文献产出表现出鲜明的阶段性</w:t>
      </w:r>
      <w:proofErr w:type="gramStart"/>
      <w:r w:rsidRPr="00BA026A">
        <w:rPr>
          <w:rFonts w:ascii="黑体" w:eastAsia="黑体" w:hAnsi="黑体"/>
          <w:lang w:eastAsia="zh-CN"/>
        </w:rPr>
        <w:t>特徵</w:t>
      </w:r>
      <w:proofErr w:type="gramEnd"/>
      <w:r w:rsidRPr="00BA026A">
        <w:rPr>
          <w:rFonts w:ascii="黑体" w:eastAsia="黑体" w:hAnsi="黑体"/>
          <w:lang w:eastAsia="zh-CN"/>
        </w:rPr>
        <w:t>。总体上经历了「萌芽蓄势期」与「爆发增长期」两个核心阶段。</w:t>
      </w:r>
    </w:p>
    <w:p w14:paraId="2EFF8E50"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drawing>
          <wp:inline distT="0" distB="0" distL="0" distR="0" wp14:anchorId="3E8E51DF" wp14:editId="74E7BF7C">
            <wp:extent cx="5029200" cy="3016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trend_chart.png"/>
                    <pic:cNvPicPr/>
                  </pic:nvPicPr>
                  <pic:blipFill>
                    <a:blip r:embed="rId6"/>
                    <a:stretch>
                      <a:fillRect/>
                    </a:stretch>
                  </pic:blipFill>
                  <pic:spPr>
                    <a:xfrm>
                      <a:off x="0" y="0"/>
                      <a:ext cx="5029200" cy="3016373"/>
                    </a:xfrm>
                    <a:prstGeom prst="rect">
                      <a:avLst/>
                    </a:prstGeom>
                  </pic:spPr>
                </pic:pic>
              </a:graphicData>
            </a:graphic>
          </wp:inline>
        </w:drawing>
      </w:r>
    </w:p>
    <w:p w14:paraId="1D03584C"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1：2012-2025年二维过渡金属氧化物异质结领域年度发文</w:t>
      </w:r>
      <w:proofErr w:type="gramStart"/>
      <w:r w:rsidRPr="00BA026A">
        <w:rPr>
          <w:rFonts w:ascii="黑体" w:eastAsia="黑体" w:hAnsi="黑体"/>
          <w:color w:val="666666"/>
          <w:sz w:val="20"/>
          <w:lang w:eastAsia="zh-CN"/>
        </w:rPr>
        <w:t>量趋势</w:t>
      </w:r>
      <w:proofErr w:type="gramEnd"/>
      <w:r w:rsidRPr="00BA026A">
        <w:rPr>
          <w:rFonts w:ascii="黑体" w:eastAsia="黑体" w:hAnsi="黑体"/>
          <w:color w:val="666666"/>
          <w:sz w:val="20"/>
          <w:lang w:eastAsia="zh-CN"/>
        </w:rPr>
        <w:t>图</w:t>
      </w:r>
    </w:p>
    <w:p w14:paraId="245F2F28" w14:textId="77777777" w:rsidR="000565D6" w:rsidRPr="00BA026A" w:rsidRDefault="00000000">
      <w:pPr>
        <w:rPr>
          <w:rFonts w:ascii="黑体" w:eastAsia="黑体" w:hAnsi="黑体" w:hint="eastAsia"/>
          <w:lang w:eastAsia="zh-CN"/>
        </w:rPr>
      </w:pPr>
      <w:r w:rsidRPr="00BA026A">
        <w:rPr>
          <w:rFonts w:ascii="黑体" w:eastAsia="黑体" w:hAnsi="黑体"/>
          <w:lang w:eastAsia="zh-CN"/>
        </w:rPr>
        <w:t>如图 1 所示，2012 至 2016 年为初期萌芽阶段，年发文量保持在较低水平，但这一时期的基础研究为后续的异质结构建奠定了理论与工艺基础；2017 年起，文献产出量呈现几何级数的「爆发式增长」，这表明该领域已成为国际材料科学界普遍公认的研究热点，吸引了大量资本与科研资源的涌入。</w:t>
      </w:r>
    </w:p>
    <w:p w14:paraId="72A0D94F"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lastRenderedPageBreak/>
        <w:t>4. 核心作者与学术合作网络分析</w:t>
      </w:r>
    </w:p>
    <w:p w14:paraId="1FBDAC5A"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t>4.1 核心作者发文量与网络中心性统计</w:t>
      </w:r>
    </w:p>
    <w:p w14:paraId="4A89CDE3" w14:textId="77777777" w:rsidR="000565D6" w:rsidRPr="00BA026A" w:rsidRDefault="00000000">
      <w:pPr>
        <w:rPr>
          <w:rFonts w:ascii="黑体" w:eastAsia="黑体" w:hAnsi="黑体" w:hint="eastAsia"/>
          <w:lang w:eastAsia="zh-CN"/>
        </w:rPr>
      </w:pPr>
      <w:r w:rsidRPr="00BA026A">
        <w:rPr>
          <w:rFonts w:ascii="黑体" w:eastAsia="黑体" w:hAnsi="黑体"/>
          <w:lang w:eastAsia="zh-CN"/>
        </w:rPr>
        <w:t>结合高产作者统计与社会网络分析（SNA）指标，该领域最具代表性的 Top 核心学者特征如下表所示：</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0565D6" w:rsidRPr="00BA026A" w14:paraId="2C7E5E0D" w14:textId="77777777">
        <w:trPr>
          <w:jc w:val="center"/>
        </w:trPr>
        <w:tc>
          <w:tcPr>
            <w:tcW w:w="1872" w:type="dxa"/>
            <w:shd w:val="clear" w:color="auto" w:fill="1B365D"/>
            <w:tcMar>
              <w:top w:w="140" w:type="dxa"/>
              <w:left w:w="150" w:type="dxa"/>
              <w:bottom w:w="140" w:type="dxa"/>
              <w:right w:w="150" w:type="dxa"/>
            </w:tcMar>
          </w:tcPr>
          <w:p w14:paraId="23AC6B76" w14:textId="77777777" w:rsidR="000565D6" w:rsidRPr="00BA026A" w:rsidRDefault="00000000">
            <w:pPr>
              <w:jc w:val="center"/>
              <w:rPr>
                <w:rFonts w:ascii="黑体" w:eastAsia="黑体" w:hAnsi="黑体" w:hint="eastAsia"/>
              </w:rPr>
            </w:pPr>
            <w:proofErr w:type="spellStart"/>
            <w:r w:rsidRPr="00BA026A">
              <w:rPr>
                <w:rFonts w:ascii="黑体" w:eastAsia="黑体" w:hAnsi="黑体"/>
                <w:b/>
                <w:color w:val="FFFFFF"/>
                <w:sz w:val="20"/>
              </w:rPr>
              <w:t>学者姓名</w:t>
            </w:r>
            <w:proofErr w:type="spellEnd"/>
            <w:r w:rsidRPr="00BA026A">
              <w:rPr>
                <w:rFonts w:ascii="黑体" w:eastAsia="黑体" w:hAnsi="黑体"/>
                <w:b/>
                <w:color w:val="FFFFFF"/>
                <w:sz w:val="20"/>
              </w:rPr>
              <w:t xml:space="preserve"> (Author)</w:t>
            </w:r>
          </w:p>
        </w:tc>
        <w:tc>
          <w:tcPr>
            <w:tcW w:w="1872" w:type="dxa"/>
            <w:shd w:val="clear" w:color="auto" w:fill="1B365D"/>
            <w:tcMar>
              <w:top w:w="140" w:type="dxa"/>
              <w:left w:w="150" w:type="dxa"/>
              <w:bottom w:w="140" w:type="dxa"/>
              <w:right w:w="150" w:type="dxa"/>
            </w:tcMar>
          </w:tcPr>
          <w:p w14:paraId="28A35A39" w14:textId="77777777" w:rsidR="000565D6" w:rsidRPr="00BA026A" w:rsidRDefault="00000000">
            <w:pPr>
              <w:jc w:val="center"/>
              <w:rPr>
                <w:rFonts w:ascii="黑体" w:eastAsia="黑体" w:hAnsi="黑体" w:hint="eastAsia"/>
              </w:rPr>
            </w:pPr>
            <w:r w:rsidRPr="00BA026A">
              <w:rPr>
                <w:rFonts w:ascii="黑体" w:eastAsia="黑体" w:hAnsi="黑体"/>
                <w:b/>
                <w:color w:val="FFFFFF"/>
                <w:sz w:val="20"/>
              </w:rPr>
              <w:t>发文数量 (篇)</w:t>
            </w:r>
          </w:p>
        </w:tc>
        <w:tc>
          <w:tcPr>
            <w:tcW w:w="1872" w:type="dxa"/>
            <w:shd w:val="clear" w:color="auto" w:fill="1B365D"/>
            <w:tcMar>
              <w:top w:w="140" w:type="dxa"/>
              <w:left w:w="150" w:type="dxa"/>
              <w:bottom w:w="140" w:type="dxa"/>
              <w:right w:w="150" w:type="dxa"/>
            </w:tcMar>
          </w:tcPr>
          <w:p w14:paraId="1DC8F3B5" w14:textId="77777777" w:rsidR="000565D6" w:rsidRPr="00BA026A" w:rsidRDefault="00000000">
            <w:pPr>
              <w:jc w:val="center"/>
              <w:rPr>
                <w:rFonts w:ascii="黑体" w:eastAsia="黑体" w:hAnsi="黑体" w:hint="eastAsia"/>
              </w:rPr>
            </w:pPr>
            <w:r w:rsidRPr="00BA026A">
              <w:rPr>
                <w:rFonts w:ascii="黑体" w:eastAsia="黑体" w:hAnsi="黑体"/>
                <w:b/>
                <w:color w:val="FFFFFF"/>
                <w:sz w:val="20"/>
              </w:rPr>
              <w:t>中介中心性 (Betweenness)</w:t>
            </w:r>
          </w:p>
        </w:tc>
        <w:tc>
          <w:tcPr>
            <w:tcW w:w="1872" w:type="dxa"/>
            <w:shd w:val="clear" w:color="auto" w:fill="1B365D"/>
            <w:tcMar>
              <w:top w:w="140" w:type="dxa"/>
              <w:left w:w="150" w:type="dxa"/>
              <w:bottom w:w="140" w:type="dxa"/>
              <w:right w:w="150" w:type="dxa"/>
            </w:tcMar>
          </w:tcPr>
          <w:p w14:paraId="413A26AB" w14:textId="77777777" w:rsidR="000565D6" w:rsidRPr="00BA026A" w:rsidRDefault="00000000">
            <w:pPr>
              <w:jc w:val="center"/>
              <w:rPr>
                <w:rFonts w:ascii="黑体" w:eastAsia="黑体" w:hAnsi="黑体" w:hint="eastAsia"/>
              </w:rPr>
            </w:pPr>
            <w:r w:rsidRPr="00BA026A">
              <w:rPr>
                <w:rFonts w:ascii="黑体" w:eastAsia="黑体" w:hAnsi="黑体"/>
                <w:b/>
                <w:color w:val="FFFFFF"/>
                <w:sz w:val="20"/>
              </w:rPr>
              <w:t>特征向量中心性 (Eigenvector)</w:t>
            </w:r>
          </w:p>
        </w:tc>
        <w:tc>
          <w:tcPr>
            <w:tcW w:w="1872" w:type="dxa"/>
            <w:shd w:val="clear" w:color="auto" w:fill="1B365D"/>
            <w:tcMar>
              <w:top w:w="140" w:type="dxa"/>
              <w:left w:w="150" w:type="dxa"/>
              <w:bottom w:w="140" w:type="dxa"/>
              <w:right w:w="150" w:type="dxa"/>
            </w:tcMar>
          </w:tcPr>
          <w:p w14:paraId="6EEA45A3" w14:textId="77777777" w:rsidR="000565D6" w:rsidRPr="00BA026A" w:rsidRDefault="00000000">
            <w:pPr>
              <w:jc w:val="center"/>
              <w:rPr>
                <w:rFonts w:ascii="黑体" w:eastAsia="黑体" w:hAnsi="黑体" w:hint="eastAsia"/>
              </w:rPr>
            </w:pPr>
            <w:r w:rsidRPr="00BA026A">
              <w:rPr>
                <w:rFonts w:ascii="黑体" w:eastAsia="黑体" w:hAnsi="黑体"/>
                <w:b/>
                <w:color w:val="FFFFFF"/>
                <w:sz w:val="20"/>
              </w:rPr>
              <w:t>学术角色定位</w:t>
            </w:r>
          </w:p>
        </w:tc>
      </w:tr>
      <w:tr w:rsidR="000565D6" w:rsidRPr="00BA026A" w14:paraId="4023BAC4" w14:textId="77777777">
        <w:trPr>
          <w:jc w:val="center"/>
        </w:trPr>
        <w:tc>
          <w:tcPr>
            <w:tcW w:w="1872" w:type="dxa"/>
            <w:tcMar>
              <w:top w:w="100" w:type="dxa"/>
              <w:left w:w="150" w:type="dxa"/>
              <w:bottom w:w="100" w:type="dxa"/>
              <w:right w:w="150" w:type="dxa"/>
            </w:tcMar>
          </w:tcPr>
          <w:p w14:paraId="06EAD87E" w14:textId="77777777" w:rsidR="000565D6" w:rsidRPr="00BA026A" w:rsidRDefault="00000000">
            <w:pPr>
              <w:rPr>
                <w:rFonts w:ascii="黑体" w:eastAsia="黑体" w:hAnsi="黑体" w:hint="eastAsia"/>
              </w:rPr>
            </w:pPr>
            <w:r w:rsidRPr="00BA026A">
              <w:rPr>
                <w:rFonts w:ascii="黑体" w:eastAsia="黑体" w:hAnsi="黑体"/>
                <w:sz w:val="20"/>
              </w:rPr>
              <w:t>Tahir, Muhammad</w:t>
            </w:r>
          </w:p>
        </w:tc>
        <w:tc>
          <w:tcPr>
            <w:tcW w:w="1872" w:type="dxa"/>
            <w:tcMar>
              <w:top w:w="100" w:type="dxa"/>
              <w:left w:w="150" w:type="dxa"/>
              <w:bottom w:w="100" w:type="dxa"/>
              <w:right w:w="150" w:type="dxa"/>
            </w:tcMar>
          </w:tcPr>
          <w:p w14:paraId="7A7FFCFD" w14:textId="77777777" w:rsidR="000565D6" w:rsidRPr="00BA026A" w:rsidRDefault="00000000">
            <w:pPr>
              <w:jc w:val="center"/>
              <w:rPr>
                <w:rFonts w:ascii="黑体" w:eastAsia="黑体" w:hAnsi="黑体" w:hint="eastAsia"/>
              </w:rPr>
            </w:pPr>
            <w:r w:rsidRPr="00BA026A">
              <w:rPr>
                <w:rFonts w:ascii="黑体" w:eastAsia="黑体" w:hAnsi="黑体"/>
                <w:sz w:val="20"/>
              </w:rPr>
              <w:t>29</w:t>
            </w:r>
          </w:p>
        </w:tc>
        <w:tc>
          <w:tcPr>
            <w:tcW w:w="1872" w:type="dxa"/>
            <w:tcMar>
              <w:top w:w="100" w:type="dxa"/>
              <w:left w:w="150" w:type="dxa"/>
              <w:bottom w:w="100" w:type="dxa"/>
              <w:right w:w="150" w:type="dxa"/>
            </w:tcMar>
          </w:tcPr>
          <w:p w14:paraId="1B195DFD" w14:textId="77777777" w:rsidR="000565D6" w:rsidRPr="00BA026A" w:rsidRDefault="00000000">
            <w:pPr>
              <w:jc w:val="center"/>
              <w:rPr>
                <w:rFonts w:ascii="黑体" w:eastAsia="黑体" w:hAnsi="黑体" w:hint="eastAsia"/>
              </w:rPr>
            </w:pPr>
            <w:r w:rsidRPr="00BA026A">
              <w:rPr>
                <w:rFonts w:ascii="黑体" w:eastAsia="黑体" w:hAnsi="黑体"/>
                <w:sz w:val="20"/>
              </w:rPr>
              <w:t>低</w:t>
            </w:r>
          </w:p>
        </w:tc>
        <w:tc>
          <w:tcPr>
            <w:tcW w:w="1872" w:type="dxa"/>
            <w:tcMar>
              <w:top w:w="100" w:type="dxa"/>
              <w:left w:w="150" w:type="dxa"/>
              <w:bottom w:w="100" w:type="dxa"/>
              <w:right w:w="150" w:type="dxa"/>
            </w:tcMar>
          </w:tcPr>
          <w:p w14:paraId="373771ED" w14:textId="77777777" w:rsidR="000565D6" w:rsidRPr="00BA026A" w:rsidRDefault="00000000">
            <w:pPr>
              <w:jc w:val="center"/>
              <w:rPr>
                <w:rFonts w:ascii="黑体" w:eastAsia="黑体" w:hAnsi="黑体" w:hint="eastAsia"/>
              </w:rPr>
            </w:pPr>
            <w:r w:rsidRPr="00BA026A">
              <w:rPr>
                <w:rFonts w:ascii="黑体" w:eastAsia="黑体" w:hAnsi="黑体"/>
                <w:sz w:val="20"/>
              </w:rPr>
              <w:t>中</w:t>
            </w:r>
          </w:p>
        </w:tc>
        <w:tc>
          <w:tcPr>
            <w:tcW w:w="1872" w:type="dxa"/>
            <w:tcMar>
              <w:top w:w="100" w:type="dxa"/>
              <w:left w:w="150" w:type="dxa"/>
              <w:bottom w:w="100" w:type="dxa"/>
              <w:right w:w="150" w:type="dxa"/>
            </w:tcMar>
          </w:tcPr>
          <w:p w14:paraId="651A61B8" w14:textId="77777777" w:rsidR="000565D6" w:rsidRPr="00BA026A" w:rsidRDefault="00000000">
            <w:pPr>
              <w:rPr>
                <w:rFonts w:ascii="黑体" w:eastAsia="黑体" w:hAnsi="黑体" w:hint="eastAsia"/>
                <w:lang w:eastAsia="zh-CN"/>
              </w:rPr>
            </w:pPr>
            <w:r w:rsidRPr="00BA026A">
              <w:rPr>
                <w:rFonts w:ascii="黑体" w:eastAsia="黑体" w:hAnsi="黑体"/>
                <w:sz w:val="20"/>
                <w:lang w:eastAsia="zh-CN"/>
              </w:rPr>
              <w:t>领域内的高产中坚力量</w:t>
            </w:r>
          </w:p>
        </w:tc>
      </w:tr>
      <w:tr w:rsidR="000565D6" w:rsidRPr="00BA026A" w14:paraId="2395CD6D" w14:textId="77777777">
        <w:trPr>
          <w:jc w:val="center"/>
        </w:trPr>
        <w:tc>
          <w:tcPr>
            <w:tcW w:w="1872" w:type="dxa"/>
            <w:shd w:val="clear" w:color="auto" w:fill="F7F9FA"/>
            <w:tcMar>
              <w:top w:w="100" w:type="dxa"/>
              <w:left w:w="150" w:type="dxa"/>
              <w:bottom w:w="100" w:type="dxa"/>
              <w:right w:w="150" w:type="dxa"/>
            </w:tcMar>
          </w:tcPr>
          <w:p w14:paraId="35C0D2C3" w14:textId="77777777" w:rsidR="000565D6" w:rsidRPr="00BA026A" w:rsidRDefault="00000000">
            <w:pPr>
              <w:rPr>
                <w:rFonts w:ascii="黑体" w:eastAsia="黑体" w:hAnsi="黑体" w:hint="eastAsia"/>
              </w:rPr>
            </w:pPr>
            <w:r w:rsidRPr="00BA026A">
              <w:rPr>
                <w:rFonts w:ascii="黑体" w:eastAsia="黑体" w:hAnsi="黑体"/>
                <w:sz w:val="20"/>
              </w:rPr>
              <w:t>Zhang, Jun</w:t>
            </w:r>
          </w:p>
        </w:tc>
        <w:tc>
          <w:tcPr>
            <w:tcW w:w="1872" w:type="dxa"/>
            <w:shd w:val="clear" w:color="auto" w:fill="F7F9FA"/>
            <w:tcMar>
              <w:top w:w="100" w:type="dxa"/>
              <w:left w:w="150" w:type="dxa"/>
              <w:bottom w:w="100" w:type="dxa"/>
              <w:right w:w="150" w:type="dxa"/>
            </w:tcMar>
          </w:tcPr>
          <w:p w14:paraId="41624959" w14:textId="77777777" w:rsidR="000565D6" w:rsidRPr="00BA026A" w:rsidRDefault="00000000">
            <w:pPr>
              <w:jc w:val="center"/>
              <w:rPr>
                <w:rFonts w:ascii="黑体" w:eastAsia="黑体" w:hAnsi="黑体" w:hint="eastAsia"/>
              </w:rPr>
            </w:pPr>
            <w:r w:rsidRPr="00BA026A">
              <w:rPr>
                <w:rFonts w:ascii="黑体" w:eastAsia="黑体" w:hAnsi="黑体"/>
                <w:sz w:val="20"/>
              </w:rPr>
              <w:t>20</w:t>
            </w:r>
          </w:p>
        </w:tc>
        <w:tc>
          <w:tcPr>
            <w:tcW w:w="1872" w:type="dxa"/>
            <w:shd w:val="clear" w:color="auto" w:fill="F7F9FA"/>
            <w:tcMar>
              <w:top w:w="100" w:type="dxa"/>
              <w:left w:w="150" w:type="dxa"/>
              <w:bottom w:w="100" w:type="dxa"/>
              <w:right w:w="150" w:type="dxa"/>
            </w:tcMar>
          </w:tcPr>
          <w:p w14:paraId="72A4B23F" w14:textId="77777777" w:rsidR="000565D6" w:rsidRPr="00BA026A" w:rsidRDefault="00000000">
            <w:pPr>
              <w:jc w:val="center"/>
              <w:rPr>
                <w:rFonts w:ascii="黑体" w:eastAsia="黑体" w:hAnsi="黑体" w:hint="eastAsia"/>
              </w:rPr>
            </w:pPr>
            <w:r w:rsidRPr="00BA026A">
              <w:rPr>
                <w:rFonts w:ascii="黑体" w:eastAsia="黑体" w:hAnsi="黑体"/>
                <w:sz w:val="20"/>
              </w:rPr>
              <w:t>中</w:t>
            </w:r>
          </w:p>
        </w:tc>
        <w:tc>
          <w:tcPr>
            <w:tcW w:w="1872" w:type="dxa"/>
            <w:shd w:val="clear" w:color="auto" w:fill="F7F9FA"/>
            <w:tcMar>
              <w:top w:w="100" w:type="dxa"/>
              <w:left w:w="150" w:type="dxa"/>
              <w:bottom w:w="100" w:type="dxa"/>
              <w:right w:w="150" w:type="dxa"/>
            </w:tcMar>
          </w:tcPr>
          <w:p w14:paraId="33570FB3" w14:textId="77777777" w:rsidR="000565D6" w:rsidRPr="00BA026A" w:rsidRDefault="00000000">
            <w:pPr>
              <w:jc w:val="center"/>
              <w:rPr>
                <w:rFonts w:ascii="黑体" w:eastAsia="黑体" w:hAnsi="黑体" w:hint="eastAsia"/>
              </w:rPr>
            </w:pPr>
            <w:r w:rsidRPr="00BA026A">
              <w:rPr>
                <w:rFonts w:ascii="黑体" w:eastAsia="黑体" w:hAnsi="黑体"/>
                <w:sz w:val="20"/>
              </w:rPr>
              <w:t>中</w:t>
            </w:r>
          </w:p>
        </w:tc>
        <w:tc>
          <w:tcPr>
            <w:tcW w:w="1872" w:type="dxa"/>
            <w:shd w:val="clear" w:color="auto" w:fill="F7F9FA"/>
            <w:tcMar>
              <w:top w:w="100" w:type="dxa"/>
              <w:left w:w="150" w:type="dxa"/>
              <w:bottom w:w="100" w:type="dxa"/>
              <w:right w:w="150" w:type="dxa"/>
            </w:tcMar>
          </w:tcPr>
          <w:p w14:paraId="2E0226C3" w14:textId="77777777" w:rsidR="000565D6" w:rsidRPr="00BA026A" w:rsidRDefault="00000000">
            <w:pPr>
              <w:rPr>
                <w:rFonts w:ascii="黑体" w:eastAsia="黑体" w:hAnsi="黑体" w:hint="eastAsia"/>
              </w:rPr>
            </w:pPr>
            <w:r w:rsidRPr="00BA026A">
              <w:rPr>
                <w:rFonts w:ascii="黑体" w:eastAsia="黑体" w:hAnsi="黑体"/>
                <w:sz w:val="20"/>
              </w:rPr>
              <w:t>独立研究集团的核心</w:t>
            </w:r>
          </w:p>
        </w:tc>
      </w:tr>
      <w:tr w:rsidR="000565D6" w:rsidRPr="00BA026A" w14:paraId="3E94718B" w14:textId="77777777">
        <w:trPr>
          <w:jc w:val="center"/>
        </w:trPr>
        <w:tc>
          <w:tcPr>
            <w:tcW w:w="1872" w:type="dxa"/>
            <w:tcMar>
              <w:top w:w="100" w:type="dxa"/>
              <w:left w:w="150" w:type="dxa"/>
              <w:bottom w:w="100" w:type="dxa"/>
              <w:right w:w="150" w:type="dxa"/>
            </w:tcMar>
          </w:tcPr>
          <w:p w14:paraId="44F6861F" w14:textId="77777777" w:rsidR="000565D6" w:rsidRPr="00BA026A" w:rsidRDefault="00000000">
            <w:pPr>
              <w:rPr>
                <w:rFonts w:ascii="黑体" w:eastAsia="黑体" w:hAnsi="黑体" w:hint="eastAsia"/>
              </w:rPr>
            </w:pPr>
            <w:r w:rsidRPr="00BA026A">
              <w:rPr>
                <w:rFonts w:ascii="黑体" w:eastAsia="黑体" w:hAnsi="黑体"/>
                <w:sz w:val="20"/>
              </w:rPr>
              <w:t>Xu, Hui (许晖)</w:t>
            </w:r>
          </w:p>
        </w:tc>
        <w:tc>
          <w:tcPr>
            <w:tcW w:w="1872" w:type="dxa"/>
            <w:tcMar>
              <w:top w:w="100" w:type="dxa"/>
              <w:left w:w="150" w:type="dxa"/>
              <w:bottom w:w="100" w:type="dxa"/>
              <w:right w:w="150" w:type="dxa"/>
            </w:tcMar>
          </w:tcPr>
          <w:p w14:paraId="40841D97" w14:textId="77777777" w:rsidR="000565D6" w:rsidRPr="00BA026A" w:rsidRDefault="00000000">
            <w:pPr>
              <w:jc w:val="center"/>
              <w:rPr>
                <w:rFonts w:ascii="黑体" w:eastAsia="黑体" w:hAnsi="黑体" w:hint="eastAsia"/>
              </w:rPr>
            </w:pPr>
            <w:r w:rsidRPr="00BA026A">
              <w:rPr>
                <w:rFonts w:ascii="黑体" w:eastAsia="黑体" w:hAnsi="黑体"/>
                <w:sz w:val="20"/>
              </w:rPr>
              <w:t>18</w:t>
            </w:r>
          </w:p>
        </w:tc>
        <w:tc>
          <w:tcPr>
            <w:tcW w:w="1872" w:type="dxa"/>
            <w:tcMar>
              <w:top w:w="100" w:type="dxa"/>
              <w:left w:w="150" w:type="dxa"/>
              <w:bottom w:w="100" w:type="dxa"/>
              <w:right w:w="150" w:type="dxa"/>
            </w:tcMar>
          </w:tcPr>
          <w:p w14:paraId="27700AE4" w14:textId="77777777" w:rsidR="000565D6" w:rsidRPr="00BA026A" w:rsidRDefault="00000000">
            <w:pPr>
              <w:jc w:val="center"/>
              <w:rPr>
                <w:rFonts w:ascii="黑体" w:eastAsia="黑体" w:hAnsi="黑体" w:hint="eastAsia"/>
              </w:rPr>
            </w:pPr>
            <w:r w:rsidRPr="00BA026A">
              <w:rPr>
                <w:rFonts w:ascii="黑体" w:eastAsia="黑体" w:hAnsi="黑体"/>
                <w:b/>
                <w:sz w:val="20"/>
              </w:rPr>
              <w:t>0.0236 (最高)</w:t>
            </w:r>
          </w:p>
        </w:tc>
        <w:tc>
          <w:tcPr>
            <w:tcW w:w="1872" w:type="dxa"/>
            <w:tcMar>
              <w:top w:w="100" w:type="dxa"/>
              <w:left w:w="150" w:type="dxa"/>
              <w:bottom w:w="100" w:type="dxa"/>
              <w:right w:w="150" w:type="dxa"/>
            </w:tcMar>
          </w:tcPr>
          <w:p w14:paraId="105E88ED" w14:textId="77777777" w:rsidR="000565D6" w:rsidRPr="00BA026A" w:rsidRDefault="00000000">
            <w:pPr>
              <w:jc w:val="center"/>
              <w:rPr>
                <w:rFonts w:ascii="黑体" w:eastAsia="黑体" w:hAnsi="黑体" w:hint="eastAsia"/>
              </w:rPr>
            </w:pPr>
            <w:r w:rsidRPr="00BA026A">
              <w:rPr>
                <w:rFonts w:ascii="黑体" w:eastAsia="黑体" w:hAnsi="黑体"/>
                <w:b/>
                <w:sz w:val="20"/>
              </w:rPr>
              <w:t>0.3342 (最高)</w:t>
            </w:r>
          </w:p>
        </w:tc>
        <w:tc>
          <w:tcPr>
            <w:tcW w:w="1872" w:type="dxa"/>
            <w:tcMar>
              <w:top w:w="100" w:type="dxa"/>
              <w:left w:w="150" w:type="dxa"/>
              <w:bottom w:w="100" w:type="dxa"/>
              <w:right w:w="150" w:type="dxa"/>
            </w:tcMar>
          </w:tcPr>
          <w:p w14:paraId="15B79323" w14:textId="77777777" w:rsidR="000565D6" w:rsidRPr="00BA026A" w:rsidRDefault="00000000">
            <w:pPr>
              <w:rPr>
                <w:rFonts w:ascii="黑体" w:eastAsia="黑体" w:hAnsi="黑体" w:hint="eastAsia"/>
                <w:lang w:eastAsia="zh-CN"/>
              </w:rPr>
            </w:pPr>
            <w:r w:rsidRPr="00BA026A">
              <w:rPr>
                <w:rFonts w:ascii="黑体" w:eastAsia="黑体" w:hAnsi="黑体"/>
                <w:b/>
                <w:sz w:val="20"/>
                <w:lang w:eastAsia="zh-CN"/>
              </w:rPr>
              <w:t>全网的核心「桥梁」与学术枢纽</w:t>
            </w:r>
          </w:p>
        </w:tc>
      </w:tr>
      <w:tr w:rsidR="000565D6" w:rsidRPr="00BA026A" w14:paraId="62DDC9FD" w14:textId="77777777">
        <w:trPr>
          <w:jc w:val="center"/>
        </w:trPr>
        <w:tc>
          <w:tcPr>
            <w:tcW w:w="1872" w:type="dxa"/>
            <w:shd w:val="clear" w:color="auto" w:fill="F7F9FA"/>
            <w:tcMar>
              <w:top w:w="100" w:type="dxa"/>
              <w:left w:w="150" w:type="dxa"/>
              <w:bottom w:w="100" w:type="dxa"/>
              <w:right w:w="150" w:type="dxa"/>
            </w:tcMar>
          </w:tcPr>
          <w:p w14:paraId="5FD4B471" w14:textId="77777777" w:rsidR="000565D6" w:rsidRPr="00BA026A" w:rsidRDefault="00000000">
            <w:pPr>
              <w:rPr>
                <w:rFonts w:ascii="黑体" w:eastAsia="黑体" w:hAnsi="黑体" w:hint="eastAsia"/>
              </w:rPr>
            </w:pPr>
            <w:r w:rsidRPr="00BA026A">
              <w:rPr>
                <w:rFonts w:ascii="黑体" w:eastAsia="黑体" w:hAnsi="黑体"/>
                <w:sz w:val="20"/>
              </w:rPr>
              <w:t xml:space="preserve">Li, </w:t>
            </w:r>
            <w:proofErr w:type="spellStart"/>
            <w:r w:rsidRPr="00BA026A">
              <w:rPr>
                <w:rFonts w:ascii="黑体" w:eastAsia="黑体" w:hAnsi="黑体"/>
                <w:sz w:val="20"/>
              </w:rPr>
              <w:t>Huaming</w:t>
            </w:r>
            <w:proofErr w:type="spellEnd"/>
            <w:r w:rsidRPr="00BA026A">
              <w:rPr>
                <w:rFonts w:ascii="黑体" w:eastAsia="黑体" w:hAnsi="黑体"/>
                <w:sz w:val="20"/>
              </w:rPr>
              <w:t xml:space="preserve"> (</w:t>
            </w:r>
            <w:proofErr w:type="spellStart"/>
            <w:r w:rsidRPr="00BA026A">
              <w:rPr>
                <w:rFonts w:ascii="黑体" w:eastAsia="黑体" w:hAnsi="黑体"/>
                <w:sz w:val="20"/>
              </w:rPr>
              <w:t>李华明</w:t>
            </w:r>
            <w:proofErr w:type="spellEnd"/>
            <w:r w:rsidRPr="00BA026A">
              <w:rPr>
                <w:rFonts w:ascii="黑体" w:eastAsia="黑体" w:hAnsi="黑体"/>
                <w:sz w:val="20"/>
              </w:rPr>
              <w:t>)</w:t>
            </w:r>
          </w:p>
        </w:tc>
        <w:tc>
          <w:tcPr>
            <w:tcW w:w="1872" w:type="dxa"/>
            <w:shd w:val="clear" w:color="auto" w:fill="F7F9FA"/>
            <w:tcMar>
              <w:top w:w="100" w:type="dxa"/>
              <w:left w:w="150" w:type="dxa"/>
              <w:bottom w:w="100" w:type="dxa"/>
              <w:right w:w="150" w:type="dxa"/>
            </w:tcMar>
          </w:tcPr>
          <w:p w14:paraId="7E1B2FCF" w14:textId="77777777" w:rsidR="000565D6" w:rsidRPr="00BA026A" w:rsidRDefault="00000000">
            <w:pPr>
              <w:jc w:val="center"/>
              <w:rPr>
                <w:rFonts w:ascii="黑体" w:eastAsia="黑体" w:hAnsi="黑体" w:hint="eastAsia"/>
              </w:rPr>
            </w:pPr>
            <w:r w:rsidRPr="00BA026A">
              <w:rPr>
                <w:rFonts w:ascii="黑体" w:eastAsia="黑体" w:hAnsi="黑体"/>
                <w:sz w:val="20"/>
              </w:rPr>
              <w:t>17</w:t>
            </w:r>
          </w:p>
        </w:tc>
        <w:tc>
          <w:tcPr>
            <w:tcW w:w="1872" w:type="dxa"/>
            <w:shd w:val="clear" w:color="auto" w:fill="F7F9FA"/>
            <w:tcMar>
              <w:top w:w="100" w:type="dxa"/>
              <w:left w:w="150" w:type="dxa"/>
              <w:bottom w:w="100" w:type="dxa"/>
              <w:right w:w="150" w:type="dxa"/>
            </w:tcMar>
          </w:tcPr>
          <w:p w14:paraId="74061374" w14:textId="77777777" w:rsidR="000565D6" w:rsidRPr="00BA026A" w:rsidRDefault="00000000">
            <w:pPr>
              <w:jc w:val="center"/>
              <w:rPr>
                <w:rFonts w:ascii="黑体" w:eastAsia="黑体" w:hAnsi="黑体" w:hint="eastAsia"/>
              </w:rPr>
            </w:pPr>
            <w:r w:rsidRPr="00BA026A">
              <w:rPr>
                <w:rFonts w:ascii="黑体" w:eastAsia="黑体" w:hAnsi="黑体"/>
                <w:sz w:val="20"/>
              </w:rPr>
              <w:t>高</w:t>
            </w:r>
          </w:p>
        </w:tc>
        <w:tc>
          <w:tcPr>
            <w:tcW w:w="1872" w:type="dxa"/>
            <w:shd w:val="clear" w:color="auto" w:fill="F7F9FA"/>
            <w:tcMar>
              <w:top w:w="100" w:type="dxa"/>
              <w:left w:w="150" w:type="dxa"/>
              <w:bottom w:w="100" w:type="dxa"/>
              <w:right w:w="150" w:type="dxa"/>
            </w:tcMar>
          </w:tcPr>
          <w:p w14:paraId="282541B4" w14:textId="77777777" w:rsidR="000565D6" w:rsidRPr="00BA026A" w:rsidRDefault="00000000">
            <w:pPr>
              <w:jc w:val="center"/>
              <w:rPr>
                <w:rFonts w:ascii="黑体" w:eastAsia="黑体" w:hAnsi="黑体" w:hint="eastAsia"/>
              </w:rPr>
            </w:pPr>
            <w:r w:rsidRPr="00BA026A">
              <w:rPr>
                <w:rFonts w:ascii="黑体" w:eastAsia="黑体" w:hAnsi="黑体"/>
                <w:sz w:val="20"/>
              </w:rPr>
              <w:t>高</w:t>
            </w:r>
          </w:p>
        </w:tc>
        <w:tc>
          <w:tcPr>
            <w:tcW w:w="1872" w:type="dxa"/>
            <w:shd w:val="clear" w:color="auto" w:fill="F7F9FA"/>
            <w:tcMar>
              <w:top w:w="100" w:type="dxa"/>
              <w:left w:w="150" w:type="dxa"/>
              <w:bottom w:w="100" w:type="dxa"/>
              <w:right w:w="150" w:type="dxa"/>
            </w:tcMar>
          </w:tcPr>
          <w:p w14:paraId="385653E8" w14:textId="77777777" w:rsidR="000565D6" w:rsidRPr="00BA026A" w:rsidRDefault="00000000">
            <w:pPr>
              <w:rPr>
                <w:rFonts w:ascii="黑体" w:eastAsia="黑体" w:hAnsi="黑体" w:hint="eastAsia"/>
                <w:lang w:eastAsia="zh-CN"/>
              </w:rPr>
            </w:pPr>
            <w:r w:rsidRPr="00BA026A">
              <w:rPr>
                <w:rFonts w:ascii="黑体" w:eastAsia="黑体" w:hAnsi="黑体"/>
                <w:sz w:val="20"/>
                <w:lang w:eastAsia="zh-CN"/>
              </w:rPr>
              <w:t>华中/江浙科研圈的核心导师</w:t>
            </w:r>
          </w:p>
        </w:tc>
      </w:tr>
      <w:tr w:rsidR="000565D6" w:rsidRPr="00BA026A" w14:paraId="679CE2B7" w14:textId="77777777">
        <w:trPr>
          <w:jc w:val="center"/>
        </w:trPr>
        <w:tc>
          <w:tcPr>
            <w:tcW w:w="1872" w:type="dxa"/>
            <w:tcMar>
              <w:top w:w="100" w:type="dxa"/>
              <w:left w:w="150" w:type="dxa"/>
              <w:bottom w:w="100" w:type="dxa"/>
              <w:right w:w="150" w:type="dxa"/>
            </w:tcMar>
          </w:tcPr>
          <w:p w14:paraId="719ADF86" w14:textId="77777777" w:rsidR="000565D6" w:rsidRPr="00BA026A" w:rsidRDefault="00000000">
            <w:pPr>
              <w:rPr>
                <w:rFonts w:ascii="黑体" w:eastAsia="黑体" w:hAnsi="黑体" w:hint="eastAsia"/>
              </w:rPr>
            </w:pPr>
            <w:r w:rsidRPr="00BA026A">
              <w:rPr>
                <w:rFonts w:ascii="黑体" w:eastAsia="黑体" w:hAnsi="黑体"/>
                <w:sz w:val="20"/>
              </w:rPr>
              <w:t xml:space="preserve">Yu, </w:t>
            </w:r>
            <w:proofErr w:type="spellStart"/>
            <w:r w:rsidRPr="00BA026A">
              <w:rPr>
                <w:rFonts w:ascii="黑体" w:eastAsia="黑体" w:hAnsi="黑体"/>
                <w:sz w:val="20"/>
              </w:rPr>
              <w:t>Jiaguo</w:t>
            </w:r>
            <w:proofErr w:type="spellEnd"/>
            <w:r w:rsidRPr="00BA026A">
              <w:rPr>
                <w:rFonts w:ascii="黑体" w:eastAsia="黑体" w:hAnsi="黑体"/>
                <w:sz w:val="20"/>
              </w:rPr>
              <w:t xml:space="preserve"> (</w:t>
            </w:r>
            <w:proofErr w:type="spellStart"/>
            <w:r w:rsidRPr="00BA026A">
              <w:rPr>
                <w:rFonts w:ascii="黑体" w:eastAsia="黑体" w:hAnsi="黑体"/>
                <w:sz w:val="20"/>
              </w:rPr>
              <w:t>余家国</w:t>
            </w:r>
            <w:proofErr w:type="spellEnd"/>
            <w:r w:rsidRPr="00BA026A">
              <w:rPr>
                <w:rFonts w:ascii="黑体" w:eastAsia="黑体" w:hAnsi="黑体"/>
                <w:sz w:val="20"/>
              </w:rPr>
              <w:t>)</w:t>
            </w:r>
          </w:p>
        </w:tc>
        <w:tc>
          <w:tcPr>
            <w:tcW w:w="1872" w:type="dxa"/>
            <w:tcMar>
              <w:top w:w="100" w:type="dxa"/>
              <w:left w:w="150" w:type="dxa"/>
              <w:bottom w:w="100" w:type="dxa"/>
              <w:right w:w="150" w:type="dxa"/>
            </w:tcMar>
          </w:tcPr>
          <w:p w14:paraId="5D7E181B" w14:textId="77777777" w:rsidR="000565D6" w:rsidRPr="00BA026A" w:rsidRDefault="00000000">
            <w:pPr>
              <w:jc w:val="center"/>
              <w:rPr>
                <w:rFonts w:ascii="黑体" w:eastAsia="黑体" w:hAnsi="黑体" w:hint="eastAsia"/>
              </w:rPr>
            </w:pPr>
            <w:r w:rsidRPr="00BA026A">
              <w:rPr>
                <w:rFonts w:ascii="黑体" w:eastAsia="黑体" w:hAnsi="黑体"/>
                <w:sz w:val="20"/>
              </w:rPr>
              <w:t>15</w:t>
            </w:r>
          </w:p>
        </w:tc>
        <w:tc>
          <w:tcPr>
            <w:tcW w:w="1872" w:type="dxa"/>
            <w:tcMar>
              <w:top w:w="100" w:type="dxa"/>
              <w:left w:w="150" w:type="dxa"/>
              <w:bottom w:w="100" w:type="dxa"/>
              <w:right w:w="150" w:type="dxa"/>
            </w:tcMar>
          </w:tcPr>
          <w:p w14:paraId="496FAA89" w14:textId="77777777" w:rsidR="000565D6" w:rsidRPr="00BA026A" w:rsidRDefault="00000000">
            <w:pPr>
              <w:jc w:val="center"/>
              <w:rPr>
                <w:rFonts w:ascii="黑体" w:eastAsia="黑体" w:hAnsi="黑体" w:hint="eastAsia"/>
              </w:rPr>
            </w:pPr>
            <w:r w:rsidRPr="00BA026A">
              <w:rPr>
                <w:rFonts w:ascii="黑体" w:eastAsia="黑体" w:hAnsi="黑体"/>
                <w:sz w:val="20"/>
              </w:rPr>
              <w:t>高</w:t>
            </w:r>
          </w:p>
        </w:tc>
        <w:tc>
          <w:tcPr>
            <w:tcW w:w="1872" w:type="dxa"/>
            <w:tcMar>
              <w:top w:w="100" w:type="dxa"/>
              <w:left w:w="150" w:type="dxa"/>
              <w:bottom w:w="100" w:type="dxa"/>
              <w:right w:w="150" w:type="dxa"/>
            </w:tcMar>
          </w:tcPr>
          <w:p w14:paraId="5BEE24BB" w14:textId="77777777" w:rsidR="000565D6" w:rsidRPr="00BA026A" w:rsidRDefault="00000000">
            <w:pPr>
              <w:jc w:val="center"/>
              <w:rPr>
                <w:rFonts w:ascii="黑体" w:eastAsia="黑体" w:hAnsi="黑体" w:hint="eastAsia"/>
              </w:rPr>
            </w:pPr>
            <w:r w:rsidRPr="00BA026A">
              <w:rPr>
                <w:rFonts w:ascii="黑体" w:eastAsia="黑体" w:hAnsi="黑体"/>
                <w:sz w:val="20"/>
              </w:rPr>
              <w:t>高</w:t>
            </w:r>
          </w:p>
        </w:tc>
        <w:tc>
          <w:tcPr>
            <w:tcW w:w="1872" w:type="dxa"/>
            <w:tcMar>
              <w:top w:w="100" w:type="dxa"/>
              <w:left w:w="150" w:type="dxa"/>
              <w:bottom w:w="100" w:type="dxa"/>
              <w:right w:w="150" w:type="dxa"/>
            </w:tcMar>
          </w:tcPr>
          <w:p w14:paraId="5A040767" w14:textId="77777777" w:rsidR="000565D6" w:rsidRPr="00BA026A" w:rsidRDefault="00000000">
            <w:pPr>
              <w:rPr>
                <w:rFonts w:ascii="黑体" w:eastAsia="黑体" w:hAnsi="黑体" w:hint="eastAsia"/>
                <w:lang w:eastAsia="zh-CN"/>
              </w:rPr>
            </w:pPr>
            <w:r w:rsidRPr="00BA026A">
              <w:rPr>
                <w:rFonts w:ascii="黑体" w:eastAsia="黑体" w:hAnsi="黑体"/>
                <w:sz w:val="20"/>
                <w:lang w:eastAsia="zh-CN"/>
              </w:rPr>
              <w:t>光催化/异质结领域的奠基学者</w:t>
            </w:r>
          </w:p>
        </w:tc>
      </w:tr>
    </w:tbl>
    <w:p w14:paraId="08B280B1" w14:textId="77777777" w:rsidR="000565D6" w:rsidRPr="00BA026A" w:rsidRDefault="000565D6">
      <w:pPr>
        <w:spacing w:before="120"/>
        <w:rPr>
          <w:rFonts w:ascii="黑体" w:eastAsia="黑体" w:hAnsi="黑体" w:hint="eastAsia"/>
          <w:lang w:eastAsia="zh-CN"/>
        </w:rPr>
      </w:pPr>
    </w:p>
    <w:p w14:paraId="42FFC398"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lastRenderedPageBreak/>
        <w:t>4.2 学者与机构合作网络图谱特征</w:t>
      </w:r>
    </w:p>
    <w:p w14:paraId="68FF6805"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drawing>
          <wp:inline distT="0" distB="0" distL="0" distR="0" wp14:anchorId="79A9F254" wp14:editId="07C26B24">
            <wp:extent cx="5029200" cy="418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20 Core Authors.jpg"/>
                    <pic:cNvPicPr/>
                  </pic:nvPicPr>
                  <pic:blipFill>
                    <a:blip r:embed="rId7"/>
                    <a:stretch>
                      <a:fillRect/>
                    </a:stretch>
                  </pic:blipFill>
                  <pic:spPr>
                    <a:xfrm>
                      <a:off x="0" y="0"/>
                      <a:ext cx="5029200" cy="4183626"/>
                    </a:xfrm>
                    <a:prstGeom prst="rect">
                      <a:avLst/>
                    </a:prstGeom>
                  </pic:spPr>
                </pic:pic>
              </a:graphicData>
            </a:graphic>
          </wp:inline>
        </w:drawing>
      </w:r>
    </w:p>
    <w:p w14:paraId="294684CC"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2：领域内 Top 20 核心产出学者分布直方图/关系图</w:t>
      </w:r>
    </w:p>
    <w:p w14:paraId="11615F0D"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lastRenderedPageBreak/>
        <w:drawing>
          <wp:inline distT="0" distB="0" distL="0" distR="0" wp14:anchorId="489509D6" wp14:editId="18A734B4">
            <wp:extent cx="5029200" cy="3536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coauthorship_network.jpg"/>
                    <pic:cNvPicPr/>
                  </pic:nvPicPr>
                  <pic:blipFill>
                    <a:blip r:embed="rId8"/>
                    <a:stretch>
                      <a:fillRect/>
                    </a:stretch>
                  </pic:blipFill>
                  <pic:spPr>
                    <a:xfrm>
                      <a:off x="0" y="0"/>
                      <a:ext cx="5029200" cy="3536156"/>
                    </a:xfrm>
                    <a:prstGeom prst="rect">
                      <a:avLst/>
                    </a:prstGeom>
                  </pic:spPr>
                </pic:pic>
              </a:graphicData>
            </a:graphic>
          </wp:inline>
        </w:drawing>
      </w:r>
    </w:p>
    <w:p w14:paraId="5F884080"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3：核心作者合著与科学合作社</w:t>
      </w:r>
      <w:proofErr w:type="gramStart"/>
      <w:r w:rsidRPr="00BA026A">
        <w:rPr>
          <w:rFonts w:ascii="黑体" w:eastAsia="黑体" w:hAnsi="黑体"/>
          <w:color w:val="666666"/>
          <w:sz w:val="20"/>
          <w:lang w:eastAsia="zh-CN"/>
        </w:rPr>
        <w:t>会网络</w:t>
      </w:r>
      <w:proofErr w:type="gramEnd"/>
      <w:r w:rsidRPr="00BA026A">
        <w:rPr>
          <w:rFonts w:ascii="黑体" w:eastAsia="黑体" w:hAnsi="黑体"/>
          <w:color w:val="666666"/>
          <w:sz w:val="20"/>
          <w:lang w:eastAsia="zh-CN"/>
        </w:rPr>
        <w:t>图谱</w:t>
      </w:r>
    </w:p>
    <w:p w14:paraId="091F52FC" w14:textId="77777777" w:rsidR="000565D6" w:rsidRPr="00BA026A" w:rsidRDefault="00000000">
      <w:pPr>
        <w:rPr>
          <w:rFonts w:ascii="黑体" w:eastAsia="黑体" w:hAnsi="黑体" w:hint="eastAsia"/>
          <w:lang w:eastAsia="zh-CN"/>
        </w:rPr>
      </w:pPr>
      <w:r w:rsidRPr="00BA026A">
        <w:rPr>
          <w:rFonts w:ascii="黑体" w:eastAsia="黑体" w:hAnsi="黑体"/>
          <w:lang w:eastAsia="zh-CN"/>
        </w:rPr>
        <w:t>通过对上述图谱与计量指标的深度挖掘，本研究总结出以下两个关键结论：</w:t>
      </w:r>
    </w:p>
    <w:p w14:paraId="11BF30EB" w14:textId="77777777" w:rsidR="000565D6" w:rsidRPr="00BA026A" w:rsidRDefault="00000000">
      <w:pPr>
        <w:pStyle w:val="a0"/>
        <w:spacing w:after="80"/>
        <w:rPr>
          <w:rFonts w:ascii="黑体" w:eastAsia="黑体" w:hAnsi="黑体" w:hint="eastAsia"/>
        </w:rPr>
      </w:pPr>
      <w:r w:rsidRPr="00BA026A">
        <w:rPr>
          <w:rFonts w:ascii="黑体" w:eastAsia="黑体" w:hAnsi="黑体"/>
          <w:b/>
          <w:lang w:eastAsia="zh-CN"/>
        </w:rPr>
        <w:t>「大聚集、小分散」的网络格局</w:t>
      </w:r>
      <w:r w:rsidRPr="00BA026A">
        <w:rPr>
          <w:rFonts w:ascii="黑体" w:eastAsia="黑体" w:hAnsi="黑体"/>
          <w:lang w:eastAsia="zh-CN"/>
        </w:rPr>
        <w:t>：图谱中已经形成了若干个非常庞大且紧密的「学术抱团圈」，尤以中国江浙地区及华中地区的科研院所（如江苏大学李华明/许晖团队、武汉理工大学余家国团队）最为显眼。</w:t>
      </w:r>
      <w:proofErr w:type="spellStart"/>
      <w:r w:rsidRPr="00BA026A">
        <w:rPr>
          <w:rFonts w:ascii="黑体" w:eastAsia="黑体" w:hAnsi="黑体"/>
        </w:rPr>
        <w:t>这表明我国在该领域的集群效应已初具规模</w:t>
      </w:r>
      <w:proofErr w:type="spellEnd"/>
      <w:r w:rsidRPr="00BA026A">
        <w:rPr>
          <w:rFonts w:ascii="黑体" w:eastAsia="黑体" w:hAnsi="黑体"/>
        </w:rPr>
        <w:t>。</w:t>
      </w:r>
    </w:p>
    <w:p w14:paraId="6EC450A7"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学派地理亲缘性明显</w:t>
      </w:r>
      <w:r w:rsidRPr="00BA026A">
        <w:rPr>
          <w:rFonts w:ascii="黑体" w:eastAsia="黑体" w:hAnsi="黑体"/>
          <w:lang w:eastAsia="zh-CN"/>
        </w:rPr>
        <w:t>：团队内的合作多表现为「导师-学生-同门」或「同校跨学院」的近距离地理亲缘特征，跨国界、</w:t>
      </w:r>
      <w:proofErr w:type="gramStart"/>
      <w:r w:rsidRPr="00BA026A">
        <w:rPr>
          <w:rFonts w:ascii="黑体" w:eastAsia="黑体" w:hAnsi="黑体"/>
          <w:lang w:eastAsia="zh-CN"/>
        </w:rPr>
        <w:t>跨材料</w:t>
      </w:r>
      <w:proofErr w:type="gramEnd"/>
      <w:r w:rsidRPr="00BA026A">
        <w:rPr>
          <w:rFonts w:ascii="黑体" w:eastAsia="黑体" w:hAnsi="黑体"/>
          <w:lang w:eastAsia="zh-CN"/>
        </w:rPr>
        <w:t>体系的颠覆性大协同合作仍有极大的拓展空间，这也是未来该领域走向真正成熟与产业化应用的必经之路。</w:t>
      </w:r>
    </w:p>
    <w:p w14:paraId="7C571A17"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5. 关键词共现与学术热点挖掘</w:t>
      </w:r>
    </w:p>
    <w:p w14:paraId="3490D546"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t>5.1 高频关键词统计与分析</w:t>
      </w:r>
    </w:p>
    <w:p w14:paraId="3352AE14" w14:textId="77777777" w:rsidR="000565D6" w:rsidRPr="00BA026A" w:rsidRDefault="00000000">
      <w:pPr>
        <w:rPr>
          <w:rFonts w:ascii="黑体" w:eastAsia="黑体" w:hAnsi="黑体" w:hint="eastAsia"/>
          <w:lang w:eastAsia="zh-CN"/>
        </w:rPr>
      </w:pPr>
      <w:r w:rsidRPr="00BA026A">
        <w:rPr>
          <w:rFonts w:ascii="黑体" w:eastAsia="黑体" w:hAnsi="黑体"/>
          <w:lang w:eastAsia="zh-CN"/>
        </w:rPr>
        <w:t>关键词是论文核心思想的高度凝练。通过对 2349 篇文献进行词频分析与矩阵降维，揭示出当前研究的几大主流阵营。</w:t>
      </w:r>
    </w:p>
    <w:p w14:paraId="05ED1255"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lastRenderedPageBreak/>
        <w:drawing>
          <wp:inline distT="0" distB="0" distL="0" distR="0" wp14:anchorId="619DAEB0" wp14:editId="794372D8">
            <wp:extent cx="5029200" cy="3220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20_keywords.png"/>
                    <pic:cNvPicPr/>
                  </pic:nvPicPr>
                  <pic:blipFill>
                    <a:blip r:embed="rId9"/>
                    <a:stretch>
                      <a:fillRect/>
                    </a:stretch>
                  </pic:blipFill>
                  <pic:spPr>
                    <a:xfrm>
                      <a:off x="0" y="0"/>
                      <a:ext cx="5029200" cy="3220622"/>
                    </a:xfrm>
                    <a:prstGeom prst="rect">
                      <a:avLst/>
                    </a:prstGeom>
                  </pic:spPr>
                </pic:pic>
              </a:graphicData>
            </a:graphic>
          </wp:inline>
        </w:drawing>
      </w:r>
    </w:p>
    <w:p w14:paraId="72E4EAEB"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4：二维过渡金属氧化物异质结领域 Top 20 高频关键词频次排行</w:t>
      </w:r>
    </w:p>
    <w:p w14:paraId="5315215F"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drawing>
          <wp:inline distT="0" distB="0" distL="0" distR="0" wp14:anchorId="2B99D1AA" wp14:editId="470D30B6">
            <wp:extent cx="5029200" cy="3536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word_cooccurrence.jpg"/>
                    <pic:cNvPicPr/>
                  </pic:nvPicPr>
                  <pic:blipFill>
                    <a:blip r:embed="rId10"/>
                    <a:stretch>
                      <a:fillRect/>
                    </a:stretch>
                  </pic:blipFill>
                  <pic:spPr>
                    <a:xfrm>
                      <a:off x="0" y="0"/>
                      <a:ext cx="5029200" cy="3536156"/>
                    </a:xfrm>
                    <a:prstGeom prst="rect">
                      <a:avLst/>
                    </a:prstGeom>
                  </pic:spPr>
                </pic:pic>
              </a:graphicData>
            </a:graphic>
          </wp:inline>
        </w:drawing>
      </w:r>
    </w:p>
    <w:p w14:paraId="6CAE17D8"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5：高频关键词共现聚类科学知识图谱</w:t>
      </w:r>
    </w:p>
    <w:p w14:paraId="6DD5AD9B" w14:textId="77777777" w:rsidR="000565D6" w:rsidRPr="00BA026A" w:rsidRDefault="00000000">
      <w:pPr>
        <w:rPr>
          <w:rFonts w:ascii="黑体" w:eastAsia="黑体" w:hAnsi="黑体" w:hint="eastAsia"/>
          <w:lang w:eastAsia="zh-CN"/>
        </w:rPr>
      </w:pPr>
      <w:r w:rsidRPr="00BA026A">
        <w:rPr>
          <w:rFonts w:ascii="黑体" w:eastAsia="黑体" w:hAnsi="黑体"/>
          <w:lang w:eastAsia="zh-CN"/>
        </w:rPr>
        <w:t>根据图 5 的聚类网络，当前二维过渡金属氧化物异质结的研究主要聚焦于以下三个核心主题方向：</w:t>
      </w:r>
    </w:p>
    <w:p w14:paraId="39720221" w14:textId="77777777" w:rsidR="000565D6" w:rsidRPr="00BA026A" w:rsidRDefault="00000000">
      <w:pPr>
        <w:pStyle w:val="a0"/>
        <w:spacing w:after="80"/>
        <w:rPr>
          <w:rFonts w:ascii="黑体" w:eastAsia="黑体" w:hAnsi="黑体" w:hint="eastAsia"/>
        </w:rPr>
      </w:pPr>
      <w:proofErr w:type="spellStart"/>
      <w:r w:rsidRPr="00BA026A">
        <w:rPr>
          <w:rFonts w:ascii="黑体" w:eastAsia="黑体" w:hAnsi="黑体"/>
          <w:b/>
        </w:rPr>
        <w:lastRenderedPageBreak/>
        <w:t>主题一：二维异质结材料的构筑与微观形貌表征</w:t>
      </w:r>
      <w:r w:rsidRPr="00BA026A">
        <w:rPr>
          <w:rFonts w:ascii="黑体" w:eastAsia="黑体" w:hAnsi="黑体"/>
        </w:rPr>
        <w:t>：主要包含关键词如</w:t>
      </w:r>
      <w:proofErr w:type="spellEnd"/>
      <w:r w:rsidRPr="00BA026A">
        <w:rPr>
          <w:rFonts w:ascii="黑体" w:eastAsia="黑体" w:hAnsi="黑体"/>
        </w:rPr>
        <w:t xml:space="preserve"> graphene oxide, nanosheets, MoO3, WO3 等。重点研究如何通过二维纳米片层的剥离与组装，构筑具有原子级平整界面的过渡金属氧化物异质结构。</w:t>
      </w:r>
    </w:p>
    <w:p w14:paraId="65C87857" w14:textId="77777777" w:rsidR="000565D6" w:rsidRPr="00BA026A" w:rsidRDefault="00000000">
      <w:pPr>
        <w:pStyle w:val="a0"/>
        <w:spacing w:after="80"/>
        <w:rPr>
          <w:rFonts w:ascii="黑体" w:eastAsia="黑体" w:hAnsi="黑体" w:hint="eastAsia"/>
        </w:rPr>
      </w:pPr>
      <w:r w:rsidRPr="00BA026A">
        <w:rPr>
          <w:rFonts w:ascii="黑体" w:eastAsia="黑体" w:hAnsi="黑体"/>
          <w:b/>
        </w:rPr>
        <w:t>主题二：光催化与能源催化转化机制</w:t>
      </w:r>
      <w:r w:rsidRPr="00BA026A">
        <w:rPr>
          <w:rFonts w:ascii="黑体" w:eastAsia="黑体" w:hAnsi="黑体"/>
        </w:rPr>
        <w:t>：主要包含关键词如 photocatalytic degradation, hydrogen evolution, water splitting, CO2 reduction 等。利用异质结界面形成的内建电场（Built-in Electric Field），显著提高光生载流子的分离效率，从而赋予系统极高的催化活性。</w:t>
      </w:r>
    </w:p>
    <w:p w14:paraId="56BD7EF7" w14:textId="77777777" w:rsidR="000565D6" w:rsidRPr="00BA026A" w:rsidRDefault="00000000">
      <w:pPr>
        <w:pStyle w:val="a0"/>
        <w:spacing w:after="80"/>
        <w:rPr>
          <w:rFonts w:ascii="黑体" w:eastAsia="黑体" w:hAnsi="黑体" w:hint="eastAsia"/>
        </w:rPr>
      </w:pPr>
      <w:r w:rsidRPr="00BA026A">
        <w:rPr>
          <w:rFonts w:ascii="黑体" w:eastAsia="黑体" w:hAnsi="黑体"/>
          <w:b/>
        </w:rPr>
        <w:t>主题三：电化学储能与电子器件应用</w:t>
      </w:r>
      <w:r w:rsidRPr="00BA026A">
        <w:rPr>
          <w:rFonts w:ascii="黑体" w:eastAsia="黑体" w:hAnsi="黑体"/>
        </w:rPr>
        <w:t>：主要包含关键词如 lithium-ion batteries, supercapacitors, electrocatalysis 等。探索二维氧化物多孔或层状异质结构在碱金属离子存储、电化学电容过程中的能量密度与循环寿命优化机制。</w:t>
      </w:r>
    </w:p>
    <w:p w14:paraId="3EBCB002"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6. 文献共被引与知识基石解析</w:t>
      </w:r>
    </w:p>
    <w:p w14:paraId="67B9143E" w14:textId="77777777" w:rsidR="000565D6" w:rsidRPr="00BA026A" w:rsidRDefault="00000000">
      <w:pPr>
        <w:rPr>
          <w:rFonts w:ascii="黑体" w:eastAsia="黑体" w:hAnsi="黑体" w:hint="eastAsia"/>
        </w:rPr>
      </w:pPr>
      <w:proofErr w:type="spellStart"/>
      <w:r w:rsidRPr="00BA026A">
        <w:rPr>
          <w:rFonts w:ascii="黑体" w:eastAsia="黑体" w:hAnsi="黑体"/>
        </w:rPr>
        <w:t>文献共被引分析（Document</w:t>
      </w:r>
      <w:proofErr w:type="spellEnd"/>
      <w:r w:rsidRPr="00BA026A">
        <w:rPr>
          <w:rFonts w:ascii="黑体" w:eastAsia="黑体" w:hAnsi="黑体"/>
        </w:rPr>
        <w:t xml:space="preserve"> Co-citation </w:t>
      </w:r>
      <w:proofErr w:type="spellStart"/>
      <w:r w:rsidRPr="00BA026A">
        <w:rPr>
          <w:rFonts w:ascii="黑体" w:eastAsia="黑体" w:hAnsi="黑体"/>
        </w:rPr>
        <w:t>Analysis）能够精确识别出一个领域的知识基石与理论源头</w:t>
      </w:r>
      <w:proofErr w:type="spellEnd"/>
      <w:r w:rsidRPr="00BA026A">
        <w:rPr>
          <w:rFonts w:ascii="黑体" w:eastAsia="黑体" w:hAnsi="黑体"/>
        </w:rPr>
        <w:t>。</w:t>
      </w:r>
    </w:p>
    <w:p w14:paraId="424A6E5B" w14:textId="77777777" w:rsidR="000565D6" w:rsidRPr="00BA026A" w:rsidRDefault="00000000">
      <w:pPr>
        <w:spacing w:before="240" w:after="80"/>
        <w:jc w:val="center"/>
        <w:rPr>
          <w:rFonts w:ascii="黑体" w:eastAsia="黑体" w:hAnsi="黑体" w:hint="eastAsia"/>
        </w:rPr>
      </w:pPr>
      <w:r w:rsidRPr="00BA026A">
        <w:rPr>
          <w:rFonts w:ascii="黑体" w:eastAsia="黑体" w:hAnsi="黑体"/>
          <w:noProof/>
        </w:rPr>
        <w:drawing>
          <wp:inline distT="0" distB="0" distL="0" distR="0" wp14:anchorId="60129AAB" wp14:editId="44C4892F">
            <wp:extent cx="5029200" cy="3536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cocitation_network.jpg"/>
                    <pic:cNvPicPr/>
                  </pic:nvPicPr>
                  <pic:blipFill>
                    <a:blip r:embed="rId11"/>
                    <a:stretch>
                      <a:fillRect/>
                    </a:stretch>
                  </pic:blipFill>
                  <pic:spPr>
                    <a:xfrm>
                      <a:off x="0" y="0"/>
                      <a:ext cx="5029200" cy="3536156"/>
                    </a:xfrm>
                    <a:prstGeom prst="rect">
                      <a:avLst/>
                    </a:prstGeom>
                  </pic:spPr>
                </pic:pic>
              </a:graphicData>
            </a:graphic>
          </wp:inline>
        </w:drawing>
      </w:r>
    </w:p>
    <w:p w14:paraId="3C787F1D" w14:textId="77777777" w:rsidR="000565D6" w:rsidRPr="00BA026A" w:rsidRDefault="00000000">
      <w:pPr>
        <w:spacing w:after="240"/>
        <w:jc w:val="center"/>
        <w:rPr>
          <w:rFonts w:ascii="黑体" w:eastAsia="黑体" w:hAnsi="黑体" w:hint="eastAsia"/>
          <w:lang w:eastAsia="zh-CN"/>
        </w:rPr>
      </w:pPr>
      <w:r w:rsidRPr="00BA026A">
        <w:rPr>
          <w:rFonts w:ascii="黑体" w:eastAsia="黑体" w:hAnsi="黑体"/>
          <w:color w:val="666666"/>
          <w:sz w:val="20"/>
          <w:lang w:eastAsia="zh-CN"/>
        </w:rPr>
        <w:t>图 6：领域高影响力文献共被引与知识演进网络图谱</w:t>
      </w:r>
    </w:p>
    <w:p w14:paraId="75B13E25" w14:textId="77777777" w:rsidR="000565D6" w:rsidRPr="00BA026A" w:rsidRDefault="00000000">
      <w:pPr>
        <w:rPr>
          <w:rFonts w:ascii="黑体" w:eastAsia="黑体" w:hAnsi="黑体" w:hint="eastAsia"/>
          <w:lang w:eastAsia="zh-CN"/>
        </w:rPr>
      </w:pPr>
      <w:proofErr w:type="spellStart"/>
      <w:r w:rsidRPr="00BA026A">
        <w:rPr>
          <w:rFonts w:ascii="黑体" w:eastAsia="黑体" w:hAnsi="黑体"/>
        </w:rPr>
        <w:t>在图</w:t>
      </w:r>
      <w:proofErr w:type="spellEnd"/>
      <w:r w:rsidRPr="00BA026A">
        <w:rPr>
          <w:rFonts w:ascii="黑体" w:eastAsia="黑体" w:hAnsi="黑体"/>
        </w:rPr>
        <w:t xml:space="preserve"> 6 </w:t>
      </w:r>
      <w:proofErr w:type="spellStart"/>
      <w:r w:rsidRPr="00BA026A">
        <w:rPr>
          <w:rFonts w:ascii="黑体" w:eastAsia="黑体" w:hAnsi="黑体"/>
        </w:rPr>
        <w:t>所示的共被引网络中，形成了多个具有高密度、高中心性的关键节点，这些文献大多发表于材料学顶级期刊（如</w:t>
      </w:r>
      <w:proofErr w:type="spellEnd"/>
      <w:r w:rsidRPr="00BA026A">
        <w:rPr>
          <w:rFonts w:ascii="黑体" w:eastAsia="黑体" w:hAnsi="黑体"/>
        </w:rPr>
        <w:t xml:space="preserve"> Nature Materials, Advanced Materials, JACS 等）。这些开创性工作主要解决了：1) 二维非层状过渡金属氧化物的可控生长工艺；2) </w:t>
      </w:r>
      <w:proofErr w:type="spellStart"/>
      <w:r w:rsidRPr="00BA026A">
        <w:rPr>
          <w:rFonts w:ascii="黑体" w:eastAsia="黑体" w:hAnsi="黑体"/>
        </w:rPr>
        <w:t>异质结界面处范德华力（van</w:t>
      </w:r>
      <w:proofErr w:type="spellEnd"/>
      <w:r w:rsidRPr="00BA026A">
        <w:rPr>
          <w:rFonts w:ascii="黑体" w:eastAsia="黑体" w:hAnsi="黑体"/>
        </w:rPr>
        <w:t xml:space="preserve"> </w:t>
      </w:r>
      <w:r w:rsidRPr="00BA026A">
        <w:rPr>
          <w:rFonts w:ascii="黑体" w:eastAsia="黑体" w:hAnsi="黑体"/>
        </w:rPr>
        <w:lastRenderedPageBreak/>
        <w:t xml:space="preserve">der </w:t>
      </w:r>
      <w:proofErr w:type="spellStart"/>
      <w:r w:rsidRPr="00BA026A">
        <w:rPr>
          <w:rFonts w:ascii="黑体" w:eastAsia="黑体" w:hAnsi="黑体"/>
        </w:rPr>
        <w:t>Waals）与共价键合对电子能带结构的调控规律</w:t>
      </w:r>
      <w:proofErr w:type="spellEnd"/>
      <w:r w:rsidRPr="00BA026A">
        <w:rPr>
          <w:rFonts w:ascii="黑体" w:eastAsia="黑体" w:hAnsi="黑体"/>
        </w:rPr>
        <w:t>。</w:t>
      </w:r>
      <w:r w:rsidRPr="00BA026A">
        <w:rPr>
          <w:rFonts w:ascii="黑体" w:eastAsia="黑体" w:hAnsi="黑体"/>
          <w:lang w:eastAsia="zh-CN"/>
        </w:rPr>
        <w:t>这些文献构成了整个领域赖以发展的理论与实验基石。</w:t>
      </w:r>
    </w:p>
    <w:p w14:paraId="2BA9FDA4" w14:textId="77777777" w:rsidR="000565D6" w:rsidRPr="00BA026A" w:rsidRDefault="00000000">
      <w:pPr>
        <w:keepNext/>
        <w:spacing w:before="360"/>
        <w:rPr>
          <w:rFonts w:ascii="黑体" w:eastAsia="黑体" w:hAnsi="黑体" w:hint="eastAsia"/>
          <w:lang w:eastAsia="zh-CN"/>
        </w:rPr>
      </w:pPr>
      <w:r w:rsidRPr="00BA026A">
        <w:rPr>
          <w:rFonts w:ascii="黑体" w:eastAsia="黑体" w:hAnsi="黑体"/>
          <w:b/>
          <w:color w:val="1B365D"/>
          <w:sz w:val="28"/>
          <w:lang w:eastAsia="zh-CN"/>
        </w:rPr>
        <w:t>7. 结论与未来展望</w:t>
      </w:r>
    </w:p>
    <w:p w14:paraId="33743B25"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t>7.1 主要研究结论</w:t>
      </w:r>
    </w:p>
    <w:p w14:paraId="0D0DC79F"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lang w:eastAsia="zh-CN"/>
        </w:rPr>
        <w:t>二维过渡金属氧化物异质结领域自 2012 年以来经历了从理论萌芽到应用爆发的跨越式发展，目前正处于学术产出的鼎盛时期。</w:t>
      </w:r>
    </w:p>
    <w:p w14:paraId="64AFD5AF"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lang w:eastAsia="zh-CN"/>
        </w:rPr>
        <w:t>学术合作网络呈现出「大聚集、小分散」的地理与学派特征，以中国江浙与华中地区为代表的科研集群展现出强大的学术枢纽效应（如许晖、李华明等学者）。</w:t>
      </w:r>
    </w:p>
    <w:p w14:paraId="48A579E2"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lang w:eastAsia="zh-CN"/>
        </w:rPr>
        <w:t>研究热点高度聚焦于光催化能源转化、微观界面调控以及高能电化学储能三大板块。</w:t>
      </w:r>
    </w:p>
    <w:p w14:paraId="0F41AEBE" w14:textId="77777777" w:rsidR="000565D6" w:rsidRPr="00BA026A" w:rsidRDefault="00000000">
      <w:pPr>
        <w:keepNext/>
        <w:spacing w:before="240" w:after="80"/>
        <w:rPr>
          <w:rFonts w:ascii="黑体" w:eastAsia="黑体" w:hAnsi="黑体" w:hint="eastAsia"/>
          <w:lang w:eastAsia="zh-CN"/>
        </w:rPr>
      </w:pPr>
      <w:r w:rsidRPr="00BA026A">
        <w:rPr>
          <w:rFonts w:ascii="黑体" w:eastAsia="黑体" w:hAnsi="黑体"/>
          <w:b/>
          <w:color w:val="4A777A"/>
          <w:sz w:val="24"/>
          <w:lang w:eastAsia="zh-CN"/>
        </w:rPr>
        <w:t>7.2 未来研究前沿预测</w:t>
      </w:r>
    </w:p>
    <w:p w14:paraId="65D9681E" w14:textId="77777777" w:rsidR="000565D6" w:rsidRPr="00BA026A" w:rsidRDefault="00000000">
      <w:pPr>
        <w:rPr>
          <w:rFonts w:ascii="黑体" w:eastAsia="黑体" w:hAnsi="黑体" w:hint="eastAsia"/>
          <w:lang w:eastAsia="zh-CN"/>
        </w:rPr>
      </w:pPr>
      <w:r w:rsidRPr="00BA026A">
        <w:rPr>
          <w:rFonts w:ascii="黑体" w:eastAsia="黑体" w:hAnsi="黑体"/>
          <w:lang w:eastAsia="zh-CN"/>
        </w:rPr>
        <w:t>结合近年来的突现词（Bursts）与边缘聚类分析，本研究预测未来该领域将向以下方向深度演进：</w:t>
      </w:r>
    </w:p>
    <w:p w14:paraId="607C3079"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一是基于人工智能与材料基因组（AI for Science）的异质结预测</w:t>
      </w:r>
      <w:r w:rsidRPr="00BA026A">
        <w:rPr>
          <w:rFonts w:ascii="黑体" w:eastAsia="黑体" w:hAnsi="黑体"/>
          <w:lang w:eastAsia="zh-CN"/>
        </w:rPr>
        <w:t>：利用大数据与机器学习算法，对成千上万种潜在的二维氧化物异质结进行界面能带匹配与催化活性的高通量筛选，从「经验试错」走向「理性设计」。</w:t>
      </w:r>
    </w:p>
    <w:p w14:paraId="175C692D" w14:textId="77777777" w:rsidR="000565D6" w:rsidRPr="00BA026A" w:rsidRDefault="00000000">
      <w:pPr>
        <w:pStyle w:val="a0"/>
        <w:spacing w:after="80"/>
        <w:rPr>
          <w:rFonts w:ascii="黑体" w:eastAsia="黑体" w:hAnsi="黑体" w:hint="eastAsia"/>
        </w:rPr>
      </w:pPr>
      <w:proofErr w:type="spellStart"/>
      <w:r w:rsidRPr="00BA026A">
        <w:rPr>
          <w:rFonts w:ascii="黑体" w:eastAsia="黑体" w:hAnsi="黑体"/>
          <w:b/>
        </w:rPr>
        <w:t>二是极端</w:t>
      </w:r>
      <w:proofErr w:type="spellEnd"/>
      <w:r w:rsidRPr="00BA026A">
        <w:rPr>
          <w:rFonts w:ascii="黑体" w:eastAsia="黑体" w:hAnsi="黑体"/>
          <w:b/>
        </w:rPr>
        <w:t>/</w:t>
      </w:r>
      <w:proofErr w:type="spellStart"/>
      <w:r w:rsidRPr="00BA026A">
        <w:rPr>
          <w:rFonts w:ascii="黑体" w:eastAsia="黑体" w:hAnsi="黑体"/>
          <w:b/>
        </w:rPr>
        <w:t>原位表征技术（In-situ</w:t>
      </w:r>
      <w:proofErr w:type="spellEnd"/>
      <w:r w:rsidRPr="00BA026A">
        <w:rPr>
          <w:rFonts w:ascii="黑体" w:eastAsia="黑体" w:hAnsi="黑体"/>
          <w:b/>
        </w:rPr>
        <w:t xml:space="preserve"> </w:t>
      </w:r>
      <w:proofErr w:type="spellStart"/>
      <w:r w:rsidRPr="00BA026A">
        <w:rPr>
          <w:rFonts w:ascii="黑体" w:eastAsia="黑体" w:hAnsi="黑体"/>
          <w:b/>
        </w:rPr>
        <w:t>Characterization）的深度融合</w:t>
      </w:r>
      <w:r w:rsidRPr="00BA026A">
        <w:rPr>
          <w:rFonts w:ascii="黑体" w:eastAsia="黑体" w:hAnsi="黑体"/>
        </w:rPr>
        <w:t>：突破传统宏观</w:t>
      </w:r>
      <w:proofErr w:type="spellEnd"/>
      <w:r w:rsidRPr="00BA026A">
        <w:rPr>
          <w:rFonts w:ascii="黑体" w:eastAsia="黑体" w:hAnsi="黑体"/>
        </w:rPr>
        <w:t>/</w:t>
      </w:r>
      <w:proofErr w:type="spellStart"/>
      <w:r w:rsidRPr="00BA026A">
        <w:rPr>
          <w:rFonts w:ascii="黑体" w:eastAsia="黑体" w:hAnsi="黑体"/>
        </w:rPr>
        <w:t>平均表征的限制，利用原位透射电镜（In-situ</w:t>
      </w:r>
      <w:proofErr w:type="spellEnd"/>
      <w:r w:rsidRPr="00BA026A">
        <w:rPr>
          <w:rFonts w:ascii="黑体" w:eastAsia="黑体" w:hAnsi="黑体"/>
        </w:rPr>
        <w:t xml:space="preserve"> TEM）、</w:t>
      </w:r>
      <w:proofErr w:type="spellStart"/>
      <w:r w:rsidRPr="00BA026A">
        <w:rPr>
          <w:rFonts w:ascii="黑体" w:eastAsia="黑体" w:hAnsi="黑体"/>
        </w:rPr>
        <w:t>原位拉曼（In-situ</w:t>
      </w:r>
      <w:proofErr w:type="spellEnd"/>
      <w:r w:rsidRPr="00BA026A">
        <w:rPr>
          <w:rFonts w:ascii="黑体" w:eastAsia="黑体" w:hAnsi="黑体"/>
        </w:rPr>
        <w:t xml:space="preserve"> Raman）等技术，实时动态观测异质结界面在催化或充放电反应过程中原子与电子的动态演变行为。</w:t>
      </w:r>
    </w:p>
    <w:p w14:paraId="4F3BA74F" w14:textId="77777777" w:rsidR="000565D6" w:rsidRPr="00BA026A" w:rsidRDefault="00000000">
      <w:pPr>
        <w:pStyle w:val="a0"/>
        <w:spacing w:after="80"/>
        <w:rPr>
          <w:rFonts w:ascii="黑体" w:eastAsia="黑体" w:hAnsi="黑体" w:hint="eastAsia"/>
          <w:lang w:eastAsia="zh-CN"/>
        </w:rPr>
      </w:pPr>
      <w:r w:rsidRPr="00BA026A">
        <w:rPr>
          <w:rFonts w:ascii="黑体" w:eastAsia="黑体" w:hAnsi="黑体"/>
          <w:b/>
          <w:lang w:eastAsia="zh-CN"/>
        </w:rPr>
        <w:t>三是面向工业级应用的宏量制备与器件集成化</w:t>
      </w:r>
      <w:r w:rsidRPr="00BA026A">
        <w:rPr>
          <w:rFonts w:ascii="黑体" w:eastAsia="黑体" w:hAnsi="黑体"/>
          <w:lang w:eastAsia="zh-CN"/>
        </w:rPr>
        <w:t>：攻克二维异质结大面积、低成本、高质量连续生长的晶圆级（Wafer-scale）制备工艺，推动其从实验室论文向工业级绿色制氢、固态电池等产业应用的实质性跨越。</w:t>
      </w:r>
    </w:p>
    <w:sectPr w:rsidR="000565D6" w:rsidRPr="00BA02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6452110">
    <w:abstractNumId w:val="8"/>
  </w:num>
  <w:num w:numId="2" w16cid:durableId="617496301">
    <w:abstractNumId w:val="6"/>
  </w:num>
  <w:num w:numId="3" w16cid:durableId="1163812568">
    <w:abstractNumId w:val="5"/>
  </w:num>
  <w:num w:numId="4" w16cid:durableId="1274748785">
    <w:abstractNumId w:val="4"/>
  </w:num>
  <w:num w:numId="5" w16cid:durableId="593629538">
    <w:abstractNumId w:val="7"/>
  </w:num>
  <w:num w:numId="6" w16cid:durableId="555707161">
    <w:abstractNumId w:val="3"/>
  </w:num>
  <w:num w:numId="7" w16cid:durableId="400561560">
    <w:abstractNumId w:val="2"/>
  </w:num>
  <w:num w:numId="8" w16cid:durableId="972830956">
    <w:abstractNumId w:val="1"/>
  </w:num>
  <w:num w:numId="9" w16cid:durableId="169498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D6"/>
    <w:rsid w:val="0006063C"/>
    <w:rsid w:val="00143289"/>
    <w:rsid w:val="0015074B"/>
    <w:rsid w:val="0027693F"/>
    <w:rsid w:val="0029639D"/>
    <w:rsid w:val="00326F90"/>
    <w:rsid w:val="00AA1D8D"/>
    <w:rsid w:val="00B47730"/>
    <w:rsid w:val="00BA026A"/>
    <w:rsid w:val="00CB0664"/>
    <w:rsid w:val="00E203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3F6298"/>
  <w14:defaultImageDpi w14:val="300"/>
  <w15:docId w15:val="{981138FE-0101-4AF0-929E-0838E9B7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hAnsi="微软雅黑"/>
      <w:color w:val="33333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1632</Words>
  <Characters>2008</Characters>
  <Application>Microsoft Office Word</Application>
  <DocSecurity>0</DocSecurity>
  <Lines>87</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思远 武</cp:lastModifiedBy>
  <cp:revision>3</cp:revision>
  <dcterms:created xsi:type="dcterms:W3CDTF">2013-12-23T23:15:00Z</dcterms:created>
  <dcterms:modified xsi:type="dcterms:W3CDTF">2026-06-10T13:42:00Z</dcterms:modified>
  <cp:category/>
</cp:coreProperties>
</file>