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管理员端 App — 服务商管理</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服务商管理页面是平台管理员在移动端处理服务商入驻审核和日常管理的核心页面。页面以「子 tab 切换 + 卡片列表 + 内联详情展开」的结构呈现，分为"入驻审核"和"服务商列表"两个子视图。管理员可在此审核新入驻申请、查看已入驻服务商详情、执行暂停接单/恢复营业等操作。该页面解决了管理员"需要随时随地处理服务商入驻申请和查看服务商状态"的移动端场景需求。---</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服务商入驻审核、服务商状态管理</w:t>
            </w:r>
          </w:p>
        </w:tc>
        <w:tc>
          <w:tcPr>
            <w:tcW w:type="dxa" w:w="2160"/>
          </w:tcPr>
          <w:p>
            <w:r>
              <w:rPr>
                <w:rFonts w:ascii="宋体" w:hAnsi="宋体" w:eastAsia="宋体"/>
                <w:sz w:val="21"/>
              </w:rPr>
              <w:t>执行审核通过/驳回/补充资料、暂停/恢复营业</w:t>
            </w:r>
          </w:p>
        </w:tc>
        <w:tc>
          <w:tcPr>
            <w:tcW w:type="dxa" w:w="2160"/>
          </w:tcPr>
          <w:p>
            <w:r>
              <w:rPr>
                <w:rFonts w:ascii="宋体" w:hAnsi="宋体" w:eastAsia="宋体"/>
                <w:sz w:val="21"/>
              </w:rPr>
              <w:t>对服务商资质和经营状况进行最终决策</w:t>
            </w:r>
          </w:p>
        </w:tc>
      </w:tr>
      <w:tr>
        <w:tc>
          <w:tcPr>
            <w:tcW w:type="dxa" w:w="2160"/>
          </w:tcPr>
          <w:p>
            <w:r>
              <w:rPr>
                <w:rFonts w:ascii="宋体" w:hAnsi="宋体" w:eastAsia="宋体"/>
                <w:sz w:val="21"/>
              </w:rPr>
              <w:t>平台运营</w:t>
            </w:r>
          </w:p>
        </w:tc>
        <w:tc>
          <w:tcPr>
            <w:tcW w:type="dxa" w:w="2160"/>
          </w:tcPr>
          <w:p>
            <w:r>
              <w:rPr>
                <w:rFonts w:ascii="宋体" w:hAnsi="宋体" w:eastAsia="宋体"/>
                <w:sz w:val="21"/>
              </w:rPr>
              <w:t>服务商资料复核、经营数据查看</w:t>
            </w:r>
          </w:p>
        </w:tc>
        <w:tc>
          <w:tcPr>
            <w:tcW w:type="dxa" w:w="2160"/>
          </w:tcPr>
          <w:p>
            <w:r>
              <w:rPr>
                <w:rFonts w:ascii="宋体" w:hAnsi="宋体" w:eastAsia="宋体"/>
                <w:sz w:val="21"/>
              </w:rPr>
              <w:t>查看服务商详情、执行补充资料</w:t>
            </w:r>
          </w:p>
        </w:tc>
        <w:tc>
          <w:tcPr>
            <w:tcW w:type="dxa" w:w="2160"/>
          </w:tcPr>
          <w:p>
            <w:r>
              <w:rPr>
                <w:rFonts w:ascii="宋体" w:hAnsi="宋体" w:eastAsia="宋体"/>
                <w:sz w:val="21"/>
              </w:rPr>
              <w:t>协助审核服务商资质，跟踪经营表现</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本页面核心功能包括：入驻审核列表查看、服务商列表查看、单服务商详情展开、入驻审核操作（通过/补充资料/驳回）、服务商状态管理（暂停接单/恢复营业）、服务商详情页查看。</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**子 tab 切换**：在"入驻审核"和"服务商列表"之间切换。</w:t>
      </w:r>
    </w:p>
    <w:p>
      <w:pPr>
        <w:spacing w:line="400" w:lineRule="exact" w:after="120"/>
        <w:ind w:firstLine="420"/>
      </w:pPr>
      <w:r>
        <w:rPr>
          <w:rFonts w:ascii="宋体" w:hAnsi="宋体" w:eastAsia="宋体"/>
          <w:b w:val="0"/>
          <w:sz w:val="21"/>
        </w:rPr>
        <w:t>· **入驻审核列表**：展示所有审核状态非"已通过"的服务商申请。</w:t>
      </w:r>
    </w:p>
    <w:p>
      <w:pPr>
        <w:spacing w:line="400" w:lineRule="exact" w:after="120"/>
        <w:ind w:firstLine="420"/>
      </w:pPr>
      <w:r>
        <w:rPr>
          <w:rFonts w:ascii="宋体" w:hAnsi="宋体" w:eastAsia="宋体"/>
          <w:b w:val="0"/>
          <w:sz w:val="21"/>
        </w:rPr>
        <w:t>· **服务商列表**：展示所有审核状态为"已通过"的服务商。</w:t>
      </w:r>
    </w:p>
    <w:p>
      <w:pPr>
        <w:spacing w:line="400" w:lineRule="exact" w:after="120"/>
        <w:ind w:firstLine="420"/>
      </w:pPr>
      <w:r>
        <w:rPr>
          <w:rFonts w:ascii="宋体" w:hAnsi="宋体" w:eastAsia="宋体"/>
          <w:b w:val="0"/>
          <w:sz w:val="21"/>
        </w:rPr>
        <w:t>· **卡片选中与详情展开**：点击卡片选中服务商，下方内联展开详情面板。</w:t>
      </w:r>
    </w:p>
    <w:p>
      <w:pPr>
        <w:spacing w:line="400" w:lineRule="exact" w:after="120"/>
        <w:ind w:firstLine="420"/>
      </w:pPr>
      <w:r>
        <w:rPr>
          <w:rFonts w:ascii="宋体" w:hAnsi="宋体" w:eastAsia="宋体"/>
          <w:b w:val="0"/>
          <w:sz w:val="21"/>
        </w:rPr>
        <w:t>· **入驻审核操作**：对审核中的服务商执行通过、补充资料或驳回。</w:t>
      </w:r>
    </w:p>
    <w:p>
      <w:pPr>
        <w:spacing w:line="400" w:lineRule="exact" w:after="120"/>
        <w:ind w:firstLine="420"/>
      </w:pPr>
      <w:r>
        <w:rPr>
          <w:rFonts w:ascii="宋体" w:hAnsi="宋体" w:eastAsia="宋体"/>
          <w:b w:val="0"/>
          <w:sz w:val="21"/>
        </w:rPr>
        <w:t>· **服务商状态切换**：对已入驻服务商执行暂停接单或恢复营业。</w:t>
      </w:r>
    </w:p>
    <w:p>
      <w:pPr>
        <w:spacing w:line="400" w:lineRule="exact" w:after="120"/>
        <w:ind w:firstLine="420"/>
      </w:pPr>
      <w:r>
        <w:rPr>
          <w:rFonts w:ascii="宋体" w:hAnsi="宋体" w:eastAsia="宋体"/>
          <w:b w:val="0"/>
          <w:sz w:val="21"/>
        </w:rPr>
        <w:t>· **服务商详情页**：点击进入完整详情页，查看基础信息、资质信息和经营状态。</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服务商入驻审核、服务商状态管理</w:t>
            </w:r>
          </w:p>
        </w:tc>
        <w:tc>
          <w:tcPr>
            <w:tcW w:type="dxa" w:w="2160"/>
          </w:tcPr>
          <w:p>
            <w:r>
              <w:rPr>
                <w:rFonts w:ascii="宋体" w:hAnsi="宋体" w:eastAsia="宋体"/>
                <w:sz w:val="21"/>
              </w:rPr>
              <w:t>执行审核通过/驳回/补充资料、暂停/恢复营业</w:t>
            </w:r>
          </w:p>
        </w:tc>
        <w:tc>
          <w:tcPr>
            <w:tcW w:type="dxa" w:w="2160"/>
          </w:tcPr>
          <w:p>
            <w:r>
              <w:rPr>
                <w:rFonts w:ascii="宋体" w:hAnsi="宋体" w:eastAsia="宋体"/>
                <w:sz w:val="21"/>
              </w:rPr>
              <w:t>对服务商资质和经营状况进行最终决策</w:t>
            </w:r>
          </w:p>
        </w:tc>
      </w:tr>
      <w:tr>
        <w:tc>
          <w:tcPr>
            <w:tcW w:type="dxa" w:w="2160"/>
          </w:tcPr>
          <w:p>
            <w:r>
              <w:rPr>
                <w:rFonts w:ascii="宋体" w:hAnsi="宋体" w:eastAsia="宋体"/>
                <w:sz w:val="21"/>
              </w:rPr>
              <w:t>平台运营</w:t>
            </w:r>
          </w:p>
        </w:tc>
        <w:tc>
          <w:tcPr>
            <w:tcW w:type="dxa" w:w="2160"/>
          </w:tcPr>
          <w:p>
            <w:r>
              <w:rPr>
                <w:rFonts w:ascii="宋体" w:hAnsi="宋体" w:eastAsia="宋体"/>
                <w:sz w:val="21"/>
              </w:rPr>
              <w:t>服务商资料复核、经营数据查看</w:t>
            </w:r>
          </w:p>
        </w:tc>
        <w:tc>
          <w:tcPr>
            <w:tcW w:type="dxa" w:w="2160"/>
          </w:tcPr>
          <w:p>
            <w:r>
              <w:rPr>
                <w:rFonts w:ascii="宋体" w:hAnsi="宋体" w:eastAsia="宋体"/>
                <w:sz w:val="21"/>
              </w:rPr>
              <w:t>查看服务商详情、执行补充资料</w:t>
            </w:r>
          </w:p>
        </w:tc>
        <w:tc>
          <w:tcPr>
            <w:tcW w:type="dxa" w:w="2160"/>
          </w:tcPr>
          <w:p>
            <w:r>
              <w:rPr>
                <w:rFonts w:ascii="宋体" w:hAnsi="宋体" w:eastAsia="宋体"/>
                <w:sz w:val="21"/>
              </w:rPr>
              <w:t>协助审核服务商资质，跟踪经营表现</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服务商列表</w:t>
            </w:r>
          </w:p>
        </w:tc>
        <w:tc>
          <w:tcPr>
            <w:tcW w:type="dxa" w:w="2880"/>
          </w:tcPr>
          <w:p>
            <w:r>
              <w:rPr>
                <w:rFonts w:ascii="宋体" w:hAnsi="宋体" w:eastAsia="宋体"/>
                <w:sz w:val="21"/>
              </w:rPr>
              <w:t>`providers`</w:t>
            </w:r>
          </w:p>
        </w:tc>
        <w:tc>
          <w:tcPr>
            <w:tcW w:type="dxa" w:w="2880"/>
          </w:tcPr>
          <w:p>
            <w:r>
              <w:rPr>
                <w:rFonts w:ascii="宋体" w:hAnsi="宋体" w:eastAsia="宋体"/>
                <w:sz w:val="21"/>
              </w:rPr>
              <w:t>`mock-data.js`</w:t>
            </w:r>
          </w:p>
        </w:tc>
      </w:tr>
      <w:tr>
        <w:tc>
          <w:tcPr>
            <w:tcW w:type="dxa" w:w="2880"/>
          </w:tcPr>
          <w:p>
            <w:r>
              <w:rPr>
                <w:rFonts w:ascii="宋体" w:hAnsi="宋体" w:eastAsia="宋体"/>
                <w:sz w:val="21"/>
              </w:rPr>
              <w:t>服务商名称</w:t>
            </w:r>
          </w:p>
        </w:tc>
        <w:tc>
          <w:tcPr>
            <w:tcW w:type="dxa" w:w="2880"/>
          </w:tcPr>
          <w:p>
            <w:r>
              <w:rPr>
                <w:rFonts w:ascii="宋体" w:hAnsi="宋体" w:eastAsia="宋体"/>
                <w:sz w:val="21"/>
              </w:rPr>
              <w:t>`item.name`</w:t>
            </w:r>
          </w:p>
        </w:tc>
        <w:tc>
          <w:tcPr>
            <w:tcW w:type="dxa" w:w="2880"/>
          </w:tcPr>
          <w:p>
            <w:r>
              <w:rPr>
                <w:rFonts w:ascii="宋体" w:hAnsi="宋体" w:eastAsia="宋体"/>
                <w:sz w:val="21"/>
              </w:rPr>
              <w:t>`mock-data.js`</w:t>
            </w:r>
          </w:p>
        </w:tc>
      </w:tr>
      <w:tr>
        <w:tc>
          <w:tcPr>
            <w:tcW w:type="dxa" w:w="2880"/>
          </w:tcPr>
          <w:p>
            <w:r>
              <w:rPr>
                <w:rFonts w:ascii="宋体" w:hAnsi="宋体" w:eastAsia="宋体"/>
                <w:sz w:val="21"/>
              </w:rPr>
              <w:t>审核状态</w:t>
            </w:r>
          </w:p>
        </w:tc>
        <w:tc>
          <w:tcPr>
            <w:tcW w:type="dxa" w:w="2880"/>
          </w:tcPr>
          <w:p>
            <w:r>
              <w:rPr>
                <w:rFonts w:ascii="宋体" w:hAnsi="宋体" w:eastAsia="宋体"/>
                <w:sz w:val="21"/>
              </w:rPr>
              <w:t>`item.auditStatus`</w:t>
            </w:r>
          </w:p>
        </w:tc>
        <w:tc>
          <w:tcPr>
            <w:tcW w:type="dxa" w:w="2880"/>
          </w:tcPr>
          <w:p>
            <w:r>
              <w:rPr>
                <w:rFonts w:ascii="宋体" w:hAnsi="宋体" w:eastAsia="宋体"/>
                <w:sz w:val="21"/>
              </w:rPr>
              <w:t>`mock-data.js`</w:t>
            </w:r>
          </w:p>
        </w:tc>
      </w:tr>
      <w:tr>
        <w:tc>
          <w:tcPr>
            <w:tcW w:type="dxa" w:w="2880"/>
          </w:tcPr>
          <w:p>
            <w:r>
              <w:rPr>
                <w:rFonts w:ascii="宋体" w:hAnsi="宋体" w:eastAsia="宋体"/>
                <w:sz w:val="21"/>
              </w:rPr>
              <w:t>营业状态</w:t>
            </w:r>
          </w:p>
        </w:tc>
        <w:tc>
          <w:tcPr>
            <w:tcW w:type="dxa" w:w="2880"/>
          </w:tcPr>
          <w:p>
            <w:r>
              <w:rPr>
                <w:rFonts w:ascii="宋体" w:hAnsi="宋体" w:eastAsia="宋体"/>
                <w:sz w:val="21"/>
              </w:rPr>
              <w:t>`item.status`</w:t>
            </w:r>
          </w:p>
        </w:tc>
        <w:tc>
          <w:tcPr>
            <w:tcW w:type="dxa" w:w="2880"/>
          </w:tcPr>
          <w:p>
            <w:r>
              <w:rPr>
                <w:rFonts w:ascii="宋体" w:hAnsi="宋体" w:eastAsia="宋体"/>
                <w:sz w:val="21"/>
              </w:rPr>
              <w:t>`mock-data.js`</w:t>
            </w:r>
          </w:p>
        </w:tc>
      </w:tr>
      <w:tr>
        <w:tc>
          <w:tcPr>
            <w:tcW w:type="dxa" w:w="2880"/>
          </w:tcPr>
          <w:p>
            <w:r>
              <w:rPr>
                <w:rFonts w:ascii="宋体" w:hAnsi="宋体" w:eastAsia="宋体"/>
                <w:sz w:val="21"/>
              </w:rPr>
              <w:t>联系人</w:t>
            </w:r>
          </w:p>
        </w:tc>
        <w:tc>
          <w:tcPr>
            <w:tcW w:type="dxa" w:w="2880"/>
          </w:tcPr>
          <w:p>
            <w:r>
              <w:rPr>
                <w:rFonts w:ascii="宋体" w:hAnsi="宋体" w:eastAsia="宋体"/>
                <w:sz w:val="21"/>
              </w:rPr>
              <w:t>`item.contact`</w:t>
            </w:r>
          </w:p>
        </w:tc>
        <w:tc>
          <w:tcPr>
            <w:tcW w:type="dxa" w:w="2880"/>
          </w:tcPr>
          <w:p>
            <w:r>
              <w:rPr>
                <w:rFonts w:ascii="宋体" w:hAnsi="宋体" w:eastAsia="宋体"/>
                <w:sz w:val="21"/>
              </w:rPr>
              <w:t>`mock-data.js`</w:t>
            </w:r>
          </w:p>
        </w:tc>
      </w:tr>
      <w:tr>
        <w:tc>
          <w:tcPr>
            <w:tcW w:type="dxa" w:w="2880"/>
          </w:tcPr>
          <w:p>
            <w:r>
              <w:rPr>
                <w:rFonts w:ascii="宋体" w:hAnsi="宋体" w:eastAsia="宋体"/>
                <w:sz w:val="21"/>
              </w:rPr>
              <w:t>区域信息</w:t>
            </w:r>
          </w:p>
        </w:tc>
        <w:tc>
          <w:tcPr>
            <w:tcW w:type="dxa" w:w="2880"/>
          </w:tcPr>
          <w:p>
            <w:r>
              <w:rPr>
                <w:rFonts w:ascii="宋体" w:hAnsi="宋体" w:eastAsia="宋体"/>
                <w:sz w:val="21"/>
              </w:rPr>
              <w:t>`item.city` / `item.district`</w:t>
            </w:r>
          </w:p>
        </w:tc>
        <w:tc>
          <w:tcPr>
            <w:tcW w:type="dxa" w:w="2880"/>
          </w:tcPr>
          <w:p>
            <w:r>
              <w:rPr>
                <w:rFonts w:ascii="宋体" w:hAnsi="宋体" w:eastAsia="宋体"/>
                <w:sz w:val="21"/>
              </w:rPr>
              <w:t>`mock-data.js`</w:t>
            </w:r>
          </w:p>
        </w:tc>
      </w:tr>
      <w:tr>
        <w:tc>
          <w:tcPr>
            <w:tcW w:type="dxa" w:w="2880"/>
          </w:tcPr>
          <w:p>
            <w:r>
              <w:rPr>
                <w:rFonts w:ascii="宋体" w:hAnsi="宋体" w:eastAsia="宋体"/>
                <w:sz w:val="21"/>
              </w:rPr>
              <w:t>主营能力</w:t>
            </w:r>
          </w:p>
        </w:tc>
        <w:tc>
          <w:tcPr>
            <w:tcW w:type="dxa" w:w="2880"/>
          </w:tcPr>
          <w:p>
            <w:r>
              <w:rPr>
                <w:rFonts w:ascii="宋体" w:hAnsi="宋体" w:eastAsia="宋体"/>
                <w:sz w:val="21"/>
              </w:rPr>
              <w:t>`item.specialties`</w:t>
            </w:r>
          </w:p>
        </w:tc>
        <w:tc>
          <w:tcPr>
            <w:tcW w:type="dxa" w:w="2880"/>
          </w:tcPr>
          <w:p>
            <w:r>
              <w:rPr>
                <w:rFonts w:ascii="宋体" w:hAnsi="宋体" w:eastAsia="宋体"/>
                <w:sz w:val="21"/>
              </w:rPr>
              <w:t>`mock-data.js`</w:t>
            </w:r>
          </w:p>
        </w:tc>
      </w:tr>
      <w:tr>
        <w:tc>
          <w:tcPr>
            <w:tcW w:type="dxa" w:w="2880"/>
          </w:tcPr>
          <w:p>
            <w:r>
              <w:rPr>
                <w:rFonts w:ascii="宋体" w:hAnsi="宋体" w:eastAsia="宋体"/>
                <w:sz w:val="21"/>
              </w:rPr>
              <w:t>营业执照</w:t>
            </w:r>
          </w:p>
        </w:tc>
        <w:tc>
          <w:tcPr>
            <w:tcW w:type="dxa" w:w="2880"/>
          </w:tcPr>
          <w:p>
            <w:r>
              <w:rPr>
                <w:rFonts w:ascii="宋体" w:hAnsi="宋体" w:eastAsia="宋体"/>
                <w:sz w:val="21"/>
              </w:rPr>
              <w:t>`item.license`</w:t>
            </w:r>
          </w:p>
        </w:tc>
        <w:tc>
          <w:tcPr>
            <w:tcW w:type="dxa" w:w="2880"/>
          </w:tcPr>
          <w:p>
            <w:r>
              <w:rPr>
                <w:rFonts w:ascii="宋体" w:hAnsi="宋体" w:eastAsia="宋体"/>
                <w:sz w:val="21"/>
              </w:rPr>
              <w:t>`mock-data.js`</w:t>
            </w:r>
          </w:p>
        </w:tc>
      </w:tr>
      <w:tr>
        <w:tc>
          <w:tcPr>
            <w:tcW w:type="dxa" w:w="2880"/>
          </w:tcPr>
          <w:p>
            <w:r>
              <w:rPr>
                <w:rFonts w:ascii="宋体" w:hAnsi="宋体" w:eastAsia="宋体"/>
                <w:sz w:val="21"/>
              </w:rPr>
              <w:t>处理轨迹</w:t>
            </w:r>
          </w:p>
        </w:tc>
        <w:tc>
          <w:tcPr>
            <w:tcW w:type="dxa" w:w="2880"/>
          </w:tcPr>
          <w:p>
            <w:r>
              <w:rPr>
                <w:rFonts w:ascii="宋体" w:hAnsi="宋体" w:eastAsia="宋体"/>
                <w:sz w:val="21"/>
              </w:rPr>
              <w:t>`item.timeline`</w:t>
            </w:r>
          </w:p>
        </w:tc>
        <w:tc>
          <w:tcPr>
            <w:tcW w:type="dxa" w:w="2880"/>
          </w:tcPr>
          <w:p>
            <w:r>
              <w:rPr>
                <w:rFonts w:ascii="宋体" w:hAnsi="宋体" w:eastAsia="宋体"/>
                <w:sz w:val="21"/>
              </w:rPr>
              <w:t>`mock-data.js`</w:t>
            </w:r>
          </w:p>
        </w:tc>
      </w:tr>
      <w:tr>
        <w:tc>
          <w:tcPr>
            <w:tcW w:type="dxa" w:w="2880"/>
          </w:tcPr>
          <w:p>
            <w:r>
              <w:rPr>
                <w:rFonts w:ascii="宋体" w:hAnsi="宋体" w:eastAsia="宋体"/>
                <w:sz w:val="21"/>
              </w:rPr>
              <w:t>经营统计</w:t>
            </w:r>
          </w:p>
        </w:tc>
        <w:tc>
          <w:tcPr>
            <w:tcW w:type="dxa" w:w="2880"/>
          </w:tcPr>
          <w:p>
            <w:r>
              <w:rPr>
                <w:rFonts w:ascii="宋体" w:hAnsi="宋体" w:eastAsia="宋体"/>
                <w:sz w:val="21"/>
              </w:rPr>
              <w:t>计算字段（`getAdminProviderBusinessStats`）</w:t>
            </w:r>
          </w:p>
        </w:tc>
        <w:tc>
          <w:tcPr>
            <w:tcW w:type="dxa" w:w="2880"/>
          </w:tcPr>
          <w:p>
            <w:r>
              <w:rPr>
                <w:rFonts w:ascii="宋体" w:hAnsi="宋体" w:eastAsia="宋体"/>
                <w:sz w:val="21"/>
              </w:rPr>
              <w:t>`mobile-app.js`</w:t>
            </w:r>
          </w:p>
        </w:tc>
      </w:tr>
      <w:tr>
        <w:tc>
          <w:tcPr>
            <w:tcW w:type="dxa" w:w="2880"/>
          </w:tcPr>
          <w:p>
            <w:r>
              <w:rPr>
                <w:rFonts w:ascii="宋体" w:hAnsi="宋体" w:eastAsia="宋体"/>
                <w:sz w:val="21"/>
              </w:rPr>
              <w:t>关联订单</w:t>
            </w:r>
          </w:p>
        </w:tc>
        <w:tc>
          <w:tcPr>
            <w:tcW w:type="dxa" w:w="2880"/>
          </w:tcPr>
          <w:p>
            <w:r>
              <w:rPr>
                <w:rFonts w:ascii="宋体" w:hAnsi="宋体" w:eastAsia="宋体"/>
                <w:sz w:val="21"/>
              </w:rPr>
              <w:t>`orders` + `providerOrderMocks`</w:t>
            </w:r>
          </w:p>
        </w:tc>
        <w:tc>
          <w:tcPr>
            <w:tcW w:type="dxa" w:w="2880"/>
          </w:tcPr>
          <w:p>
            <w:r>
              <w:rPr>
                <w:rFonts w:ascii="宋体" w:hAnsi="宋体" w:eastAsia="宋体"/>
                <w:sz w:val="21"/>
              </w:rPr>
              <w:t>`mock-data.js`</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子 tab 切换</w:t>
      </w:r>
    </w:p>
    <w:p>
      <w:pPr>
        <w:spacing w:line="400" w:lineRule="exact"/>
        <w:ind w:firstLine="420"/>
      </w:pPr>
      <w:r>
        <w:rPr>
          <w:rFonts w:ascii="宋体" w:hAnsi="宋体" w:eastAsia="宋体"/>
          <w:b/>
          <w:sz w:val="21"/>
        </w:rPr>
        <w:t>用户场景：</w:t>
      </w:r>
      <w:r>
        <w:rPr>
          <w:rFonts w:ascii="宋体" w:hAnsi="宋体" w:eastAsia="宋体"/>
          <w:sz w:val="21"/>
        </w:rPr>
        <w:t>平台管理员需要在新入驻审核和已入驻服务商管理之间切换。</w:t>
      </w:r>
    </w:p>
    <w:p>
      <w:pPr>
        <w:spacing w:line="400" w:lineRule="exact"/>
        <w:ind w:firstLine="420"/>
      </w:pPr>
      <w:r>
        <w:rPr>
          <w:rFonts w:ascii="宋体" w:hAnsi="宋体" w:eastAsia="宋体"/>
          <w:b/>
          <w:sz w:val="21"/>
        </w:rPr>
        <w:t>前置条件：</w:t>
      </w:r>
      <w:r>
        <w:rPr>
          <w:rFonts w:ascii="宋体" w:hAnsi="宋体" w:eastAsia="宋体"/>
          <w:sz w:val="21"/>
        </w:rPr>
        <w:t>- 已进入"服务商"tab。</w:t>
      </w:r>
    </w:p>
    <w:p>
      <w:pPr>
        <w:spacing w:line="400" w:lineRule="exact"/>
        <w:ind w:firstLine="420"/>
      </w:pPr>
      <w:r>
        <w:rPr>
          <w:rFonts w:ascii="宋体" w:hAnsi="宋体" w:eastAsia="宋体"/>
          <w:b/>
          <w:sz w:val="21"/>
        </w:rPr>
        <w:t>需求描述：</w:t>
      </w:r>
      <w:r>
        <w:rPr>
          <w:rFonts w:ascii="宋体" w:hAnsi="宋体" w:eastAsia="宋体"/>
          <w:sz w:val="21"/>
        </w:rPr>
        <w:t>- 页面顶部展示子 tab 切换栏：   - `audit` — 入驻审核   - `list` — 服务商列表 - 当前激活的 tab 高亮显示。 - 切换 tab 时，下方列表重新渲染，已选中的服务商重置。</w:t>
      </w:r>
    </w:p>
    <w:p>
      <w:pPr>
        <w:spacing w:line="400" w:lineRule="exact"/>
        <w:ind w:firstLine="420"/>
      </w:pPr>
      <w:r>
        <w:rPr>
          <w:rFonts w:ascii="宋体" w:hAnsi="宋体" w:eastAsia="宋体"/>
          <w:b/>
          <w:sz w:val="21"/>
        </w:rPr>
        <w:t>后置条件：</w:t>
      </w:r>
      <w:r>
        <w:rPr>
          <w:rFonts w:ascii="宋体" w:hAnsi="宋体" w:eastAsia="宋体"/>
          <w:sz w:val="21"/>
        </w:rPr>
        <w:t>- 管理员可在审核和列表两个视图间切换。</w:t>
      </w:r>
    </w:p>
    <w:p>
      <w:pPr>
        <w:spacing w:line="400" w:lineRule="exact"/>
        <w:ind w:firstLine="420"/>
      </w:pPr>
      <w:r>
        <w:rPr>
          <w:rFonts w:ascii="宋体" w:hAnsi="宋体" w:eastAsia="宋体"/>
          <w:b/>
          <w:sz w:val="21"/>
        </w:rPr>
        <w:t>补充说明：</w:t>
      </w:r>
      <w:r>
        <w:rPr>
          <w:rFonts w:ascii="宋体" w:hAnsi="宋体" w:eastAsia="宋体"/>
          <w:sz w:val="21"/>
        </w:rPr>
        <w:t>- 默认子 tab 为 `audit`（入驻审核）。 - 切换逻辑通过 `state.subTab.providers` 控制。  ---</w:t>
      </w:r>
    </w:p>
    <w:p>
      <w:pPr>
        <w:pStyle w:val="Heading3"/>
        <w:jc w:val="left"/>
      </w:pPr>
      <w:r>
        <w:rPr>
          <w:rFonts w:ascii="宋体" w:hAnsi="宋体" w:eastAsia="宋体"/>
          <w:b/>
          <w:sz w:val="24"/>
        </w:rPr>
        <w:t>5.2 入驻审核列表</w:t>
      </w:r>
    </w:p>
    <w:p>
      <w:pPr>
        <w:spacing w:line="400" w:lineRule="exact"/>
        <w:ind w:firstLine="420"/>
      </w:pPr>
      <w:r>
        <w:rPr>
          <w:rFonts w:ascii="宋体" w:hAnsi="宋体" w:eastAsia="宋体"/>
          <w:b/>
          <w:sz w:val="21"/>
        </w:rPr>
        <w:t>用户场景：</w:t>
      </w:r>
      <w:r>
        <w:rPr>
          <w:rFonts w:ascii="宋体" w:hAnsi="宋体" w:eastAsia="宋体"/>
          <w:sz w:val="21"/>
        </w:rPr>
        <w:t>平台管理员需要查看所有待审核的服务商入驻申请，了解门店基本信息。</w:t>
      </w:r>
    </w:p>
    <w:p>
      <w:pPr>
        <w:spacing w:line="400" w:lineRule="exact"/>
        <w:ind w:firstLine="420"/>
      </w:pPr>
      <w:r>
        <w:rPr>
          <w:rFonts w:ascii="宋体" w:hAnsi="宋体" w:eastAsia="宋体"/>
          <w:b/>
          <w:sz w:val="21"/>
        </w:rPr>
        <w:t>前置条件：</w:t>
      </w:r>
      <w:r>
        <w:rPr>
          <w:rFonts w:ascii="宋体" w:hAnsi="宋体" w:eastAsia="宋体"/>
          <w:sz w:val="21"/>
        </w:rPr>
        <w:t>- 已切换至"入驻审核"子 tab。</w:t>
      </w:r>
    </w:p>
    <w:p>
      <w:pPr>
        <w:spacing w:line="400" w:lineRule="exact"/>
        <w:ind w:firstLine="420"/>
      </w:pPr>
      <w:r>
        <w:rPr>
          <w:rFonts w:ascii="宋体" w:hAnsi="宋体" w:eastAsia="宋体"/>
          <w:b/>
          <w:sz w:val="21"/>
        </w:rPr>
        <w:t>需求描述：</w:t>
      </w:r>
      <w:r>
        <w:rPr>
          <w:rFonts w:ascii="宋体" w:hAnsi="宋体" w:eastAsia="宋体"/>
          <w:sz w:val="21"/>
        </w:rPr>
        <w:t>- 以纵向卡片列表展示审核状态非"已通过"的服务商。 - 每张卡片包含：   -</w:t>
      </w:r>
    </w:p>
    <w:p>
      <w:pPr>
        <w:spacing w:line="400" w:lineRule="exact"/>
        <w:ind w:firstLine="420"/>
      </w:pPr>
      <w:r>
        <w:rPr>
          <w:rFonts w:ascii="宋体" w:hAnsi="宋体" w:eastAsia="宋体"/>
          <w:b/>
          <w:sz w:val="21"/>
        </w:rPr>
        <w:t>后置条件：</w:t>
      </w:r>
      <w:r>
        <w:rPr>
          <w:rFonts w:ascii="宋体" w:hAnsi="宋体" w:eastAsia="宋体"/>
          <w:sz w:val="21"/>
        </w:rPr>
        <w:t>- 管理员可浏览待审核服务商，选中后展开详情进行审核操作。</w:t>
      </w:r>
    </w:p>
    <w:p>
      <w:pPr>
        <w:spacing w:line="400" w:lineRule="exact"/>
        <w:ind w:firstLine="420"/>
      </w:pPr>
      <w:r>
        <w:rPr>
          <w:rFonts w:ascii="宋体" w:hAnsi="宋体" w:eastAsia="宋体"/>
          <w:b/>
          <w:sz w:val="21"/>
        </w:rPr>
        <w:t>补充说明：</w:t>
      </w:r>
      <w:r>
        <w:rPr>
          <w:rFonts w:ascii="宋体" w:hAnsi="宋体" w:eastAsia="宋体"/>
          <w:sz w:val="21"/>
        </w:rPr>
        <w:t>- 审核状态使用 `nAudit()` 函数映射为中文显示。 - 区域信息通过 `formatProviderRegion()` 函数格式化。  ---</w:t>
      </w:r>
    </w:p>
    <w:p>
      <w:pPr>
        <w:pStyle w:val="Heading3"/>
        <w:jc w:val="left"/>
      </w:pPr>
      <w:r>
        <w:rPr>
          <w:rFonts w:ascii="宋体" w:hAnsi="宋体" w:eastAsia="宋体"/>
          <w:b/>
          <w:sz w:val="24"/>
        </w:rPr>
        <w:t>5.3 服务商列表</w:t>
      </w:r>
    </w:p>
    <w:p>
      <w:pPr>
        <w:spacing w:line="400" w:lineRule="exact"/>
        <w:ind w:firstLine="420"/>
      </w:pPr>
      <w:r>
        <w:rPr>
          <w:rFonts w:ascii="宋体" w:hAnsi="宋体" w:eastAsia="宋体"/>
          <w:b/>
          <w:sz w:val="21"/>
        </w:rPr>
        <w:t>用户场景：</w:t>
      </w:r>
      <w:r>
        <w:rPr>
          <w:rFonts w:ascii="宋体" w:hAnsi="宋体" w:eastAsia="宋体"/>
          <w:sz w:val="21"/>
        </w:rPr>
        <w:t>平台管理员需要查看所有已入驻的服务商，了解其营业状态。</w:t>
      </w:r>
    </w:p>
    <w:p>
      <w:pPr>
        <w:spacing w:line="400" w:lineRule="exact"/>
        <w:ind w:firstLine="420"/>
      </w:pPr>
      <w:r>
        <w:rPr>
          <w:rFonts w:ascii="宋体" w:hAnsi="宋体" w:eastAsia="宋体"/>
          <w:b/>
          <w:sz w:val="21"/>
        </w:rPr>
        <w:t>前置条件：</w:t>
      </w:r>
      <w:r>
        <w:rPr>
          <w:rFonts w:ascii="宋体" w:hAnsi="宋体" w:eastAsia="宋体"/>
          <w:sz w:val="21"/>
        </w:rPr>
        <w:t>- 已切换至"服务商列表"子 tab。</w:t>
      </w:r>
    </w:p>
    <w:p>
      <w:pPr>
        <w:spacing w:line="400" w:lineRule="exact"/>
        <w:ind w:firstLine="420"/>
      </w:pPr>
      <w:r>
        <w:rPr>
          <w:rFonts w:ascii="宋体" w:hAnsi="宋体" w:eastAsia="宋体"/>
          <w:b/>
          <w:sz w:val="21"/>
        </w:rPr>
        <w:t>需求描述：</w:t>
      </w:r>
      <w:r>
        <w:rPr>
          <w:rFonts w:ascii="宋体" w:hAnsi="宋体" w:eastAsia="宋体"/>
          <w:sz w:val="21"/>
        </w:rPr>
        <w:t>- 以纵向卡片列表展示审核状态为"已通过"的服务商。 - 卡片结构与入驻审核列表类似，但状态标签展示的是营业状态（如"正常营业"、"暂停接单"）。 - 点击卡片可选中服务商，下方展开详情面板。 - 在列表中点击"查看详情"可进入完整详情页。</w:t>
      </w:r>
    </w:p>
    <w:p>
      <w:pPr>
        <w:spacing w:line="400" w:lineRule="exact"/>
        <w:ind w:firstLine="420"/>
      </w:pPr>
      <w:r>
        <w:rPr>
          <w:rFonts w:ascii="宋体" w:hAnsi="宋体" w:eastAsia="宋体"/>
          <w:b/>
          <w:sz w:val="21"/>
        </w:rPr>
        <w:t>后置条件：</w:t>
      </w:r>
      <w:r>
        <w:rPr>
          <w:rFonts w:ascii="宋体" w:hAnsi="宋体" w:eastAsia="宋体"/>
          <w:sz w:val="21"/>
        </w:rPr>
        <w:t>- 管理员可浏览已入驻服务商，执行状态管理或查看详情。</w:t>
      </w:r>
    </w:p>
    <w:p>
      <w:pPr>
        <w:spacing w:line="400" w:lineRule="exact"/>
        <w:ind w:firstLine="420"/>
      </w:pPr>
      <w:r>
        <w:rPr>
          <w:rFonts w:ascii="宋体" w:hAnsi="宋体" w:eastAsia="宋体"/>
          <w:b/>
          <w:sz w:val="21"/>
        </w:rPr>
        <w:t>补充说明：</w:t>
      </w:r>
      <w:r>
        <w:rPr>
          <w:rFonts w:ascii="宋体" w:hAnsi="宋体" w:eastAsia="宋体"/>
          <w:sz w:val="21"/>
        </w:rPr>
        <w:t>- 营业状态使用 `nProvider()` 函数映射。  ---</w:t>
      </w:r>
    </w:p>
    <w:p>
      <w:pPr>
        <w:pStyle w:val="Heading3"/>
        <w:jc w:val="left"/>
      </w:pPr>
      <w:r>
        <w:rPr>
          <w:rFonts w:ascii="宋体" w:hAnsi="宋体" w:eastAsia="宋体"/>
          <w:b/>
          <w:sz w:val="24"/>
        </w:rPr>
        <w:t>5.4 单服务商详情展开（入驻审核）</w:t>
      </w:r>
    </w:p>
    <w:p>
      <w:pPr>
        <w:spacing w:line="400" w:lineRule="exact"/>
        <w:ind w:firstLine="420"/>
      </w:pPr>
      <w:r>
        <w:rPr>
          <w:rFonts w:ascii="宋体" w:hAnsi="宋体" w:eastAsia="宋体"/>
          <w:b/>
          <w:sz w:val="21"/>
        </w:rPr>
        <w:t>用户场景：</w:t>
      </w:r>
      <w:r>
        <w:rPr>
          <w:rFonts w:ascii="宋体" w:hAnsi="宋体" w:eastAsia="宋体"/>
          <w:sz w:val="21"/>
        </w:rPr>
        <w:t>平台管理员需要查看某个待审核服务商的详细资料，决定是否通过审核。</w:t>
      </w:r>
    </w:p>
    <w:p>
      <w:pPr>
        <w:spacing w:line="400" w:lineRule="exact"/>
        <w:ind w:firstLine="420"/>
      </w:pPr>
      <w:r>
        <w:rPr>
          <w:rFonts w:ascii="宋体" w:hAnsi="宋体" w:eastAsia="宋体"/>
          <w:b/>
          <w:sz w:val="21"/>
        </w:rPr>
        <w:t>前置条件：</w:t>
      </w:r>
      <w:r>
        <w:rPr>
          <w:rFonts w:ascii="宋体" w:hAnsi="宋体" w:eastAsia="宋体"/>
          <w:sz w:val="21"/>
        </w:rPr>
        <w:t>- 已在"入驻审核"列表中选中某服务商。</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选中卡片下方内联展开详情面板（`renderAdminProviderDetail`）：   -</w:t>
      </w:r>
    </w:p>
    <w:p>
      <w:pPr>
        <w:spacing w:line="400" w:lineRule="exact"/>
        <w:ind w:firstLine="420"/>
      </w:pPr>
      <w:r>
        <w:rPr>
          <w:rFonts w:ascii="宋体" w:hAnsi="宋体" w:eastAsia="宋体"/>
          <w:b/>
          <w:sz w:val="21"/>
        </w:rPr>
        <w:t>后置条件：</w:t>
      </w:r>
      <w:r>
        <w:rPr>
          <w:rFonts w:ascii="宋体" w:hAnsi="宋体" w:eastAsia="宋体"/>
          <w:sz w:val="21"/>
        </w:rPr>
        <w:t>- 管理员可查看完整资料并执行审核操作。</w:t>
      </w:r>
    </w:p>
    <w:p>
      <w:pPr>
        <w:spacing w:line="400" w:lineRule="exact"/>
        <w:ind w:firstLine="420"/>
      </w:pPr>
      <w:r>
        <w:rPr>
          <w:rFonts w:ascii="宋体" w:hAnsi="宋体" w:eastAsia="宋体"/>
          <w:b/>
          <w:sz w:val="21"/>
        </w:rPr>
        <w:t>补充说明：</w:t>
      </w:r>
      <w:r>
        <w:rPr>
          <w:rFonts w:ascii="宋体" w:hAnsi="宋体" w:eastAsia="宋体"/>
          <w:sz w:val="21"/>
        </w:rPr>
        <w:t>- 资料清单为占位设计，实际生产环境应支持点击预览上传的文件。 - 处理轨迹来自 `item.timeline` 数组。  ---</w:t>
      </w:r>
    </w:p>
    <w:p>
      <w:pPr>
        <w:pStyle w:val="Heading3"/>
        <w:jc w:val="left"/>
      </w:pPr>
      <w:r>
        <w:rPr>
          <w:rFonts w:ascii="宋体" w:hAnsi="宋体" w:eastAsia="宋体"/>
          <w:b/>
          <w:sz w:val="24"/>
        </w:rPr>
        <w:t>5.5 单服务商详情展开（服务商列表）</w:t>
      </w:r>
    </w:p>
    <w:p>
      <w:pPr>
        <w:spacing w:line="400" w:lineRule="exact"/>
        <w:ind w:firstLine="420"/>
      </w:pPr>
      <w:r>
        <w:rPr>
          <w:rFonts w:ascii="宋体" w:hAnsi="宋体" w:eastAsia="宋体"/>
          <w:b/>
          <w:sz w:val="21"/>
        </w:rPr>
        <w:t>用户场景：</w:t>
      </w:r>
      <w:r>
        <w:rPr>
          <w:rFonts w:ascii="宋体" w:hAnsi="宋体" w:eastAsia="宋体"/>
          <w:sz w:val="21"/>
        </w:rPr>
        <w:t>平台管理员需要管理某个已入驻服务商的营业状态。</w:t>
      </w:r>
    </w:p>
    <w:p>
      <w:pPr>
        <w:spacing w:line="400" w:lineRule="exact"/>
        <w:ind w:firstLine="420"/>
      </w:pPr>
      <w:r>
        <w:rPr>
          <w:rFonts w:ascii="宋体" w:hAnsi="宋体" w:eastAsia="宋体"/>
          <w:b/>
          <w:sz w:val="21"/>
        </w:rPr>
        <w:t>前置条件：</w:t>
      </w:r>
      <w:r>
        <w:rPr>
          <w:rFonts w:ascii="宋体" w:hAnsi="宋体" w:eastAsia="宋体"/>
          <w:sz w:val="21"/>
        </w:rPr>
        <w:t>- 已在"服务商列表"中选中某服务商。</w:t>
      </w:r>
    </w:p>
    <w:p>
      <w:pPr>
        <w:spacing w:line="400" w:lineRule="exact"/>
        <w:ind w:firstLine="420"/>
      </w:pPr>
      <w:r>
        <w:rPr>
          <w:rFonts w:ascii="宋体" w:hAnsi="宋体" w:eastAsia="宋体"/>
          <w:b/>
          <w:sz w:val="21"/>
        </w:rPr>
        <w:t>需求描述：</w:t>
      </w:r>
      <w:r>
        <w:rPr>
          <w:rFonts w:ascii="宋体" w:hAnsi="宋体" w:eastAsia="宋体"/>
          <w:sz w:val="21"/>
        </w:rPr>
        <w:t>- 选中卡片下方内联展开详情面板：   -</w:t>
      </w:r>
    </w:p>
    <w:p>
      <w:pPr>
        <w:spacing w:line="400" w:lineRule="exact"/>
        <w:ind w:firstLine="420"/>
      </w:pPr>
      <w:r>
        <w:rPr>
          <w:rFonts w:ascii="宋体" w:hAnsi="宋体" w:eastAsia="宋体"/>
          <w:b/>
          <w:sz w:val="21"/>
        </w:rPr>
        <w:t>后置条件：</w:t>
      </w:r>
      <w:r>
        <w:rPr>
          <w:rFonts w:ascii="宋体" w:hAnsi="宋体" w:eastAsia="宋体"/>
          <w:sz w:val="21"/>
        </w:rPr>
        <w:t>- 管理员可执行暂停/恢复操作，或进入完整详情页。</w:t>
      </w:r>
    </w:p>
    <w:p>
      <w:pPr>
        <w:spacing w:line="400" w:lineRule="exact"/>
        <w:ind w:firstLine="420"/>
      </w:pPr>
      <w:r>
        <w:rPr>
          <w:rFonts w:ascii="宋体" w:hAnsi="宋体" w:eastAsia="宋体"/>
          <w:b/>
          <w:sz w:val="21"/>
        </w:rPr>
        <w:t>补充说明：</w:t>
      </w:r>
      <w:r>
        <w:rPr>
          <w:rFonts w:ascii="宋体" w:hAnsi="宋体" w:eastAsia="宋体"/>
          <w:sz w:val="21"/>
        </w:rPr>
        <w:t>- 按钮文案根据当前营业状态动态判断：若当前为"暂停接单"则显示"恢复营业"，否则显示"暂停接单"。  ---</w:t>
      </w:r>
    </w:p>
    <w:p>
      <w:pPr>
        <w:pStyle w:val="Heading3"/>
        <w:jc w:val="left"/>
      </w:pPr>
      <w:r>
        <w:rPr>
          <w:rFonts w:ascii="宋体" w:hAnsi="宋体" w:eastAsia="宋体"/>
          <w:b/>
          <w:sz w:val="24"/>
        </w:rPr>
        <w:t>5.6 入驻审核操作</w:t>
      </w:r>
    </w:p>
    <w:p>
      <w:pPr>
        <w:spacing w:line="400" w:lineRule="exact"/>
        <w:ind w:firstLine="420"/>
      </w:pPr>
      <w:r>
        <w:rPr>
          <w:rFonts w:ascii="宋体" w:hAnsi="宋体" w:eastAsia="宋体"/>
          <w:b/>
          <w:sz w:val="21"/>
        </w:rPr>
        <w:t>用户场景：</w:t>
      </w:r>
      <w:r>
        <w:rPr>
          <w:rFonts w:ascii="宋体" w:hAnsi="宋体" w:eastAsia="宋体"/>
          <w:sz w:val="21"/>
        </w:rPr>
        <w:t>平台管理员对待审核服务商做出审核决策。</w:t>
      </w:r>
    </w:p>
    <w:p>
      <w:pPr>
        <w:spacing w:line="400" w:lineRule="exact"/>
        <w:ind w:firstLine="420"/>
      </w:pPr>
      <w:r>
        <w:rPr>
          <w:rFonts w:ascii="宋体" w:hAnsi="宋体" w:eastAsia="宋体"/>
          <w:b/>
          <w:sz w:val="21"/>
        </w:rPr>
        <w:t>前置条件：</w:t>
      </w:r>
      <w:r>
        <w:rPr>
          <w:rFonts w:ascii="宋体" w:hAnsi="宋体" w:eastAsia="宋体"/>
          <w:sz w:val="21"/>
        </w:rPr>
        <w:t>- 已展开待审核服务商的详情面板。</w:t>
      </w:r>
    </w:p>
    <w:p>
      <w:pPr>
        <w:spacing w:line="400" w:lineRule="exact"/>
        <w:ind w:firstLine="420"/>
      </w:pPr>
      <w:r>
        <w:rPr>
          <w:rFonts w:ascii="宋体" w:hAnsi="宋体" w:eastAsia="宋体"/>
          <w:b/>
          <w:sz w:val="21"/>
        </w:rPr>
        <w:t>需求描述：</w:t>
      </w:r>
      <w:r>
        <w:rPr>
          <w:rFonts w:ascii="宋体" w:hAnsi="宋体" w:eastAsia="宋体"/>
          <w:sz w:val="21"/>
        </w:rPr>
        <w:t>-</w:t>
      </w:r>
    </w:p>
    <w:p>
      <w:pPr>
        <w:spacing w:line="400" w:lineRule="exact"/>
        <w:ind w:firstLine="420"/>
      </w:pPr>
      <w:r>
        <w:rPr>
          <w:rFonts w:ascii="宋体" w:hAnsi="宋体" w:eastAsia="宋体"/>
          <w:b/>
          <w:sz w:val="21"/>
        </w:rPr>
        <w:t>后置条件：</w:t>
      </w:r>
      <w:r>
        <w:rPr>
          <w:rFonts w:ascii="宋体" w:hAnsi="宋体" w:eastAsia="宋体"/>
          <w:sz w:val="21"/>
        </w:rPr>
        <w:t>- 审核结果更新到内存数据中，列表同步刷新。</w:t>
      </w:r>
    </w:p>
    <w:p>
      <w:pPr>
        <w:spacing w:line="400" w:lineRule="exact"/>
        <w:ind w:firstLine="420"/>
      </w:pPr>
      <w:r>
        <w:rPr>
          <w:rFonts w:ascii="宋体" w:hAnsi="宋体" w:eastAsia="宋体"/>
          <w:b/>
          <w:sz w:val="21"/>
        </w:rPr>
        <w:t>补充说明：</w:t>
      </w:r>
      <w:r>
        <w:rPr>
          <w:rFonts w:ascii="宋体" w:hAnsi="宋体" w:eastAsia="宋体"/>
          <w:sz w:val="21"/>
        </w:rPr>
        <w:t>- 当前为前端状态修改，无后端接口调用。 - 实际生产环境应调用审核接口，并通知服务商审核结果。  ---</w:t>
      </w:r>
    </w:p>
    <w:p>
      <w:pPr>
        <w:pStyle w:val="Heading3"/>
        <w:jc w:val="left"/>
      </w:pPr>
      <w:r>
        <w:rPr>
          <w:rFonts w:ascii="宋体" w:hAnsi="宋体" w:eastAsia="宋体"/>
          <w:b/>
          <w:sz w:val="24"/>
        </w:rPr>
        <w:t>5.7 服务商状态管理</w:t>
      </w:r>
    </w:p>
    <w:p>
      <w:pPr>
        <w:spacing w:line="400" w:lineRule="exact"/>
        <w:ind w:firstLine="420"/>
      </w:pPr>
      <w:r>
        <w:rPr>
          <w:rFonts w:ascii="宋体" w:hAnsi="宋体" w:eastAsia="宋体"/>
          <w:b/>
          <w:sz w:val="21"/>
        </w:rPr>
        <w:t>用户场景：</w:t>
      </w:r>
      <w:r>
        <w:rPr>
          <w:rFonts w:ascii="宋体" w:hAnsi="宋体" w:eastAsia="宋体"/>
          <w:sz w:val="21"/>
        </w:rPr>
        <w:t>平台管理员发现某服务商存在违规或季节性歇业，需要暂停其接单权限。</w:t>
      </w:r>
    </w:p>
    <w:p>
      <w:pPr>
        <w:spacing w:line="400" w:lineRule="exact"/>
        <w:ind w:firstLine="420"/>
      </w:pPr>
      <w:r>
        <w:rPr>
          <w:rFonts w:ascii="宋体" w:hAnsi="宋体" w:eastAsia="宋体"/>
          <w:b/>
          <w:sz w:val="21"/>
        </w:rPr>
        <w:t>前置条件：</w:t>
      </w:r>
      <w:r>
        <w:rPr>
          <w:rFonts w:ascii="宋体" w:hAnsi="宋体" w:eastAsia="宋体"/>
          <w:sz w:val="21"/>
        </w:rPr>
        <w:t>- 已展开已入驻服务商的详情面板。</w:t>
      </w:r>
    </w:p>
    <w:p>
      <w:pPr>
        <w:spacing w:line="400" w:lineRule="exact"/>
        <w:ind w:firstLine="420"/>
      </w:pPr>
      <w:r>
        <w:rPr>
          <w:rFonts w:ascii="宋体" w:hAnsi="宋体" w:eastAsia="宋体"/>
          <w:b/>
          <w:sz w:val="21"/>
        </w:rPr>
        <w:t>需求描述：</w:t>
      </w:r>
      <w:r>
        <w:rPr>
          <w:rFonts w:ascii="宋体" w:hAnsi="宋体" w:eastAsia="宋体"/>
          <w:sz w:val="21"/>
        </w:rPr>
        <w:t>- 点击"暂停接单"后，服务商状态更新为"暂停接单"。 - 点击"恢复营业"后，服务商状态更新为"正常营业"。 - 页面重新渲染，按钮文案同步切换。</w:t>
      </w:r>
    </w:p>
    <w:p>
      <w:pPr>
        <w:spacing w:line="400" w:lineRule="exact"/>
        <w:ind w:firstLine="420"/>
      </w:pPr>
      <w:r>
        <w:rPr>
          <w:rFonts w:ascii="宋体" w:hAnsi="宋体" w:eastAsia="宋体"/>
          <w:b/>
          <w:sz w:val="21"/>
        </w:rPr>
        <w:t>后置条件：</w:t>
      </w:r>
      <w:r>
        <w:rPr>
          <w:rFonts w:ascii="宋体" w:hAnsi="宋体" w:eastAsia="宋体"/>
          <w:sz w:val="21"/>
        </w:rPr>
        <w:t>- 服务商接单状态更新，影响用户端的服务商展示和下单。</w:t>
      </w:r>
    </w:p>
    <w:p>
      <w:pPr>
        <w:spacing w:line="400" w:lineRule="exact"/>
        <w:ind w:firstLine="420"/>
      </w:pPr>
      <w:r>
        <w:rPr>
          <w:rFonts w:ascii="宋体" w:hAnsi="宋体" w:eastAsia="宋体"/>
          <w:b/>
          <w:sz w:val="21"/>
        </w:rPr>
        <w:t>补充说明：</w:t>
      </w:r>
      <w:r>
        <w:rPr>
          <w:rFonts w:ascii="宋体" w:hAnsi="宋体" w:eastAsia="宋体"/>
          <w:sz w:val="21"/>
        </w:rPr>
        <w:t>- 状态切换为即时生效（前端内存），实际生产环境需同步到服务端。  ---</w:t>
      </w:r>
    </w:p>
    <w:p>
      <w:pPr>
        <w:pStyle w:val="Heading3"/>
        <w:jc w:val="left"/>
      </w:pPr>
      <w:r>
        <w:rPr>
          <w:rFonts w:ascii="宋体" w:hAnsi="宋体" w:eastAsia="宋体"/>
          <w:b/>
          <w:sz w:val="24"/>
        </w:rPr>
        <w:t>5.8 服务商详情页查看</w:t>
      </w:r>
    </w:p>
    <w:p>
      <w:pPr>
        <w:spacing w:line="400" w:lineRule="exact"/>
        <w:ind w:firstLine="420"/>
      </w:pPr>
      <w:r>
        <w:rPr>
          <w:rFonts w:ascii="宋体" w:hAnsi="宋体" w:eastAsia="宋体"/>
          <w:b/>
          <w:sz w:val="21"/>
        </w:rPr>
        <w:t>用户场景：</w:t>
      </w:r>
      <w:r>
        <w:rPr>
          <w:rFonts w:ascii="宋体" w:hAnsi="宋体" w:eastAsia="宋体"/>
          <w:sz w:val="21"/>
        </w:rPr>
        <w:t>平台管理员需要深入了解某个服务商的完整信息，包括资质和经营数据。</w:t>
      </w:r>
    </w:p>
    <w:p>
      <w:pPr>
        <w:spacing w:line="400" w:lineRule="exact"/>
        <w:ind w:firstLine="420"/>
      </w:pPr>
      <w:r>
        <w:rPr>
          <w:rFonts w:ascii="宋体" w:hAnsi="宋体" w:eastAsia="宋体"/>
          <w:b/>
          <w:sz w:val="21"/>
        </w:rPr>
        <w:t>前置条件：</w:t>
      </w:r>
      <w:r>
        <w:rPr>
          <w:rFonts w:ascii="宋体" w:hAnsi="宋体" w:eastAsia="宋体"/>
          <w:sz w:val="21"/>
        </w:rPr>
        <w:t>- 已在"服务商列表"中选中某服务商，点击"查看详情"。</w:t>
      </w:r>
    </w:p>
    <w:p>
      <w:pPr>
        <w:spacing w:line="400" w:lineRule="exact"/>
        <w:ind w:firstLine="420"/>
      </w:pPr>
      <w:r>
        <w:rPr>
          <w:rFonts w:ascii="宋体" w:hAnsi="宋体" w:eastAsia="宋体"/>
          <w:b/>
          <w:sz w:val="21"/>
        </w:rPr>
        <w:t>需求描述：</w:t>
      </w:r>
      <w:r>
        <w:rPr>
          <w:rFonts w:ascii="宋体" w:hAnsi="宋体" w:eastAsia="宋体"/>
          <w:sz w:val="21"/>
        </w:rPr>
        <w:t>- 进入完整详情页（`renderAdminProviderDetailPage`），包含：   -</w:t>
      </w:r>
    </w:p>
    <w:p>
      <w:pPr>
        <w:spacing w:line="400" w:lineRule="exact"/>
        <w:ind w:firstLine="420"/>
      </w:pPr>
      <w:r>
        <w:rPr>
          <w:rFonts w:ascii="宋体" w:hAnsi="宋体" w:eastAsia="宋体"/>
          <w:b/>
          <w:sz w:val="21"/>
        </w:rPr>
        <w:t>后置条件：</w:t>
      </w:r>
      <w:r>
        <w:rPr>
          <w:rFonts w:ascii="宋体" w:hAnsi="宋体" w:eastAsia="宋体"/>
          <w:sz w:val="21"/>
        </w:rPr>
        <w:t>- 管理员可全面了解服务商的资质和经营状况。</w:t>
      </w:r>
    </w:p>
    <w:p>
      <w:pPr>
        <w:spacing w:line="400" w:lineRule="exact"/>
        <w:ind w:firstLine="420"/>
      </w:pPr>
      <w:r>
        <w:rPr>
          <w:rFonts w:ascii="宋体" w:hAnsi="宋体" w:eastAsia="宋体"/>
          <w:b/>
          <w:sz w:val="21"/>
        </w:rPr>
        <w:t>补充说明：</w:t>
      </w:r>
      <w:r>
        <w:rPr>
          <w:rFonts w:ascii="宋体" w:hAnsi="宋体" w:eastAsia="宋体"/>
          <w:sz w:val="21"/>
        </w:rPr>
        <w:t>- 经营数据通过 `getAdminProviderBusinessStats()` 函数计算，部分为模拟数据。 - 详情页通过 `state.adminProviderDetail.open` 控制显示/隐藏。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