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92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报名活动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录入报名项目目录，增加奖券选项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36537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录入奖品时，奖品名称与报名项目奖品名称相同，会依据奖品名称找到对应的奖品券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8346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录入完成后，在报名活动页面配置报名活动发送的奖券，这里和抽奖活动区别开来，避免活动之间有影响，抽奖活动奖券还是奖券管理中配置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40728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打开报名活动页面的自动生成，生成奖券时，要进行对应的活动选择</w:t>
      </w:r>
    </w:p>
    <w:p>
      <w:pPr>
        <w:numPr>
          <w:numId w:val="0"/>
        </w:numPr>
      </w:pPr>
      <w:r>
        <w:drawing>
          <wp:inline distT="0" distB="0" distL="114300" distR="114300">
            <wp:extent cx="5263515" cy="1766570"/>
            <wp:effectExtent l="0" t="0" r="133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生成后可以在报名活动页面，点击查看奖券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153285"/>
            <wp:effectExtent l="0" t="0" r="1206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查看奖券页面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9811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D157"/>
    <w:multiLevelType w:val="singleLevel"/>
    <w:tmpl w:val="5A1AD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1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</dc:creator>
  <cp:lastModifiedBy>让幸福到达</cp:lastModifiedBy>
  <dcterms:modified xsi:type="dcterms:W3CDTF">2017-11-26T14:46:58Z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