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1_Aca"/>
        <w:jc w:val="center"/>
      </w:pPr>
      <w:r>
        <w:t>Incident Card Summary</w:t>
      </w:r>
    </w:p>
    <w:p/>
    <w:p>
      <w:pPr>
        <w:pStyle w:val="H2_Aca"/>
      </w:pPr>
      <w:r>
        <w:t>1. Identify Incident</w:t>
      </w:r>
    </w:p>
    <w:p>
      <w:r>
        <w:rPr>
          <w:b/>
        </w:rPr>
        <w:t>Prompt:</w:t>
      </w:r>
    </w:p>
    <w:p>
      <w:pPr>
        <w:spacing w:before="0" w:after="0"/>
        <w:ind w:left="240" w:right="240"/>
        <w:jc w:val="both"/>
      </w:pPr>
      <w:r>
        <w:rPr>
          <w:rFonts w:ascii="Times New Roman" w:hAnsi="Times New Roman"/>
          <w:sz w:val="22"/>
        </w:rPr>
        <w:t>You are a professional process safety analyst.</w:t>
      </w:r>
    </w:p>
    <w:p>
      <w:pPr>
        <w:spacing w:before="0" w:after="0"/>
        <w:ind w:left="240" w:right="240"/>
        <w:jc w:val="both"/>
      </w:pPr>
      <w:r>
        <w:rPr>
          <w:rFonts w:ascii="Times New Roman" w:hAnsi="Times New Roman"/>
          <w:sz w:val="22"/>
        </w:rPr>
        <w:t>Analyze the input PDF text and return valid JSON only.</w:t>
      </w:r>
    </w:p>
    <w:p>
      <w:pPr>
        <w:spacing w:before="0" w:after="0"/>
        <w:ind w:left="240" w:right="240"/>
        <w:jc w:val="both"/>
      </w:pPr>
      <w:r>
        <w:rPr>
          <w:rFonts w:ascii="Times New Roman" w:hAnsi="Times New Roman"/>
          <w:sz w:val="22"/>
        </w:rPr>
        <w:t>Your tasks:</w:t>
      </w:r>
    </w:p>
    <w:p>
      <w:pPr>
        <w:spacing w:before="0" w:after="0"/>
        <w:ind w:left="240" w:right="240"/>
        <w:jc w:val="both"/>
      </w:pPr>
      <w:r>
        <w:rPr>
          <w:rFonts w:ascii="Times New Roman" w:hAnsi="Times New Roman"/>
          <w:sz w:val="22"/>
        </w:rPr>
        <w:t>1. Determine whether the document is:</w:t>
      </w:r>
    </w:p>
    <w:p>
      <w:pPr>
        <w:spacing w:before="0" w:after="0"/>
        <w:ind w:left="240" w:right="240"/>
        <w:jc w:val="both"/>
      </w:pPr>
      <w:r>
        <w:rPr>
          <w:rFonts w:ascii="Times New Roman" w:hAnsi="Times New Roman"/>
          <w:sz w:val="22"/>
        </w:rPr>
        <w:t>- a full incident report,</w:t>
      </w:r>
    </w:p>
    <w:p>
      <w:pPr>
        <w:spacing w:before="0" w:after="0"/>
        <w:ind w:left="240" w:right="240"/>
        <w:jc w:val="both"/>
      </w:pPr>
      <w:r>
        <w:rPr>
          <w:rFonts w:ascii="Times New Roman" w:hAnsi="Times New Roman"/>
          <w:sz w:val="22"/>
        </w:rPr>
        <w:t>- a summary-style document,</w:t>
      </w:r>
    </w:p>
    <w:p>
      <w:pPr>
        <w:spacing w:before="0" w:after="0"/>
        <w:ind w:left="240" w:right="240"/>
        <w:jc w:val="both"/>
      </w:pPr>
      <w:r>
        <w:rPr>
          <w:rFonts w:ascii="Times New Roman" w:hAnsi="Times New Roman"/>
          <w:sz w:val="22"/>
        </w:rPr>
        <w:t>- or a document containing multiple independent incidents.</w:t>
      </w:r>
    </w:p>
    <w:p>
      <w:pPr>
        <w:spacing w:before="0" w:after="0"/>
        <w:ind w:left="240" w:right="240"/>
        <w:jc w:val="both"/>
      </w:pPr>
      <w:r>
        <w:rPr>
          <w:rFonts w:ascii="Times New Roman" w:hAnsi="Times New Roman"/>
          <w:sz w:val="22"/>
        </w:rPr>
        <w:t>2. Extract the exact original text of:</w:t>
      </w:r>
    </w:p>
    <w:p>
      <w:pPr>
        <w:spacing w:before="0" w:after="0"/>
        <w:ind w:left="240" w:right="240"/>
        <w:jc w:val="both"/>
      </w:pPr>
      <w:r>
        <w:rPr>
          <w:rFonts w:ascii="Times New Roman" w:hAnsi="Times New Roman"/>
          <w:sz w:val="22"/>
        </w:rPr>
        <w:t>- the incident summary section,</w:t>
      </w:r>
    </w:p>
    <w:p>
      <w:pPr>
        <w:spacing w:before="0" w:after="0"/>
        <w:ind w:left="240" w:right="240"/>
        <w:jc w:val="both"/>
      </w:pPr>
      <w:r>
        <w:rPr>
          <w:rFonts w:ascii="Times New Roman" w:hAnsi="Times New Roman"/>
          <w:sz w:val="22"/>
        </w:rPr>
        <w:t>- the incident description section,</w:t>
      </w:r>
    </w:p>
    <w:p>
      <w:pPr>
        <w:spacing w:before="0" w:after="0"/>
        <w:ind w:left="240" w:right="240"/>
        <w:jc w:val="both"/>
      </w:pPr>
      <w:r>
        <w:rPr>
          <w:rFonts w:ascii="Times New Roman" w:hAnsi="Times New Roman"/>
          <w:sz w:val="22"/>
        </w:rPr>
        <w:t>- and any other sections related to hazard evolution or consequence development.</w:t>
      </w:r>
    </w:p>
    <w:p>
      <w:pPr>
        <w:spacing w:before="0" w:after="0"/>
        <w:ind w:left="240" w:right="240"/>
        <w:jc w:val="both"/>
      </w:pPr>
      <w:r>
        <w:rPr>
          <w:rFonts w:ascii="Times New Roman" w:hAnsi="Times New Roman"/>
          <w:sz w:val="22"/>
        </w:rPr>
        <w:t>3. If multiple independent incidents are present, separate them into different incident entries.</w:t>
      </w:r>
    </w:p>
    <w:p>
      <w:pPr>
        <w:spacing w:before="0" w:after="0"/>
        <w:ind w:left="240" w:right="240"/>
        <w:jc w:val="both"/>
      </w:pPr>
      <w:r>
        <w:rPr>
          <w:rFonts w:ascii="Times New Roman" w:hAnsi="Times New Roman"/>
          <w:sz w:val="22"/>
        </w:rPr>
        <w:t>Definitions:</w:t>
      </w:r>
    </w:p>
    <w:p>
      <w:pPr>
        <w:spacing w:before="0" w:after="0"/>
        <w:ind w:left="240" w:right="240"/>
        <w:jc w:val="both"/>
      </w:pPr>
      <w:r>
        <w:rPr>
          <w:rFonts w:ascii="Times New Roman" w:hAnsi="Times New Roman"/>
          <w:sz w:val="22"/>
        </w:rPr>
        <w:t>- Separate incidents are accident occurrences that happened at different times/dates and do not belong to the same causal chain, escalation sequence, or consequence development.</w:t>
      </w:r>
    </w:p>
    <w:p>
      <w:pPr>
        <w:spacing w:before="0" w:after="0"/>
        <w:ind w:left="240" w:right="240"/>
        <w:jc w:val="both"/>
      </w:pPr>
      <w:r>
        <w:rPr>
          <w:rFonts w:ascii="Times New Roman" w:hAnsi="Times New Roman"/>
          <w:sz w:val="22"/>
        </w:rPr>
        <w:t>- Do not split one incident into multiple incidents just because it has multiple stages or consequences.</w:t>
      </w:r>
    </w:p>
    <w:p>
      <w:pPr>
        <w:spacing w:before="0" w:after="0"/>
        <w:ind w:left="240" w:right="240"/>
        <w:jc w:val="both"/>
      </w:pPr>
      <w:r>
        <w:rPr>
          <w:rFonts w:ascii="Times New Roman" w:hAnsi="Times New Roman"/>
          <w:sz w:val="22"/>
        </w:rPr>
        <w:t>- Distinguish between primary incident subjects and referenced incidents. Primary incident subjects are the incidents that the document is mainly trying to report, analyze, compare, or study in their own right. Referenced incidents are mentioned only as background, precedent, comparison, lessons learned, literature examples, or supporting context.</w:t>
      </w:r>
    </w:p>
    <w:p>
      <w:pPr>
        <w:spacing w:before="0" w:after="0"/>
        <w:ind w:left="240" w:right="240"/>
        <w:jc w:val="both"/>
      </w:pPr>
      <w:r>
        <w:rPr>
          <w:rFonts w:ascii="Times New Roman" w:hAnsi="Times New Roman"/>
          <w:sz w:val="22"/>
        </w:rPr>
        <w:t>- Only create separate incident entries for primary incident subjects of the document.</w:t>
      </w:r>
    </w:p>
    <w:p>
      <w:pPr>
        <w:spacing w:before="0" w:after="0"/>
        <w:ind w:left="240" w:right="240"/>
        <w:jc w:val="both"/>
      </w:pPr>
      <w:r>
        <w:rPr>
          <w:rFonts w:ascii="Times New Roman" w:hAnsi="Times New Roman"/>
          <w:sz w:val="22"/>
        </w:rPr>
        <w:t>- Only use split_incidents when the document's primary purpose is to analyze multiple incidents as co-equal case subjects.</w:t>
      </w:r>
    </w:p>
    <w:p>
      <w:pPr>
        <w:spacing w:before="0" w:after="0"/>
        <w:ind w:left="240" w:right="240"/>
        <w:jc w:val="both"/>
      </w:pPr>
      <w:r>
        <w:rPr>
          <w:rFonts w:ascii="Times New Roman" w:hAnsi="Times New Roman"/>
          <w:sz w:val="22"/>
        </w:rPr>
        <w:t>- If the document primarily discusses a theme, hazard type, lesson, method, regulation, or safety issue and mentions multiple incidents mainly as examples or supporting cases, do not split them into separate incident entries.</w:t>
      </w:r>
    </w:p>
    <w:p>
      <w:pPr>
        <w:spacing w:before="0" w:after="0"/>
        <w:ind w:left="240" w:right="240"/>
        <w:jc w:val="both"/>
      </w:pPr>
      <w:r>
        <w:rPr>
          <w:rFonts w:ascii="Times New Roman" w:hAnsi="Times New Roman"/>
          <w:sz w:val="22"/>
        </w:rPr>
        <w:t>- For thematic studies, hazard investigations, lessons-learned reports, comparative reviews, or issue-focused reports that cite many incidents in support of one broader topic, prefer recommended_output_mode = "summary_only" unless the incidents are clearly treated as co-equal primary case subjects.</w:t>
      </w:r>
    </w:p>
    <w:p>
      <w:pPr>
        <w:spacing w:before="0" w:after="0"/>
        <w:ind w:left="240" w:right="240"/>
        <w:jc w:val="both"/>
      </w:pPr>
      <w:r>
        <w:rPr>
          <w:rFonts w:ascii="Times New Roman" w:hAnsi="Times New Roman"/>
          <w:sz w:val="22"/>
        </w:rPr>
        <w:t>- If one incident is the main focus of the document and other incidents are cited only for context, comparison, or lessons learned, output only the main incident.</w:t>
      </w:r>
    </w:p>
    <w:p>
      <w:pPr>
        <w:spacing w:before="0" w:after="0"/>
        <w:ind w:left="240" w:right="240"/>
        <w:jc w:val="both"/>
      </w:pPr>
      <w:r>
        <w:rPr>
          <w:rFonts w:ascii="Times New Roman" w:hAnsi="Times New Roman"/>
          <w:sz w:val="22"/>
        </w:rPr>
        <w:t>- Do not create separate incident entries for incidents mentioned only in introduction, background, discussion, recommendations, lessons learned, literature review, comparison, benchmark, or supporting-example sections, unless the document clearly gives them equal report-level treatment as main analysis targets.</w:t>
      </w:r>
    </w:p>
    <w:p>
      <w:pPr>
        <w:spacing w:before="0" w:after="0"/>
        <w:ind w:left="240" w:right="240"/>
        <w:jc w:val="both"/>
      </w:pPr>
      <w:r>
        <w:rPr>
          <w:rFonts w:ascii="Times New Roman" w:hAnsi="Times New Roman"/>
          <w:sz w:val="22"/>
        </w:rPr>
        <w:t>- A summary-style document mainly contains bullet points, short summaries, case listings, or brief overviews without a full chronological narrative.</w:t>
      </w:r>
    </w:p>
    <w:p>
      <w:pPr>
        <w:spacing w:before="0" w:after="0"/>
        <w:ind w:left="240" w:right="240"/>
        <w:jc w:val="both"/>
      </w:pPr>
      <w:r>
        <w:rPr>
          <w:rFonts w:ascii="Times New Roman" w:hAnsi="Times New Roman"/>
          <w:sz w:val="22"/>
        </w:rPr>
        <w:t>- A document may still be treated as summary_only even when it is long and detailed, if its main purpose is thematic synthesis across many cited incidents rather than detailed standalone reporting of co-equal incident cases.</w:t>
      </w:r>
    </w:p>
    <w:p>
      <w:pPr>
        <w:spacing w:before="0" w:after="0"/>
        <w:ind w:left="240" w:right="240"/>
        <w:jc w:val="both"/>
      </w:pPr>
      <w:r>
        <w:rPr>
          <w:rFonts w:ascii="Times New Roman" w:hAnsi="Times New Roman"/>
          <w:sz w:val="22"/>
        </w:rPr>
        <w:t>- A document can still be a full incident report even if it contains multiple independent incidents, as long as each incident is described with substantial narrative, chronology, technical analysis, or causal detail.</w:t>
      </w:r>
    </w:p>
    <w:p>
      <w:pPr>
        <w:spacing w:before="0" w:after="0"/>
        <w:ind w:left="240" w:right="240"/>
        <w:jc w:val="both"/>
      </w:pPr>
      <w:r>
        <w:rPr>
          <w:rFonts w:ascii="Times New Roman" w:hAnsi="Times New Roman"/>
          <w:sz w:val="22"/>
        </w:rPr>
        <w:t>- Do not classify a document as non-full only because it is written as a case study, special study, or multi-incident investigation. If the document contains substantial incident narrative and analysis, classify it as a full incident report.</w:t>
      </w:r>
    </w:p>
    <w:p>
      <w:pPr>
        <w:spacing w:before="0" w:after="0"/>
        <w:ind w:left="240" w:right="240"/>
        <w:jc w:val="both"/>
      </w:pPr>
      <w:r>
        <w:rPr>
          <w:rFonts w:ascii="Times New Roman" w:hAnsi="Times New Roman"/>
          <w:sz w:val="22"/>
        </w:rPr>
        <w:t>- If the document is summary-style, do not split it into multiple incident entries even if it mentions multiple incidents. In that case, set recommended_output_mode to "summary_only" and requires_incident_split to false.</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 Extract the complete section from its header until the next top-level section header of equal hierarchy.</w:t>
      </w:r>
    </w:p>
    <w:p>
      <w:pPr>
        <w:spacing w:before="0" w:after="0"/>
        <w:ind w:left="240" w:right="240"/>
        <w:jc w:val="both"/>
      </w:pPr>
      <w:r>
        <w:rPr>
          <w:rFonts w:ascii="Times New Roman" w:hAnsi="Times New Roman"/>
          <w:sz w:val="22"/>
        </w:rPr>
        <w:t>- Keep subsection headers.</w:t>
      </w:r>
    </w:p>
    <w:p>
      <w:pPr>
        <w:spacing w:before="0" w:after="0"/>
        <w:ind w:left="240" w:right="240"/>
        <w:jc w:val="both"/>
      </w:pPr>
      <w:r>
        <w:rPr>
          <w:rFonts w:ascii="Times New Roman" w:hAnsi="Times New Roman"/>
          <w:sz w:val="22"/>
        </w:rPr>
        <w:t>- Remove only figure captions, table captions, photo captions, and page headers/footers.</w:t>
      </w:r>
    </w:p>
    <w:p>
      <w:pPr>
        <w:spacing w:before="0" w:after="0"/>
        <w:ind w:left="240" w:right="240"/>
        <w:jc w:val="both"/>
      </w:pPr>
      <w:r>
        <w:rPr>
          <w:rFonts w:ascii="Times New Roman" w:hAnsi="Times New Roman"/>
          <w:sz w:val="22"/>
        </w:rPr>
        <w:t>- Do not summarize, paraphrase, or interpret.</w:t>
      </w:r>
    </w:p>
    <w:p>
      <w:pPr>
        <w:spacing w:before="0" w:after="0"/>
        <w:ind w:left="240" w:right="240"/>
        <w:jc w:val="both"/>
      </w:pPr>
      <w:r>
        <w:rPr>
          <w:rFonts w:ascii="Times New Roman" w:hAnsi="Times New Roman"/>
          <w:sz w:val="22"/>
        </w:rPr>
        <w:t>- Preserve original wording.</w:t>
      </w:r>
    </w:p>
    <w:p>
      <w:pPr>
        <w:spacing w:before="0" w:after="0"/>
        <w:ind w:left="240" w:right="240"/>
        <w:jc w:val="both"/>
      </w:pPr>
      <w:r>
        <w:rPr>
          <w:rFonts w:ascii="Times New Roman" w:hAnsi="Times New Roman"/>
          <w:sz w:val="22"/>
        </w:rPr>
        <w:t>- If multiple candidate sections exist, choose the one that most clearly describes the chronological physical evolution.</w:t>
      </w:r>
    </w:p>
    <w:p>
      <w:pPr>
        <w:spacing w:before="0" w:after="0"/>
        <w:ind w:left="240" w:right="240"/>
        <w:jc w:val="both"/>
      </w:pPr>
      <w:r>
        <w:rPr>
          <w:rFonts w:ascii="Times New Roman" w:hAnsi="Times New Roman"/>
          <w:sz w:val="22"/>
        </w:rPr>
        <w:t>- Prefer the incident or incidents that are the document's main analysis targets over cited historical examples.</w:t>
      </w:r>
    </w:p>
    <w:p>
      <w:pPr>
        <w:spacing w:before="0" w:after="0"/>
        <w:ind w:left="240" w:right="240"/>
        <w:jc w:val="both"/>
      </w:pPr>
      <w:r>
        <w:rPr>
          <w:rFonts w:ascii="Times New Roman" w:hAnsi="Times New Roman"/>
          <w:sz w:val="22"/>
        </w:rPr>
        <w:t>- If multiple independent incidents are present, shared background text, shared summary text, or shared description text may be repeated across multiple incident entries when it is relevant to each incident.</w:t>
      </w:r>
    </w:p>
    <w:p>
      <w:pPr>
        <w:spacing w:before="0" w:after="0"/>
        <w:ind w:left="240" w:right="240"/>
        <w:jc w:val="both"/>
      </w:pPr>
      <w:r>
        <w:rPr>
          <w:rFonts w:ascii="Times New Roman" w:hAnsi="Times New Roman"/>
          <w:sz w:val="22"/>
        </w:rPr>
        <w:t>- Do not remove or rewrite shared text only to avoid duplication. Preserving incident-relevant original text is more important than deduplication.</w:t>
      </w:r>
    </w:p>
    <w:p>
      <w:pPr>
        <w:spacing w:before="0" w:after="0"/>
        <w:ind w:left="240" w:right="240"/>
        <w:jc w:val="both"/>
      </w:pPr>
      <w:r>
        <w:rPr>
          <w:rFonts w:ascii="Times New Roman" w:hAnsi="Times New Roman"/>
          <w:sz w:val="22"/>
        </w:rPr>
        <w:t>- When a section contains both shared context and incident-specific content, keep the full original text for each relevant incident entry, even if this causes overlap between incidents.</w:t>
      </w:r>
    </w:p>
    <w:p>
      <w:pPr>
        <w:spacing w:before="0" w:after="0"/>
        <w:ind w:left="240" w:right="240"/>
        <w:jc w:val="both"/>
      </w:pPr>
      <w:r>
        <w:rPr>
          <w:rFonts w:ascii="Times New Roman" w:hAnsi="Times New Roman"/>
          <w:sz w:val="22"/>
        </w:rPr>
        <w:t>- If not found, use null.</w:t>
      </w:r>
    </w:p>
    <w:p>
      <w:pPr>
        <w:spacing w:before="0" w:after="0"/>
        <w:ind w:left="240" w:right="240"/>
        <w:jc w:val="both"/>
      </w:pPr>
      <w:r>
        <w:rPr>
          <w:rFonts w:ascii="Times New Roman" w:hAnsi="Times New Roman"/>
          <w:sz w:val="22"/>
        </w:rPr>
        <w:t>Return JSON with this schema:</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true,</w:t>
      </w:r>
    </w:p>
    <w:p>
      <w:pPr>
        <w:spacing w:before="0" w:after="0"/>
        <w:ind w:left="240" w:right="240"/>
        <w:jc w:val="both"/>
      </w:pPr>
      <w:r>
        <w:rPr>
          <w:rFonts w:ascii="Times New Roman" w:hAnsi="Times New Roman"/>
          <w:sz w:val="22"/>
        </w:rPr>
        <w:t>"is_full_incident_report": false,</w:t>
      </w:r>
    </w:p>
    <w:p>
      <w:pPr>
        <w:spacing w:before="0" w:after="0"/>
        <w:ind w:left="240" w:right="240"/>
        <w:jc w:val="both"/>
      </w:pPr>
      <w:r>
        <w:rPr>
          <w:rFonts w:ascii="Times New Roman" w:hAnsi="Times New Roman"/>
          <w:sz w:val="22"/>
        </w:rPr>
        <w:t>"contains_multiple_independent_incidents": true,</w:t>
      </w:r>
    </w:p>
    <w:p>
      <w:pPr>
        <w:spacing w:before="0" w:after="0"/>
        <w:ind w:left="240" w:right="240"/>
        <w:jc w:val="both"/>
      </w:pPr>
      <w:r>
        <w:rPr>
          <w:rFonts w:ascii="Times New Roman" w:hAnsi="Times New Roman"/>
          <w:sz w:val="22"/>
        </w:rPr>
        <w:t>"requires_incident_split": true,</w:t>
      </w:r>
    </w:p>
    <w:p>
      <w:pPr>
        <w:spacing w:before="0" w:after="0"/>
        <w:ind w:left="240" w:right="240"/>
        <w:jc w:val="both"/>
      </w:pPr>
      <w:r>
        <w:rPr>
          <w:rFonts w:ascii="Times New Roman" w:hAnsi="Times New Roman"/>
          <w:sz w:val="22"/>
        </w:rPr>
        <w:t>"recommended_output_mode": "single_incident | split_incidents | summary_only",</w:t>
      </w:r>
    </w:p>
    <w:p>
      <w:pPr>
        <w:spacing w:before="0" w:after="0"/>
        <w:ind w:left="240" w:right="240"/>
        <w:jc w:val="both"/>
      </w:pPr>
      <w:r>
        <w:rPr>
          <w:rFonts w:ascii="Times New Roman" w:hAnsi="Times New Roman"/>
          <w:sz w:val="22"/>
        </w:rPr>
        <w:t>"classification_reason":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"string or null",</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"string",</w:t>
      </w:r>
    </w:p>
    <w:p>
      <w:pPr>
        <w:spacing w:before="0" w:after="0"/>
        <w:ind w:left="240" w:right="240"/>
        <w:jc w:val="both"/>
      </w:pPr>
      <w:r>
        <w:rPr>
          <w:rFonts w:ascii="Times New Roman" w:hAnsi="Times New Roman"/>
          <w:sz w:val="22"/>
        </w:rPr>
        <w:t>"text":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false,</w:t>
      </w:r>
    </w:p>
    <w:p>
      <w:pPr>
        <w:spacing w:before="0" w:after="0"/>
        <w:ind w:left="240" w:right="240"/>
        <w:jc w:val="both"/>
      </w:pPr>
      <w:r>
        <w:rPr>
          <w:rFonts w:ascii="Times New Roman" w:hAnsi="Times New Roman"/>
          <w:sz w:val="22"/>
        </w:rPr>
        <w:t>"is_full_incident_report": true,</w:t>
      </w:r>
    </w:p>
    <w:p>
      <w:pPr>
        <w:spacing w:before="0" w:after="0"/>
        <w:ind w:left="240" w:right="240"/>
        <w:jc w:val="both"/>
      </w:pPr>
      <w:r>
        <w:rPr>
          <w:rFonts w:ascii="Times New Roman" w:hAnsi="Times New Roman"/>
          <w:sz w:val="22"/>
        </w:rPr>
        <w:t>"contains_multiple_independent_incidents": false,</w:t>
      </w:r>
    </w:p>
    <w:p>
      <w:pPr>
        <w:spacing w:before="0" w:after="0"/>
        <w:ind w:left="240" w:right="240"/>
        <w:jc w:val="both"/>
      </w:pPr>
      <w:r>
        <w:rPr>
          <w:rFonts w:ascii="Times New Roman" w:hAnsi="Times New Roman"/>
          <w:sz w:val="22"/>
        </w:rPr>
        <w:t>"requires_incident_split": false,</w:t>
      </w:r>
    </w:p>
    <w:p>
      <w:pPr>
        <w:spacing w:before="0" w:after="0"/>
        <w:ind w:left="240" w:right="240"/>
        <w:jc w:val="both"/>
      </w:pPr>
      <w:r>
        <w:rPr>
          <w:rFonts w:ascii="Times New Roman" w:hAnsi="Times New Roman"/>
          <w:sz w:val="22"/>
        </w:rPr>
        <w:t>"recommended_output_mode": "single_incident",</w:t>
      </w:r>
    </w:p>
    <w:p>
      <w:pPr>
        <w:spacing w:before="0" w:after="0"/>
        <w:ind w:left="240" w:right="240"/>
        <w:jc w:val="both"/>
      </w:pPr>
      <w:r>
        <w:rPr>
          <w:rFonts w:ascii="Times New Roman" w:hAnsi="Times New Roman"/>
          <w:sz w:val="22"/>
        </w:rPr>
        <w:t>"classification_reason": "The document is a full CSB investigation report focused on one accident occurrence at CTA Acoustics on February 20, 2003. It contains substantial narrative, chronology, technical analysis, reconstructive analysis, causal analysis, and recommendations. Other incidents (e.g., Jahn Foundry, West Pharmaceutical) are discussed only as comparative background and are not independent incident narratives within this report."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"February 20, 2003",</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"Executive Summary",</w:t>
      </w:r>
    </w:p>
    <w:p>
      <w:pPr>
        <w:spacing w:before="0" w:after="0"/>
        <w:ind w:left="240" w:right="240"/>
        <w:jc w:val="both"/>
      </w:pPr>
      <w:r>
        <w:rPr>
          <w:rFonts w:ascii="Times New Roman" w:hAnsi="Times New Roman"/>
          <w:sz w:val="22"/>
        </w:rPr>
        <w:t>"text": "Executive Summary \nA February 20, 2003, dust explosion at the CTA Acoustics, Inc. (CTA) facility in Corbin, Kentucky, \nkilled seven and injured 37 workers. This incident caused extensive damage to the production area of the \n302,000-square-foot plant. Nearby homes and an elementary school were evacuated, and a 12-mile \nsection of Interstate 75 was closed. The largest CTA customer, Ford Motor Company, temporarily \nsuspended operations at four automobile assembly plants because CTA had produced acoustic insulation \nproducts for those plants, as well as for other industrial and automotive clients. \nIn investigating this incident, the U.S. Chemical Safety and Hazard Investigation Board (CSB) \ndetermined that combustible phenolic resin dust that had accumulated throughout the facility fueled the \nexplosion. \nThe investigation identified the following root causes for the February 20 incident: \n• CTA management did not implement effective measures to prevent combustible dust \nexplosions. \n• The CTA cleaning and maintenance procedures for production lines did not prevent the \naccumulation of unsafe levels of combustible dust on elevated flat surfaces. \n• The CTA incident investigation program did not ensure that all oven fires were investigated \nand that underlying causes were identified and resolved. \n• The Borden Chemical product stewardship program did not explicitly convey to CTA the \nexplosive hazards of phenolic resins. \n• The original building design and subsequent building modifications did not effectively \naddress the fire and explosion hazards associated with combustible dusts. \nThis CSB report makes recommendations to CTA, CertainTeed Corporation, and to Borden Chemical, \nInc., manufacturer of the phenolic resin used at the Corbin plant. CSB also makes recommendations to \nthe Kentucky Office of Occupational Safety and Health; Kentucky Office of Housing, Buildings, and \nConstruction, Division of Building Codes Enforcement; Factory Mutual Insurance Company; American \nChemistry Council; National Fire Protection Association; International Code Council; and The Society of \nthe Plastics Industry, Phenolic Division."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"5.0 Incident Description",</w:t>
      </w:r>
    </w:p>
    <w:p>
      <w:pPr>
        <w:spacing w:before="0" w:after="0"/>
        <w:ind w:left="240" w:right="240"/>
        <w:jc w:val="both"/>
      </w:pPr>
      <w:r>
        <w:rPr>
          <w:rFonts w:ascii="Times New Roman" w:hAnsi="Times New Roman"/>
          <w:sz w:val="22"/>
        </w:rPr>
        <w:t>"text": "5.0 Incident Description \n5.1 Pre-Incident Events \n5.1.1 Ventilation Study \nIn February 2002, CTA contracted with a heating, ventilating, and air conditioning engineering firm to \ninvestigate ventilation improvements in the production and molding areas of the plant. One area of \nconcern was release of dust from the production lines; however, the investigation did not specifically \nexamine combustible dust hazards. \nThe engineering contractor concluded that the general flow of air inside the building was from south to \nnortheast. The contractor also found that airflow rates at the capture hoods were less than the design \nintent. Filters had been placed over ventilation hoods but were not regularly cleaned, resulting in poor \ncollection of dust. The contractor also noted that the blend rooms were more dust laden than the rest of \nthe processing lines. \nThe contractor found that on line 405, the actual volume of air exhausted by the baghouse was only 35 \npercent of design capacity. The contractor attributed the diminished airflow to the poor condition of the \nfans, overloading of the baghouse, and possible plugging of the ductwork. The contractor’s report also \nnoted that the area around the line 405 mat-former released large quantities of dust. Based on this \ninformation, CSB concluded that phenolic resin dust and small fibers migrated from the blend rooms \nthrough door and wall openings and settled onto flat surfaces throughout the facility. \nTo balance the plant airflow, the contractor recommended replacing the baghouses on lines 403 and 405, \nmodifying ventilation hoods on the processing lines to increase capture velocities, and installing four air-\nhandling units on the roof to provide additional makeup air to the plant. \nOn February 20, 2003—the day of the explosion—CTA was scheduled to begin installing new makeup \nair units on lines 403 and 405. \n5.1.2 Line 405 Oven Temperature Controller \nInterviews with operators on line 405 and maintenance personnel, and a review of shift production logs \nrevealed problems with the temperature controller for the curing oven as far back as December 20, 2002; \nthe oven was running too hot. Production log entries noted that maintenance personnel had attempted to \nfix the controller on five occasions since December 2002. \nFour days prior to the explosion, the temperature controller was no longer regulating the oven temperature \nso controls were switched to manual by the line operators. The oven temperature was then controlled by \nopening and closing the access doors on the east and west sides of the oven. Since there was no spare \ncontroller available in the maintenance shop, an order for a new controller was placed with a supplier. \n5.1.3 Line 405 Baghouse \nCTA initially planned to replace the line 405 baghouse in 1996-97. Minutes from a December 1996 staff \nmeeting indicate that two baghouse manufacturers were prepared to bid on the project. However, CTA \nmanagement opted not to fund the replacement of the baghouse at that time. A new cylindrical dust \ncollector was erected in 2002 on a free-standing structure along the south wall of the facility to replace \nboth the line 403 and 405 baghouses, but at the time of the explosion, it was not operational because new \npiping still needed to be connected. \nA few days prior to the explosion, line 405 operators were having problems with clogged bags in the \nbaghouse. Operator statements and notations on shift production logs show that the baghouse was \nrunning at a high differential pressure, which indicated the bags were clogged. To unclog them, the bags \nhad to be shaken repeatedly each shift. Operators also manually beat the bags with sticks during the line \ncleaning to remove the dust. They attributed the clogging problem to two causes: \n• The line was one week past due for periodic maintenance, at which time the bags in the \nbaghouse would be changed (Section 4.3). \n• Moisture had entered the baghouse and mixed with the phenolic resin dust and small \nfiberglass fibers. As this mixture dried, it formed a paste that adhered to the bags and was \ndifficult to dislodge. The moisture came from holes in the baghouse structure that let in rain \nand snow, and a water line break inside the baghouse on January 29, 2003. \n5.1.4 Line 405 Oven Fires \nFire was not normally present in the oven where the mats were semi-cured. The burner for the oven was \nlocated in a duct several feet above the oven (Section 4.1.3). Line 405 oven temperature was maintained \nbetween 260 to 290ºF. \nHowever, small fires sometimes started in the oven when accumulated phenolic resin/fiberglass materials \nignited. The operators extinguished those fires with water via a garden hose or with dry chemical fire \nextinguishers. Production logs, fire reports, and work orders showed that at least seven fires occurred on \nline 405 in the 6 months prior to the explosion; one in July 2002, three in November, one in December, \nand one in January 2003. These reports indicated that five of the seven fires originated inside the line 405 \noven. Sparks from the oven flight chain were listed as the most frequent source of ignition. \n5.2 The Incident \n5.2.1 Line 405 Cleaning Activity \nThe day shift began on February 20, 2003 at 7:00 am. Operators were performing a routine cleaning of \nthe 405 production line. The oven continued operating during the cleaning, which was expected to take 1 \nhour. The previous shift had stopped the line in the middle of the night to shake the clogged bags in the \nbaghouse. The night shift operators had reported that the poor functioning of the baghouse and resulting \nlack of suction in the mat-former caused excessive release of dust from the production line. \nThe baghouse was turned off for cleaning. During the cleaning, a day-shift operator discovered that the \ntransition leading to the baghouse was plugged. Some of the crew went to the roof to unplug it. Those \noperators used a compressed air lance to blow the remaining material out of the transition. That material \nfell back through a chute into the production area. Interviews revealed that these activities and other line-\ncleaning tasks—such as blowing out pipes with compressed air and dry sweeping floors—generated a \ncloud of combustible dust around line 405. \n5.2.2 Initial Explosion at Line 405 \nTwo operators on the roof stated that moments after the baghouse was turned back on at 7:30 am, flames \nshot up through the inlet ducts, into and out of the baghouse. Both operators were burned—one received \nminor facial burns; the other received second-degree burns to his hands and face, which required a \nlengthy hospital stay. Inside the plant, personnel located about 80 feet northwest of line 405 observed \nsmoke coming from the line prior to the initial explosion. Once the explosion occurred, personnel both \nheard it, and saw a fireball emerge from the south end of the oven. \nThe initial explosion created a pressure wave that knocked down portions of the firewall on the east side \nof line 405. Three operators were standing on the west side of the line at the time. One operator suffered \nthird-degree burns and died in the hospital several days later. The force of the explosion knocked the \nother two operators into the aisle. One received second-degree burns and was hospitalized for several \ndays, while the other received only minor injuries. A fourth employee, who was driving a gas-powered \nforklift with a semi-enclosed cab down the aisle west of line 405, was also burned. He was hospitalized \nbut released the same day. \nEyewitnesses standing northwest of line 405 felt a pressure wave blow dust and other material in their \ndirection. The force shook loose accumulated dust from the overhead roof joists and blew out roof \npanels. Employees also saw a fireball coming toward them from the south side of the line 405 oven; the \nfireball dissipated when it reached the molding department. Employees reported that dust fell from \nabove, the lights went out, and the building fire sprinkler system activated. \n5.2.3 Secondary Dust Explosion at Line 405 \nThe fireball generated by the initial explosion near the line 405 oven ignited dispersed combustible dust, \nwhich caused a secondary explosion in the relatively confined area above the line 405 blend room. The \nforce of this explosion damaged the firewalls to the east and south and pushed metal wall panels above \nthe blend room roof on the south side out to the south. The explosion also pushed ceiling \npanels and lights down inside the blend room. The pressure wave vented out of the building, damaging \nmetal wall panels on both the south and east outer walls. \n5.2.4 Fire and Explosion at Line 403 \nThe pressure wave and fireball produced by the secondary dust explosion above the line 405 blend room \npropagated west along the ceiling toward line 403. Several plant personnel described a rolling fireball \ntraveling in that direction. Evidence of the path of the pressure wave and fireball included: \n• A collapsed firewall between lines 403 and 405. \n• Metal wall panels above the line 403 blend room on the east side that were blown to the west. \n• Burnt residue on the building’s roof trusses. \nThe fireball also ignited semi-cured pelts stored in the open area between lines 403 and 405. \nWhen the fireball reached line 403, it moved into the blend room. Three operators and the shift \nsupervisor received second- and third-degree burns from the fireball and were transported to hospital burn \nunits; they died days later. Two other operators were also burned, one critically. \nOperators working on the roof of the plant observed the line 403 baghouse catch on fire. The cleanout \ndoors opened on line 403 equipment may have provided a path for flames to travel to that baghouse. \n5.2.5 Fire at Line 402 \nAfter the pressure wave from the second dust explosion blew in the metal panels above the line 403 blend \nroom, the fireball following it continued to move west and into line 402. Three operators were burned in \nthe blend room or aisle that separated lines 403 and 402. They were transported to the hospital; \ntwo of these men later died. \n5.2.6 Fire and Additional Dust Explosion at Line 401 \nThe fireball continued to move west over the top of the line 402 blend room and into line 401. CSB \ninvestigators noted extensive explosion damage at line 401, nearly 300 feet from the initial explosion’s \npoint of origin at line 405. Physical evidence revealed that an additional secondary dust explosion \noccurred in the southeast corner of the line 401 blend room, another confined area. The firewall south of \nline 401 was partially collapsed, and concrete blocks dislodged from this wall fell to the south. The force \nof the dust explosion pressure wave likely bent a steel column on the west side of the blend room. Metal panels of the north and west walls were deformed outward. A large hole was blown in \nthe building roof above the southeast corner of the blend room. \nLine 416 operators observed a fireball traveling north toward them from the line 401 blend room. They \nstated that the fireball receded when it reached the end of the line 401 oven. Still, the effects of the \npressure wave that accompanied the fireball knocked some of them down. That wave vented out of the \nbuilding at the northwest corner, where it damaged a loading dock door. It also blew out portions of the \nplant’s metal panel west wall and damaged the north wall of the chemical room, located near \nthe southwest corner of the plant. \nAt the time of the secondary dust explosions, line 401 had been running for a few minutes. Three \noperators at this location were severely burned; they received extended treatment from the \nhospital. Two other operators received minor injuries. \n5.3 Emergency Response \n5.3.1 Plant Evacuation \nAs soon as plant personnel heard the explosion, they began to evacuate the facility. Uninjured employees \nhelped those who were injured and burned—in some cases, carrying them out of the plant. Employees \nassembled in the parking lot, and a headcount was taken to verify that all personnel had evacuated. \nInjured workers were isolated and provided with first aid and comfort until they could be evaluated by \nemergency medical personnel. \n5.3.2 Notification \nShortly after 7:30 am on February 20, the local 9-1-1 call center received a report of an explosion at CTA. \nThe West Knox Fire Department responded to the call, and the Laurel County Emergency Management \nDirector was notified. Upon seeing a large plume of black smoke over the plant site, the West Knox Fire \nChief—who was nearby—called for assistance from three other fire departments. \n5.3.3 Firefighting Activities \n5.3.3.1 Initial Fire Attack and Treatment of Injured \nThe West Knox Fire Department arrived at the CTA facility within 10 minutes. Knox County responders \nset up triage for the injured, and additional ambulances were called. \nThe Laurel County Emergency Management Director became the incident commander (IC) and \nestablished a command post. One of the first priorities of the IC was to find out what chemicals were \ninvolved and release accurate information to the media. CTA provided copies of MSDSs and a floor \nplan, and answered the IC’s questions concerning materials and equipment. \n5.3.3.2 Community and Plant Site Evacuations \nThe IC set an initial evacuation zone around the plant of 660 feet based on the rising smoke plume and \nlocal weather conditions. This required only removal of employees from the plant property. Telephone \ndiscussions with Borden Chemical—the phenolic resin manufacturer—revealed that trace quantities of \nhydrogen cyanide, ammonia, formaldehyde, phenol, carbon monoxide, and carbon dioxide could be \nreleased as the phenolic resin burned. \nThe IC then increased the evacuation zone to 0.5 mile, and nearby residents and businesses were ordered \nto evacuate. Police moved employees away from the plant site; rerouted traffic and blocked off roads; \nand went door-to-door to evacuate businesses, homes, and apartment complexes. As a precaution, an \nelementary school outside of the evacuation zone was also evacuated. At the request of the IC, the \nFederal Aviation Administration restricted airspace around the facility. \nDue to a misunderstanding in radio communication between the incident command center and other \nresponding emergency agencies, the evacuation zone was inadvertently extended to 1.5 miles. This \nprompted the Kentucky State Police to temporarily close a portion of Interstate 75. \nLater in the emergency response process, inaccurate information also was provided to the IC that a \n“cyanide trap” on the roof was on fire and about to explode. This inaccurate information came from a \ntruck driver who falsely identified himself as a CTA hazardous materials responder with knowledge of \nthe hazards and the appropriate response. Firefighters pulled back, and the incident command post was \nmoved. When this information was found to be incorrect, firefighting efforts resumed. \nThe news media also initially reported that the explosion released a 1.5-mile-wide cyanide cloud over \nnorth Corbin. The IC then advised the media that the evacuation zone extended to only a 0.5-mile radius \nand that no cyanide had been released, and the news media reported that cyanide concerns were \nunfounded. \n5.3.3.3 Fire Scene Operations \nThe fire was primarily confined to the production area and the baghouses on the roof. While two fire \ncrews fought the fire, another crew removed combustible material from the plant, including 80,000 \npounds of powdered phenolic resin binder. The fire was extinguished at approximately 3:00 pm, except \nfor smoldering rolls of duct liner and semi-cured pelts. Nearly 4,000 rolls of the smoldering material \nwere removed from the plant over the next 2 days. \nAt 3:30 pm on the day of the incident, a U.S. military civil support team from Louisville conducted air \nmonitoring in and around the plant, which revealed no toxic chemical levels. At the same time, the U.S. \nEnvironmental Protection Agency (EPA) conducted an air monitoring survey of the surrounding \nneighborhood. Again, no toxic material levels were found. At 4:30 pm, the evacuation order was lifted, \nand local residents were permitted to return to their homes. \n5.4 Incident Aftermath \nThe CTA incident was the deadliest workplace accident in Kentucky since 1989, when an explosion at the \nUnion County coal mine killed 10 people. The following bullets describe the injuries and fatalities that \noccurred at CTA: \n• On the days following February 20, 2003, 14 people were transferred from the Corbin \nmedical center to hospitals with advanced burn treatment units—University of Kentucky in \nLexington, University of Louisville, and Vanderbilt University in Nashville, Tennessee. \n• Eleven of these 14 injured were in critical condition. \n• The first of seven fatalities occurred on February 23 and the last on April 11. All seven \nworkers died from second- and third-degree burns or medical complications as a result of \nburn injuries. \n• The other four critically injured workers required surgery or spent many weeks of treatment \nin burn units. \n• Of the 30 employees who suffered minor injuries, including burns, cuts, bruises, and smoke \ninhalation, three had injuries serious enough to be sent to burn treatment units. \nDue to the physical damage to the facility, CTA built a new facility in the Corbin area at a reported cost \nof $56 million. CTA stated that the new facility was designed in accordance with National Fire \nProtection Association (NFPA) 654 (Appendix D.1), but CSB has not verified this new design. The new \nplant began operation in 2004—but with about 300 fewer employees, a result of business lost following \nthe incident. \nCertainTeed, which received product from CTA prior to the incident, renovated a facility in Sherman, \nTexas for the production of fiberglass textile duct liner for heating and air conditioning systems. The \nplant began operation in 2004, and reported relocation and renovation costs were $16 million."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"1.0 Introduction",</w:t>
      </w:r>
    </w:p>
    <w:p>
      <w:pPr>
        <w:spacing w:before="0" w:after="0"/>
        <w:ind w:left="240" w:right="240"/>
        <w:jc w:val="both"/>
      </w:pPr>
      <w:r>
        <w:rPr>
          <w:rFonts w:ascii="Times New Roman" w:hAnsi="Times New Roman"/>
          <w:sz w:val="22"/>
        </w:rPr>
        <w:t>"text": "1.0 Introduction \nAt approximately 7:30 am on Thursday, February 20, 2003, a fire and series of explosions occurred at an \nacoustic insulation manufacturing plant owned and operated by CTA Acoustics, Inc. (CTA), in Corbin, \nKentucky. Seven workers died, and 37 were injured. Nearby homes and an elementary school were \nevacuated, and a 12-mile section of Interstate 75 was shut down as a precautionary measure. The largest \nCTA customer, Ford Motor Company, temporarily closed four automobile assembly plants because they \nrelied on parts CTA had supplied. \nBecause of the catastrophic nature of this incident, the U.S. Chemical Safety and Hazard Investigation \nBoard (CSB) conducted an investigation to determine the root and contributing causes and to make \nrecommendations to prevent similar occurrences. CSB investigators arrived at the site on the morning of \nFebruary 21. CSB coordinated investigation activity with other responding agencies, including the \nBureau of Alcohol, Tobacco, Firearms and Explosives (ATF); Kentucky Office of Occupational Safety \nand Health (OSH); Office of Kentucky State Fire Marshal; and Laurel County Division of Public Safety. \nATF completed an origin and cause investigation and determined that the incident did not involve \ncriminal activity. \nCSB photographed and examined the incident scene, conducted nearly 80 interviews, and examined \ndocuments CTA and other parties provided. Forty-two samples of dust-containing materials were \ncollected and tested in a laboratory; selected plant production equipment was tested; and relevant safety \ncodes, standards, and guidelines were analyzed. On July 8, 2003, CSB held a public meeting in Corbin to \npresent its preliminary findings and to solicit comments from employees and the public. \nThe CTA incident is the second in a series of three dust explosions investigated by CSB; CSB also \ninvestigated West Pharmaceutical Services (January 29, 2003) and Hayes Lemmerz (October 29, 2003). \nAs a result of these investigations and industry-wide concerns, CSB has initiated a study of dust explosion \nhazards that will examine, among other topics, the adequacy of safety regulations and guidelines."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"7.0 Reconstructive Analysis",</w:t>
      </w:r>
    </w:p>
    <w:p>
      <w:pPr>
        <w:spacing w:before="0" w:after="0"/>
        <w:ind w:left="240" w:right="240"/>
        <w:jc w:val="both"/>
      </w:pPr>
      <w:r>
        <w:rPr>
          <w:rFonts w:ascii="Times New Roman" w:hAnsi="Times New Roman"/>
          <w:sz w:val="22"/>
        </w:rPr>
        <w:t>"text": "7.0 Reconstructive Analysis \nTo determine the origin and cause of the fire and explosions, CSB examined and documented the scene. \nAppendix A provides a detailed listing of the fire and explosion damage. Laboratory testing was \nconducted to measure the explosibility of the phenolic resins used by CTA (Appendix B), and equipment \nwas tested to determine if it was involved in causing the incident (Appendix C). Through this \nreconstructive analysis, CSB determined that a combustible phenolic resin dust fueled the fire and \nexplosions. Natural gas was also considered a possible ignition fuel but was ruled out following a \ndetailed investigation. \n7.1 Fire and Explosion Scene Investigation \nCSB initiated its investigation on the morning of February 21, the day after the incident. The West Knox \nFire Department had secured the plant site. ATF, the Kentucky State Fire Marshal, and the Arson \nDivision of the Kentucky State Police Department also conducted investigations during the first few days. \nThese organizations determined that the fire and initial explosion originated near production line 405. \nThey found no evidence of criminal involvement. Kentucky OSH conducted an inspection and issued \ncitations. \n7.1.1 Origin and Cause Determination \nThe purpose of the CSB origin and cause determination was to identify the following: \n• First material ignited (the initial fuel). \n• Possible source of ignition. \n• Event(s) that brought the fuel and energy source together to produce the initiating event. \nCSB determined the origin of the fire and explosions by analyzing the following information: \n• Physical marks (e.g., fire patterns) left by the fire. \n• Physical debris and damage, which indicated the direction and relative force of the \nexplosions. \n• Observations reported by persons who witnessed the fire or explosions, or who were aware of \nconditions at the time. \n7.1.1.1 Point of Origin \nCSB confirmed the conclusions of ATF and the State Fire Marshal that the fire and initial explosion \noriginated at the line 405 oven. Based on eyewitness accounts and examination of physical evidence, \nCSB determined that the initial explosion’s point of origin was likely in the aisle on the east side of the \nline 405 oven, near the south end. A number of employees stated that they saw the initial flash at this \nlocation. \nThe partially collapsed concrete block masonry firewall east of the oven also provided evidence of the \nlocation of the initial explosion. A metal cabinet along the wall had been knocked over and was found \nlying against the oven. \nIn contrast, the west side of the oven received only fire damage rather than explosion damage. Also, \nburned resin deposits were on the exhaust hood located over the conveyor where the fiber mat enters the \noven. Rolls of facing and empty spindles were burned but otherwise intact. The metal ducts that \nextended above the oven were warped and discolored—signs of extreme heat and external fire, but not \nexplosion damage. \nCSB also examined the interior of the oven; virtually all the combustible material that likely had been \ninside was burned away. In contrast, the interior of the ovens on lines 401, 402, and 403 \ncontained accumulations of resin powder/fiberglass debris. The chain-driven oven flights for 405 were \nburned clean but otherwise intact and undamaged. Metal discoloration was noted on the interior of the \nline 405 oven; however, CSB found no evidence of explosion damage inside the oven. \n7.1.1.2 Most Probable Initiating Event \nCSB concluded that the most probable initiating event was a combustible dust explosion at the line 405 \noven. Just prior to the explosion, the line crew cleared a blockage in the transition to the baghouse; this \ncombustible material was dumped down a vertical pipe into a box on the blend room floor. Interviews \nwith the crew revealed that dust was generated as the material landed in the box. A room fan mounted on \nthe west wall of the blend room directed the combustible dust toward the oven. CSB determined that air \ncurrents probably transported the dust into the immediate area of the oven, where it likely ignited. \nA fire may have developed inside the oven as a result of a buildup of combustible material (Section \n5.1.4). The oven had a history of small fires that were typically detected and put out by the line crew. In \nthis case, the crew did not detect the fire because they were cleaning the line elsewhere. Flames may \nhave escaped through an open oven door (Section 5.1.2), or the dust cloud may have entered the oven and \nignited. \n7.1.1.3 Other Possible Ignition Sources \nCSB considered other potential sources of ignition at the point of origin, as noted below, but concluded \nthat they were unlikely: \n• Electrical equipment: Several electrical boxes containing switches and relays were located \nin the area of origin and might have produced electrical sparks. The boxes were not dust-\ntight, and such sparks would have been capable of igniting a combustible dust cloud. CSB \ncontractors examined the electrical boxes and concluded that—though they were fire-\ndamaged—there were no indications that the spark-producing electrical equipment inside \nprovided an ignition source (Appendix C). \n• Lube oil system: The lube oil system and pump for the oven flights were also examined. The \npiping for the high-temperature oil had no moving parts and was found to be free of leaks. \nThe oil pump was pneumatically operated. \n• Static electricity: CSB also eliminated static electricity as an ignition source. Interviews \nwith line crews revealed that electrostatic discharges occurred frequently when the mat-\nformer was cleaned of phenolic resin. However, no one interviewed could recall an instance \nwhen the phenolic resin ignited. Tests conducted by a CSB contractor confirmed that the \nstatic energy in a propagating brush discharge was incapable of igniting the resin \nbecause it did not produce enough energy (Appendix B). \n7.1.2 Other Possible Initiating Events \n7.1.2.1 Natural Gas Explosion \nA natural gas supply line and the piping manifold were located in the area of origin. CSB considered the \npossibility that the incident resulted from the ignition of leaking natural gas, but determined that scenario \nunlikely. The natural gas supplied to CTA contained a mercaptan odorant. If there is a leak, the odor of \nthe gas is readily detectable by smell at one-fifth of the LEL of the gas. None of the employees working \non line 405 reported smelling natural gas during the night shift or on the morning of the incident. CSB \nreceived reports from a few employees who had smelled natural gas in other areas and believed that \nleaking gas might have provided fuel for the explosions. \nThe gas company and insurance investigators conducted a natural gas header leak test after the explosion. \nNo significant leaks were detected. Also, a CSB contractor tested the piping and components of the line \n405 natural gas fuel manifold (Appendix C). The results of these tests showed no leaks in the natural gas \nsupply or vent piping that would have caused gas to enter the building. \n7.1.2.2 Ignition of Flammable Vapors on Line 403 \nAnother possible initiating event considered by CSB was an explosion caused by the ignition of \naccumulated flammable vapor in the vent line to the roof incinerator on line 403. Overpressure in the line \nconnecting to the oven had caused a flange to separate, and inspection doors on the vent line were \npartially blown outward. Burn patterns on the incinerator stack indicated that it had been on fire. \nCSB determined this scenario unlikely because it is premised on the assumption that the explosion \noccurred inside the vent line while the line 403 oven was being started or that a flameout occurred. \nHowever, just as with line 405, the line 403 oven was operating during line cleaning. In addition, \nnumerous employees reported that the initial flash was observed at line 405—not line 403. Employees \nstanding to the north between the two processing lines and looking in the direction of line 403 stated that \nthey turned their heads toward line 405 when they heard the initial explosion. \n7.2 Testing of Materials \nCSB contracted with a laboratory to test 42 samples of material found in the production area of the \nfacility. Samples of phenolic resin and residual dust were tested to determine their fire and explosive \nproperties. Testing focused on the black resin because it was used on line 405, the probable location of \nthe initial explosion. \n7.2.1 Samples From Facility \nMicrographic analysis was conducted on all but two of the samples collected in the production area. \nAnalysis showed the presence of small particles or “clumps” of melted fiberglass in the samples. The \nresin was combined with fiberglass in the normal manufacturing process. \nDifferential Scanning Calorimetry (DSC) and PBD Ignition tests were conducted on 14 samples. Kst, \nMEC, MIE, and Hot Surface Ignition Temperature of a Dust Layer tests were conducted on 26 samples. \nTests were conducted in accordance with standards of the American Society for Testing and Materials \n(ASTM). Appendix B includes additional test results plus information regarding the test apparatus, \nsample specimens, and test procedures. Table 3 lists key test results for the resin. \nTable 3 \nBorden Chemical Black Phenolic Resin (Durite SD-52SS) Test Results \nProperties Results \nKst 165 bar-meters per second \nMIE 3 millijoules \nMEC 50 gram per cubic meter (g/m3\n) \nPBD No ignition observed (when subjected to \ndischarge of up to 45 kilovolts for 60 seconds) \nMoisture content as tested 1.2 weight percent (material was dried at 75ºC \nfor 3 hours) \nThese tests established that—with confinement and in the presence of a suitable ignition source—dust \nparticles of the phenolic resin will explode when suspended in air in adequate concentrations. \nTest data from the resin samples were also compared to the explosion characteristics of other common \ncombustible dusts—namely, Pittsburgh coal dust, polyethylene dust, and cornstarch. Figure 14 shows \nthat the Borden Chemical black phenolic resin used at CTA has a higher Kst value than the other dusts. \n7.2.2 Prepared Laboratory Samples \nDust that settled in the CTA production area was typically a mixture of phenolic resin and small \nfiberglass fibers. Samples of ground fiberglass and phenolic resin were mixed in varying percentages in \nthe CSB contractor’s laboratory and tested. The test results show that as the fiberglass content increased, \nthe mixtures remain explosible, but explosion severity decreased. \n7.3 Line 405 Equipment Testing \nCSB identified equipment on line 405 that required testing, including: \n• Oven temperature controller. \n• Gas piping and manifold components. \n• Electrical components near the point of origin of the fire. \nA CSB contractor tested these components. In some cases, fire and explosion damage prevented CSB \nfrom drawing useful conclusions. Results of the testing are presented below and in Appendix C. \nHoles for wiring in the burner temperature control box allowed fiberglass, dust, and oily material to enter \nand accumulate on electrical connections. This debris may have contributed to the failure of the \ntemperature controller. CSB could not determine if this actually impacted the operation of the controller \nbecause loss of electric power in the facility and failure of the backup battery erased the controller \nmemory. Therefore, no historical data were available regarding the operating temperatures of the oven \nprior to or during the incident. \nLine 405 distribution gas piping and oven manifold components were tested to determine whether they \nreleased natural gas (Section 7.1.2.1 and Appendix C). No leaks were found that would have released gas \ninto the building. \nElectrical components near the point of origin of the fire and explosion were tested to see if they were \nignition sources. No evidence was found in line 405 electrical boxes or associated wiring from the oven \noiling system that indicated they were a source of ignition."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"APPENDIX A: Fire and Explosion Damage",</w:t>
      </w:r>
    </w:p>
    <w:p>
      <w:pPr>
        <w:spacing w:before="0" w:after="0"/>
        <w:ind w:left="240" w:right="240"/>
        <w:jc w:val="both"/>
      </w:pPr>
      <w:r>
        <w:rPr>
          <w:rFonts w:ascii="Times New Roman" w:hAnsi="Times New Roman"/>
          <w:sz w:val="22"/>
        </w:rPr>
        <w:t>"text": "APPENDIX A: Fire and Explosion Damage \nTable A-1 lists damage at the CTA facility as a result of the February 20, 2003, fire and dust explosions. \nThe damage is broken down by specific plant area and likely cause. \nTable A-1 \nFire and Explosion Damage \nLocation Damage Cause \nLine 405 \nConcrete block masonry firewall on \neast side partially collapsed and \npushed eastward \nExplosion overpressure originated in area \nbetween oven and wall and in partially enclosed \narea above blend room and below ceiling \nMetal panels detached at south end of \npartially enclosed area above blend \nroom deformed in southward direction \nHigher explosion overpressure in partially \nenclosed area above blend room and below \nceiling \nDamage to building roof above line Higher explosion overpressure inside plant in \nthis area \nCeiling panels and lights pushed \ndownward \nHigher explosion overpressure in partially \nenclosed area above blend room \nWall and polycarbonate panels of \nblend room deformed and pushed out \nin westward direction \nHigher explosion overpressure inside blend \nroom \nCombustible material inside curing \noven burned away; metal conveyor \nburned clean and free of debris; no \nexplosion damage observed inside \noven \nBurning of accumulated phenolic resins and \nsome chain oil inside oven \nSouth of line \n405 \nConcrete block masonry firewalls \nsurrounding room directly south of line \nand near raw material storage area \npermanently deformed \nHigher explosion overpressure in room south of \nline \nFire scorching in area where no \nmasonry walls extend to ceiling; \nresidual burnt resin material attached \nto open-web steel joists \nPath of fire traveled from production area into \nraw material storage area \nBetween lines \n403 and 405 \nConcrete block masonry firewall in \nopen bay between lines collapsed \nDamage consistent with large rebound \nmovement of wall aided by wrap-around \npressure \nLine 403 \nMetal panels above east wall of blend \nroom pushed westward \nHigher explosion overpressure east of line \nOven exhaust line and thermal oxidizer \ninlet line separated \nHigher explosion overpressure inside thermal \noxidizer piping \nLocation Damage Cause \nLine 402 Metal wall panel separating lines 402 \nand 403 pushed westward \nHigher explosion overpressure in vents through \nwall panel \nLine 401 \nMetal panels of blend room enclosure, \nparticularly in northeast portion, \npermanently deformed outward \nHigher explosion overpressure inside blend \nroom due to confinement \nSteel columns in blend room \npermanently bent to west \nConcrete block masonry firewalls on \nsouth end collapsed or severely \ndeformed \nBuilding roof above blend room \nenclosure destroyed \nHigher explosion overpressure generated in \nconfined area between blend room roof and \nceiling \nNorth wall of \nchemical room \nSliding door bent and concrete block \nwall deformed \nHigher explosion overpressure from line 401 \nEast wall of \nplant north of \nloading dock \nMetal curtain wall pushed outward Higher explosion overpressure from line 405 \nvented outside building \nSouth wall of \nplant near new \ncylindrical dust \ncollector \nMetal curtain wall pushed outward Higher explosion overpressure from line 405 \nvented outside building \nWest wall of \nplant near \nsouth wall \nMetal curtain wall pushed outward Higher explosion overpressure from line 401 \nvented outside building \nNorth wall of \nplant near \nwest corner \nLoading dock door bent Higher explosion overpressure from line 401 \nvented outside building \nProduction \narea \nCharred combustible material adhered \nto vertical surfaces; horizontal \nsurfaces, covered by combustible \nmaterial, primarily charred at exposed \nexterior surfaces \nSlow burning of combustible phenolic resin \nmaterial throughout production area; hot gases \nfreely expanding throughout building prevented \nlarge overpressures from developing outside of \nblend rooms and confined areas above blend \nroom roofs \nBaghouses on \nlines 403 and \n405 \nBags burned up Fires inside baghouses \nDust collectors \non lines 401 \nand 402 \nAccess doors on dust collectors blown \noff \nHigher pressure inside dust collectors due to fire \nor venting of explosion overpressure"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"12.0 Root and Contributing Causes",</w:t>
      </w:r>
    </w:p>
    <w:p>
      <w:pPr>
        <w:spacing w:before="0" w:after="0"/>
        <w:ind w:left="240" w:right="240"/>
        <w:jc w:val="both"/>
      </w:pPr>
      <w:r>
        <w:rPr>
          <w:rFonts w:ascii="Times New Roman" w:hAnsi="Times New Roman"/>
          <w:sz w:val="22"/>
        </w:rPr>
        <w:t>"text": "12.0 Root and Contributing Causes \n12.1 Root Causes \n1. CTA management did not implement effective measures to prevent combustible dust \nexplosions. \n• Some managers discussed the explosion hazard of dust in the facility, but this information was \nnot communicated to the general work force. \n• CTA did not obtain and use NFPA 654 as recommended in Borden Chemical’s phenolic resin \nMSDS. \n2. The CTA cleaning and maintenance procedures for production lines did not prevent the \naccumulation of unsafe levels of combustible dust on elevated flat surfaces.\n• The use of metal tools, brooms, compressed air, and fans during line cleaning dispersed \ncombustible dust in potentially explosive concentrations and also caused it to settle on elevated \nflat surfaces throughout the facility. \n• The housekeeping program did not effectively remove combustible dust that accumulated in areas \nabove production lines. \n3. The CTA incident investigation program did not ensure that all oven fires were investigated \nand that underlying causes were identified and resolved. \nCTA safety personnel estimated that oven fires occurred on an average of once a week. \n4. The Borden Chemical product stewardship program did not explicitly convey to CTA the \nexplosive hazards of phenolic resins. \nThe Borden Chemical phenolic resin MSDSs noted that the phenolic resins were combustible dusts \nbut did not explicitly warn that they could be explosive. Following the catastrophic explosion at the \nJahn Foundry in 1999—which involved one of Borden Chemical’s phenolic resins—Borden \nChemical did not enhance warnings on its MSDSs nor did it communicate the safety lessons of the \nJahn investigation to CTA. \n5. The CertainTeed building design and CTA building modifications did not effectively address \nthe fire and explosion hazards associated with combustible dusts. \nThe NFPA 654 standard on combustible dust safety only applied to the plastics industry in 1972; it \ndid not cover operations such as CertainTeed’s. Nonetheless, following the building design \nprinciples contained in the standard could have prevented or mitigated the incident at CTA. Those \nprinciples include: \n• Minimizing flat surfaces to prevent accumulation of combustible dusts. \n• Installation of adequate firewalls and blast-resistant physical barriers and deflagration venting to \nprevent the spread of fire and explosive forces beyond the production area. \nCTA also did not use these principles when it made facility modifications. \n12.2 Contributing Causes \n1. The line 405 oven lacked fire detection devices and automatic sprinklers. \nNFPA 86, Standard for Ovens and Furnaces (2003), recommends evaluating the need to install \nautomatic water sprinklers in ovens that accumulate appreciable quantities of combustible material. \n2. CTA did not have effective procedures for evaluating the hazards associated with nonroutine \noperating conditions on line 405. \nOperating the oven with malfunctioning temperature control equipment and open doors was a \nnonroutine situation—the hazards of which were not recognized or controlled."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"Single incident only. The primary incident summary was taken from the 'Executive Summary'. The main incident narrative was extracted from '5.0 Incident Description' through the next top-level header. Additional hazard-evolution and consequence-development material was captured from '7.0 Reconstructive Analysis', 'APPENDIX A: Fire and Explosion Damage', and '12.0 Root and Contributing Causes'. Comparative discussions of Jahn Foundry and West Pharmaceutical were not split into separate incidents because they are background examples, not independent incident narratives in this document."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2. Identify Hazard Consequence</w:t>
      </w:r>
    </w:p>
    <w:p>
      <w:r>
        <w:rPr>
          <w:b/>
        </w:rPr>
        <w:t>Prompt:</w:t>
      </w:r>
    </w:p>
    <w:p>
      <w:pPr>
        <w:spacing w:before="0" w:after="0"/>
        <w:ind w:left="240" w:right="240"/>
        <w:jc w:val="both"/>
      </w:pPr>
      <w:r>
        <w:rPr>
          <w:rFonts w:ascii="Times New Roman" w:hAnsi="Times New Roman"/>
          <w:sz w:val="22"/>
        </w:rPr>
        <w:t>You are a process safety analyst.</w:t>
      </w:r>
    </w:p>
    <w:p>
      <w:pPr>
        <w:spacing w:before="0" w:after="0"/>
        <w:ind w:left="240" w:right="240"/>
        <w:jc w:val="both"/>
      </w:pPr>
      <w:r>
        <w:rPr>
          <w:rFonts w:ascii="Times New Roman" w:hAnsi="Times New Roman"/>
          <w:sz w:val="22"/>
        </w:rPr>
        <w:t>INPUT (JSON):</w:t>
      </w:r>
    </w:p>
    <w:p>
      <w:pPr>
        <w:spacing w:before="0" w:after="0"/>
        <w:ind w:left="240" w:right="240"/>
        <w:jc w:val="both"/>
      </w:pPr>
      <w:r>
        <w:rPr>
          <w:rFonts w:ascii="Times New Roman" w:hAnsi="Times New Roman"/>
          <w:sz w:val="22"/>
        </w:rPr>
        <w:t>HAZARD_CONSEQUENCE: {hazards_consequence_json}</w:t>
      </w:r>
    </w:p>
    <w:p>
      <w:pPr>
        <w:spacing w:before="0" w:after="0"/>
        <w:ind w:left="240" w:right="240"/>
        <w:jc w:val="both"/>
      </w:pPr>
      <w:r>
        <w:rPr>
          <w:rFonts w:ascii="Times New Roman" w:hAnsi="Times New Roman"/>
          <w:sz w:val="22"/>
        </w:rPr>
        <w:t>IDENTIFIED_INCIDENT: {identify_incident_output}</w:t>
      </w:r>
    </w:p>
    <w:p>
      <w:pPr>
        <w:spacing w:before="0" w:after="0"/>
        <w:ind w:left="240" w:right="240"/>
        <w:jc w:val="both"/>
      </w:pPr>
      <w:r>
        <w:rPr>
          <w:rFonts w:ascii="Times New Roman" w:hAnsi="Times New Roman"/>
          <w:sz w:val="22"/>
        </w:rPr>
        <w:t>OUTPUT_SCHEMA: {identify_hazard_consequence_scheme}</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Identify the primary hazard consequence of the incident.</w:t>
      </w:r>
    </w:p>
    <w:p>
      <w:pPr>
        <w:spacing w:before="0" w:after="0"/>
        <w:ind w:left="240" w:right="240"/>
        <w:jc w:val="both"/>
      </w:pPr>
      <w:r>
        <w:rPr>
          <w:rFonts w:ascii="Times New Roman" w:hAnsi="Times New Roman"/>
          <w:sz w:val="22"/>
        </w:rPr>
        <w:t>You must choose exactly one value from this HAZARD_CONSEQUENCE:</w:t>
      </w:r>
    </w:p>
    <w:p>
      <w:pPr>
        <w:spacing w:before="0" w:after="0"/>
        <w:ind w:left="240" w:right="240"/>
        <w:jc w:val="both"/>
      </w:pPr>
      <w:r>
        <w:rPr>
          <w:rFonts w:ascii="Times New Roman" w:hAnsi="Times New Roman"/>
          <w:sz w:val="22"/>
        </w:rPr>
        <w:t>Selection rules</w:t>
      </w:r>
    </w:p>
    <w:p>
      <w:pPr>
        <w:spacing w:before="0" w:after="0"/>
        <w:ind w:left="240" w:right="240"/>
        <w:jc w:val="both"/>
      </w:pPr>
      <w:r>
        <w:rPr>
          <w:rFonts w:ascii="Times New Roman" w:hAnsi="Times New Roman"/>
          <w:sz w:val="22"/>
        </w:rPr>
        <w:t>1. Select the hazard consequence that is the primary focus of the incident analysis in the report.</w:t>
      </w:r>
    </w:p>
    <w:p>
      <w:pPr>
        <w:spacing w:before="0" w:after="0"/>
        <w:ind w:left="240" w:right="240"/>
        <w:jc w:val="both"/>
      </w:pPr>
      <w:r>
        <w:rPr>
          <w:rFonts w:ascii="Times New Roman" w:hAnsi="Times New Roman"/>
          <w:sz w:val="22"/>
        </w:rPr>
        <w:t>2. The selected hazard consequence should correspond to the event whose mechanism, causes, or development is mainly analyzed in the incident description.</w:t>
      </w:r>
    </w:p>
    <w:p>
      <w:pPr>
        <w:spacing w:before="0" w:after="0"/>
        <w:ind w:left="240" w:right="240"/>
        <w:jc w:val="both"/>
      </w:pPr>
      <w:r>
        <w:rPr>
          <w:rFonts w:ascii="Times New Roman" w:hAnsi="Times New Roman"/>
          <w:sz w:val="22"/>
        </w:rPr>
        <w:t>3. If multiple hazardous events occurred (e.g., fire followed by explosion), select the event that represents the central hazardous phenomenon rather than secondary escalation events.</w:t>
      </w:r>
    </w:p>
    <w:p>
      <w:pPr>
        <w:spacing w:before="0" w:after="0"/>
        <w:ind w:left="240" w:right="240"/>
        <w:jc w:val="both"/>
      </w:pPr>
      <w:r>
        <w:rPr>
          <w:rFonts w:ascii="Times New Roman" w:hAnsi="Times New Roman"/>
          <w:sz w:val="22"/>
        </w:rPr>
        <w:t>4. Prefer the hazardous event that best represents the main accident mechanism discussed in the report.</w:t>
      </w:r>
    </w:p>
    <w:p>
      <w:pPr>
        <w:spacing w:before="0" w:after="0"/>
        <w:ind w:left="240" w:right="240"/>
        <w:jc w:val="both"/>
      </w:pPr>
      <w:r>
        <w:rPr>
          <w:rFonts w:ascii="Times New Roman" w:hAnsi="Times New Roman"/>
          <w:sz w:val="22"/>
        </w:rPr>
        <w:t>5. Use the incident summary, accident description, and cause statement as the highest-priority evidence.</w:t>
      </w:r>
    </w:p>
    <w:p>
      <w:pPr>
        <w:spacing w:before="0" w:after="0"/>
        <w:ind w:left="240" w:right="240"/>
        <w:jc w:val="both"/>
      </w:pPr>
      <w:r>
        <w:rPr>
          <w:rFonts w:ascii="Times New Roman" w:hAnsi="Times New Roman"/>
          <w:sz w:val="22"/>
        </w:rPr>
        <w:t>6. You must explicitly consider every label in HAZARD_CONSEQUENCE before selecting the final label.</w:t>
      </w:r>
    </w:p>
    <w:p>
      <w:pPr>
        <w:spacing w:before="0" w:after="0"/>
        <w:ind w:left="240" w:right="240"/>
        <w:jc w:val="both"/>
      </w:pPr>
      <w:r>
        <w:rPr>
          <w:rFonts w:ascii="Times New Roman" w:hAnsi="Times New Roman"/>
          <w:sz w:val="22"/>
        </w:rPr>
        <w:t>7. excluded_alternatives must include all non-selected labels, each with a brief exclusion reason.</w:t>
      </w:r>
    </w:p>
    <w:p>
      <w:pPr>
        <w:spacing w:before="0" w:after="0"/>
        <w:ind w:left="240" w:right="240"/>
        <w:jc w:val="both"/>
      </w:pPr>
      <w:r>
        <w:rPr>
          <w:rFonts w:ascii="Times New Roman" w:hAnsi="Times New Roman"/>
          <w:sz w:val="22"/>
        </w:rPr>
        <w:t>8. Do not omit any label from the evaluation.</w:t>
      </w:r>
    </w:p>
    <w:p>
      <w:pPr>
        <w:spacing w:before="0" w:after="0"/>
        <w:ind w:left="240" w:right="240"/>
        <w:jc w:val="both"/>
      </w:pPr>
      <w:r>
        <w:rPr>
          <w:rFonts w:ascii="Times New Roman" w:hAnsi="Times New Roman"/>
          <w:sz w:val="22"/>
        </w:rPr>
        <w:t>Return JSON only in the following format OUTPUT_SCHEMA:</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"Dust explosion",</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Executive Summary states: \"A February 20, 2003, dust explosion at the CTA Acoustics, Inc. facility in Corbin, Kentucky, killed seven and injured 37 workers.\" It also states that \"combustible phenolic resin dust that had accumulated throughout the facility fueled the explosion.\" The incident description further says that the initial explosion and later secondary explosions were caused when dispersed combustible dust ignited.",</w:t>
      </w:r>
    </w:p>
    <w:p>
      <w:pPr>
        <w:spacing w:before="0" w:after="0"/>
        <w:ind w:left="240" w:right="240"/>
        <w:jc w:val="both"/>
      </w:pPr>
      <w:r>
        <w:rPr>
          <w:rFonts w:ascii="Times New Roman" w:hAnsi="Times New Roman"/>
          <w:sz w:val="22"/>
        </w:rPr>
        <w:t>"explanation": "The report’s main analysis centers on combustible phenolic resin dust accumulation, dispersion during cleaning, ignition near line 405, and propagation into secondary dust explosions across the facility. This makes dust explosion the primary hazard consequence, while fires, fireballs, and confined effects are escalation phenomena within the same dust-explosion event sequence.",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"explanation": {</w:t>
      </w:r>
    </w:p>
    <w:p>
      <w:pPr>
        <w:spacing w:before="0" w:after="0"/>
        <w:ind w:left="240" w:right="240"/>
        <w:jc w:val="both"/>
      </w:pPr>
      <w:r>
        <w:rPr>
          <w:rFonts w:ascii="Times New Roman" w:hAnsi="Times New Roman"/>
          <w:sz w:val="22"/>
        </w:rPr>
        <w:t>"reasoning": "Dust explosion is the primary hazard consequence because the report repeatedly identifies the event as a dust explosion, attributes the fatalities and damage to combustible dust ignition and propagation, and focuses its root-cause analysis on combustible dust accumulation, housekeeping, maintenance, and explosion prevention.",</w:t>
      </w:r>
    </w:p>
    <w:p>
      <w:pPr>
        <w:spacing w:before="0" w:after="0"/>
        <w:ind w:left="240" w:right="240"/>
        <w:jc w:val="both"/>
      </w:pPr>
      <w:r>
        <w:rPr>
          <w:rFonts w:ascii="Times New Roman" w:hAnsi="Times New Roman"/>
          <w:sz w:val="22"/>
        </w:rPr>
        <w:t>"excluded_alternatives":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"VCE",</w:t>
      </w:r>
    </w:p>
    <w:p>
      <w:pPr>
        <w:spacing w:before="0" w:after="0"/>
        <w:ind w:left="240" w:right="240"/>
        <w:jc w:val="both"/>
      </w:pPr>
      <w:r>
        <w:rPr>
          <w:rFonts w:ascii="Times New Roman" w:hAnsi="Times New Roman"/>
          <w:sz w:val="22"/>
        </w:rPr>
        <w:t>"reason": "No vapor cloud release of flammable gas or vapor was identified as the main mechanism; natural gas was specifically investigated and ruled out."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"BLEVE",</w:t>
      </w:r>
    </w:p>
    <w:p>
      <w:pPr>
        <w:spacing w:before="0" w:after="0"/>
        <w:ind w:left="240" w:right="240"/>
        <w:jc w:val="both"/>
      </w:pPr>
      <w:r>
        <w:rPr>
          <w:rFonts w:ascii="Times New Roman" w:hAnsi="Times New Roman"/>
          <w:sz w:val="22"/>
        </w:rPr>
        <w:t>"reason": "There was no boiling liquid expanding vapor explosion involving a pressurized vessel containing liquefied gas."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"Confined explosion",</w:t>
      </w:r>
    </w:p>
    <w:p>
      <w:pPr>
        <w:spacing w:before="0" w:after="0"/>
        <w:ind w:left="240" w:right="240"/>
        <w:jc w:val="both"/>
      </w:pPr>
      <w:r>
        <w:rPr>
          <w:rFonts w:ascii="Times New Roman" w:hAnsi="Times New Roman"/>
          <w:sz w:val="22"/>
        </w:rPr>
        <w:t>"reason": "Some secondary explosions occurred in confined areas above blend rooms, but these were secondary manifestations of the broader combustible dust explosion scenario rather than the main incident type."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"Pool fire",</w:t>
      </w:r>
    </w:p>
    <w:p>
      <w:pPr>
        <w:spacing w:before="0" w:after="0"/>
        <w:ind w:left="240" w:right="240"/>
        <w:jc w:val="both"/>
      </w:pPr>
      <w:r>
        <w:rPr>
          <w:rFonts w:ascii="Times New Roman" w:hAnsi="Times New Roman"/>
          <w:sz w:val="22"/>
        </w:rPr>
        <w:t>"reason": "There was no burning liquid pool as the central event."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"Jet fire",</w:t>
      </w:r>
    </w:p>
    <w:p>
      <w:pPr>
        <w:spacing w:before="0" w:after="0"/>
        <w:ind w:left="240" w:right="240"/>
        <w:jc w:val="both"/>
      </w:pPr>
      <w:r>
        <w:rPr>
          <w:rFonts w:ascii="Times New Roman" w:hAnsi="Times New Roman"/>
          <w:sz w:val="22"/>
        </w:rPr>
        <w:t>"reason": "There was no sustained pressurized release producing a jet flame."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"Fire ball",</w:t>
      </w:r>
    </w:p>
    <w:p>
      <w:pPr>
        <w:spacing w:before="0" w:after="0"/>
        <w:ind w:left="240" w:right="240"/>
        <w:jc w:val="both"/>
      </w:pPr>
      <w:r>
        <w:rPr>
          <w:rFonts w:ascii="Times New Roman" w:hAnsi="Times New Roman"/>
          <w:sz w:val="22"/>
        </w:rPr>
        <w:t>"reason": "Witnesses described fireballs, but these were effects of the dust explosions and flame propagation, not the primary accident mechanism analyzed."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"Flash fire",</w:t>
      </w:r>
    </w:p>
    <w:p>
      <w:pPr>
        <w:spacing w:before="0" w:after="0"/>
        <w:ind w:left="240" w:right="240"/>
        <w:jc w:val="both"/>
      </w:pPr>
      <w:r>
        <w:rPr>
          <w:rFonts w:ascii="Times New Roman" w:hAnsi="Times New Roman"/>
          <w:sz w:val="22"/>
        </w:rPr>
        <w:t>"reason": "Although flame spread occurred through dispersed combustibles, the report emphasizes explosion overpressure and combustible dust explosibility rather than a non-overpressure flash fire."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"Toxicity dispersion",</w:t>
      </w:r>
    </w:p>
    <w:p>
      <w:pPr>
        <w:spacing w:before="0" w:after="0"/>
        <w:ind w:left="240" w:right="240"/>
        <w:jc w:val="both"/>
      </w:pPr>
      <w:r>
        <w:rPr>
          <w:rFonts w:ascii="Times New Roman" w:hAnsi="Times New Roman"/>
          <w:sz w:val="22"/>
        </w:rPr>
        <w:t>"reason": "Potential toxic combustion products prompted evacuation, but air monitoring found no toxic levels and toxic release was not the main incident consequence analyzed."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"Asphyxiation",</w:t>
      </w:r>
    </w:p>
    <w:p>
      <w:pPr>
        <w:spacing w:before="0" w:after="0"/>
        <w:ind w:left="240" w:right="240"/>
        <w:jc w:val="both"/>
      </w:pPr>
      <w:r>
        <w:rPr>
          <w:rFonts w:ascii="Times New Roman" w:hAnsi="Times New Roman"/>
          <w:sz w:val="22"/>
        </w:rPr>
        <w:t>"reason": "The injuries and fatalities were due to burns and explosion effects, not oxygen deficiency or inert gas displacement."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3. Identify Accident Scenarios</w:t>
      </w:r>
    </w:p>
    <w:p>
      <w:r>
        <w:rPr>
          <w:b/>
        </w:rPr>
        <w:t>Prompt:</w:t>
      </w:r>
    </w:p>
    <w:p>
      <w:pPr>
        <w:spacing w:before="0" w:after="0"/>
        <w:ind w:left="240" w:right="240"/>
        <w:jc w:val="both"/>
      </w:pPr>
      <w:r>
        <w:rPr>
          <w:rFonts w:ascii="Times New Roman" w:hAnsi="Times New Roman"/>
          <w:sz w:val="22"/>
        </w:rPr>
        <w:t>You are a process safety analyst specializing in accident investigation and hazard scenario reconstruction.</w:t>
      </w:r>
    </w:p>
    <w:p>
      <w:pPr>
        <w:spacing w:before="0" w:after="0"/>
        <w:ind w:left="240" w:right="240"/>
        <w:jc w:val="both"/>
      </w:pPr>
      <w:r>
        <w:rPr>
          <w:rFonts w:ascii="Times New Roman" w:hAnsi="Times New Roman"/>
          <w:sz w:val="22"/>
        </w:rPr>
        <w:t>INPUT DATA</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IDENTIFIED_HAZARD_CONSEQUENCE</w:t>
      </w:r>
    </w:p>
    <w:p>
      <w:pPr>
        <w:spacing w:before="0" w:after="0"/>
        <w:ind w:left="240" w:right="240"/>
        <w:jc w:val="both"/>
      </w:pPr>
      <w:r>
        <w:rPr>
          <w:rFonts w:ascii="Times New Roman" w:hAnsi="Times New Roman"/>
          <w:sz w:val="22"/>
        </w:rPr>
        <w:t>{identify_hazard_consequence_output}</w:t>
      </w:r>
    </w:p>
    <w:p>
      <w:pPr>
        <w:spacing w:before="0" w:after="0"/>
        <w:ind w:left="240" w:right="240"/>
        <w:jc w:val="both"/>
      </w:pPr>
      <w:r>
        <w:rPr>
          <w:rFonts w:ascii="Times New Roman" w:hAnsi="Times New Roman"/>
          <w:sz w:val="22"/>
        </w:rPr>
        <w:t>SCHEMA</w:t>
      </w:r>
    </w:p>
    <w:p>
      <w:pPr>
        <w:spacing w:before="0" w:after="0"/>
        <w:ind w:left="240" w:right="240"/>
        <w:jc w:val="both"/>
      </w:pPr>
      <w:r>
        <w:rPr>
          <w:rFonts w:ascii="Times New Roman" w:hAnsi="Times New Roman"/>
          <w:sz w:val="22"/>
        </w:rPr>
        <w:t>{accident_scenario_schema}</w:t>
      </w:r>
    </w:p>
    <w:p>
      <w:pPr>
        <w:spacing w:before="0" w:after="0"/>
        <w:ind w:left="240" w:right="240"/>
        <w:jc w:val="both"/>
      </w:pPr>
      <w:r>
        <w:rPr>
          <w:rFonts w:ascii="Times New Roman" w:hAnsi="Times New Roman"/>
          <w:sz w:val="22"/>
        </w:rPr>
        <w:t>SCHEMA_DEFINITION</w:t>
      </w:r>
    </w:p>
    <w:p>
      <w:pPr>
        <w:spacing w:before="0" w:after="0"/>
        <w:ind w:left="240" w:right="240"/>
        <w:jc w:val="both"/>
      </w:pPr>
      <w:r>
        <w:rPr>
          <w:rFonts w:ascii="Times New Roman" w:hAnsi="Times New Roman"/>
          <w:sz w:val="22"/>
        </w:rPr>
        <w:t>{accident_scenario_schema_definition}</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Based on the INCIDENT_DESCRIPTION and the IDENTIFIED_HAZARD_CONSEQUENCE, extract the accident scenario information and populate the SCHEMA.</w:t>
      </w:r>
    </w:p>
    <w:p>
      <w:pPr>
        <w:spacing w:before="0" w:after="0"/>
        <w:ind w:left="240" w:right="240"/>
        <w:jc w:val="both"/>
      </w:pPr>
      <w:r>
        <w:rPr>
          <w:rFonts w:ascii="Times New Roman" w:hAnsi="Times New Roman"/>
          <w:sz w:val="22"/>
        </w:rPr>
        <w:t>You must strictly follow the provided SCHEMA and SCHEMA_DEFINITION.</w:t>
      </w:r>
    </w:p>
    <w:p>
      <w:pPr>
        <w:spacing w:before="0" w:after="0"/>
        <w:ind w:left="240" w:right="240"/>
        <w:jc w:val="both"/>
      </w:pPr>
      <w:r>
        <w:rPr>
          <w:rFonts w:ascii="Times New Roman" w:hAnsi="Times New Roman"/>
          <w:sz w:val="22"/>
        </w:rPr>
        <w:t>Your task is to identify the key elements of the accident scenario including:</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1. Use the incident description as the primary source of information.</w:t>
      </w:r>
    </w:p>
    <w:p>
      <w:pPr>
        <w:spacing w:before="0" w:after="0"/>
        <w:ind w:left="240" w:right="240"/>
        <w:jc w:val="both"/>
      </w:pPr>
      <w:r>
        <w:rPr>
          <w:rFonts w:ascii="Times New Roman" w:hAnsi="Times New Roman"/>
          <w:sz w:val="22"/>
        </w:rPr>
        <w:t>2. The hazard_consequence must copy the node provided in IDENTIFIED_HAZARD_CONSEQUENCE.</w:t>
      </w:r>
    </w:p>
    <w:p>
      <w:pPr>
        <w:spacing w:before="0" w:after="0"/>
        <w:ind w:left="240" w:right="240"/>
        <w:jc w:val="both"/>
      </w:pPr>
      <w:r>
        <w:rPr>
          <w:rFonts w:ascii="Times New Roman" w:hAnsi="Times New Roman"/>
          <w:sz w:val="22"/>
        </w:rPr>
        <w:t>3. Evidence must be a short quote copied directly from the incident description whenever possible.</w:t>
      </w:r>
    </w:p>
    <w:p>
      <w:pPr>
        <w:spacing w:before="0" w:after="0"/>
        <w:ind w:left="240" w:right="240"/>
        <w:jc w:val="both"/>
      </w:pPr>
      <w:r>
        <w:rPr>
          <w:rFonts w:ascii="Times New Roman" w:hAnsi="Times New Roman"/>
          <w:sz w:val="22"/>
        </w:rPr>
        <w:t>4. Do not invent or paraphrase evidence.</w:t>
      </w:r>
    </w:p>
    <w:p>
      <w:pPr>
        <w:spacing w:before="0" w:after="0"/>
        <w:ind w:left="240" w:right="240"/>
        <w:jc w:val="both"/>
      </w:pPr>
      <w:r>
        <w:rPr>
          <w:rFonts w:ascii="Times New Roman" w:hAnsi="Times New Roman"/>
          <w:sz w:val="22"/>
        </w:rPr>
        <w:t>5. If information is not available in the incident description or reliable sources, return "Not specified".</w:t>
      </w:r>
    </w:p>
    <w:p>
      <w:pPr>
        <w:spacing w:before="0" w:after="0"/>
        <w:ind w:left="240" w:right="240"/>
        <w:jc w:val="both"/>
      </w:pPr>
      <w:r>
        <w:rPr>
          <w:rFonts w:ascii="Times New Roman" w:hAnsi="Times New Roman"/>
          <w:sz w:val="22"/>
        </w:rPr>
        <w:t>6. When determining the hazardous material, select the material that most directly drives the hazard consequence.</w:t>
      </w:r>
    </w:p>
    <w:p>
      <w:pPr>
        <w:spacing w:before="0" w:after="0"/>
        <w:ind w:left="240" w:right="240"/>
        <w:jc w:val="both"/>
      </w:pPr>
      <w:r>
        <w:rPr>
          <w:rFonts w:ascii="Times New Roman" w:hAnsi="Times New Roman"/>
          <w:sz w:val="22"/>
        </w:rPr>
        <w:t>7. For source, only use values allowed by the SCHEMA.</w:t>
      </w:r>
    </w:p>
    <w:p>
      <w:pPr>
        <w:spacing w:before="0" w:after="0"/>
        <w:ind w:left="240" w:right="240"/>
        <w:jc w:val="both"/>
      </w:pPr>
      <w:r>
        <w:rPr>
          <w:rFonts w:ascii="Times New Roman" w:hAnsi="Times New Roman"/>
          <w:sz w:val="22"/>
        </w:rPr>
        <w:t>8. The initiating event should represent the earliest abnormal condition that begins the accident sequence.</w:t>
      </w:r>
    </w:p>
    <w:p>
      <w:pPr>
        <w:spacing w:before="0" w:after="0"/>
        <w:ind w:left="240" w:right="240"/>
        <w:jc w:val="both"/>
      </w:pPr>
      <w:r>
        <w:rPr>
          <w:rFonts w:ascii="Times New Roman" w:hAnsi="Times New Roman"/>
          <w:sz w:val="22"/>
        </w:rPr>
        <w:t>9. The mechanical failure should represent the equipment failure that directly leads to the loss of containment or material release.</w:t>
      </w:r>
    </w:p>
    <w:p>
      <w:pPr>
        <w:spacing w:before="0" w:after="0"/>
        <w:ind w:left="240" w:right="240"/>
        <w:jc w:val="both"/>
      </w:pPr>
      <w:r>
        <w:rPr>
          <w:rFonts w:ascii="Times New Roman" w:hAnsi="Times New Roman"/>
          <w:sz w:val="22"/>
        </w:rPr>
        <w:t>10. Release type should describe whether the release occurred suddenly (instant) or over time (continuous).</w:t>
      </w:r>
    </w:p>
    <w:p>
      <w:pPr>
        <w:spacing w:before="0" w:after="0"/>
        <w:ind w:left="240" w:right="240"/>
        <w:jc w:val="both"/>
      </w:pPr>
      <w:r>
        <w:rPr>
          <w:rFonts w:ascii="Times New Roman" w:hAnsi="Times New Roman"/>
          <w:sz w:val="22"/>
        </w:rPr>
        <w:t>11. Ignition timing should reflect whether ignition occurred immediately after release or after some delay.</w:t>
      </w:r>
    </w:p>
    <w:p>
      <w:pPr>
        <w:spacing w:before="0" w:after="0"/>
        <w:ind w:left="240" w:right="240"/>
        <w:jc w:val="both"/>
      </w:pPr>
      <w:r>
        <w:rPr>
          <w:rFonts w:ascii="Times New Roman" w:hAnsi="Times New Roman"/>
          <w:sz w:val="22"/>
        </w:rPr>
        <w:t>12. Confinement level should reflect the physical surroundings of the release location.</w:t>
      </w:r>
    </w:p>
    <w:p>
      <w:pPr>
        <w:spacing w:before="0" w:after="0"/>
        <w:ind w:left="240" w:right="240"/>
        <w:jc w:val="both"/>
      </w:pPr>
      <w:r>
        <w:rPr>
          <w:rFonts w:ascii="Times New Roman" w:hAnsi="Times New Roman"/>
          <w:sz w:val="22"/>
        </w:rPr>
        <w:t>13. Dispersion presence indicates whether the released material dispersed as a vapor or gas cloud prior to ignition or harmful exposure.</w:t>
      </w:r>
    </w:p>
    <w:p>
      <w:pPr>
        <w:spacing w:before="0" w:after="0"/>
        <w:ind w:left="240" w:right="240"/>
        <w:jc w:val="both"/>
      </w:pPr>
      <w:r>
        <w:rPr>
          <w:rFonts w:ascii="Times New Roman" w:hAnsi="Times New Roman"/>
          <w:sz w:val="22"/>
        </w:rPr>
        <w:t>14. Only populate scenario elements that actually occurred in the incident and are supported by the IDENTIFIED_HAZARD_CONSEQUENCE.</w:t>
      </w:r>
    </w:p>
    <w:p>
      <w:pPr>
        <w:spacing w:before="0" w:after="0"/>
        <w:ind w:left="240" w:right="240"/>
        <w:jc w:val="both"/>
      </w:pPr>
      <w:r>
        <w:rPr>
          <w:rFonts w:ascii="Times New Roman" w:hAnsi="Times New Roman"/>
          <w:sz w:val="22"/>
        </w:rPr>
        <w:t>15. Do not add events, intermediate conditions, or mechanism components only because they are commonly associated with the selected hazard consequence.</w:t>
      </w:r>
    </w:p>
    <w:p>
      <w:pPr>
        <w:spacing w:before="0" w:after="0"/>
        <w:ind w:left="240" w:right="240"/>
        <w:jc w:val="both"/>
      </w:pPr>
      <w:r>
        <w:rPr>
          <w:rFonts w:ascii="Times New Roman" w:hAnsi="Times New Roman"/>
          <w:sz w:val="22"/>
        </w:rPr>
        <w:t>16. Do not generate a generic hazard template. Generate only the accident scenario that was actually realized in this incident.</w:t>
      </w:r>
    </w:p>
    <w:p>
      <w:pPr>
        <w:spacing w:before="0" w:after="0"/>
        <w:ind w:left="240" w:right="240"/>
        <w:jc w:val="both"/>
      </w:pPr>
      <w:r>
        <w:rPr>
          <w:rFonts w:ascii="Times New Roman" w:hAnsi="Times New Roman"/>
          <w:sz w:val="22"/>
        </w:rPr>
        <w:t>17. If ignition clearly occurred but the exact ignition source is not identified in the incident description, create an IgnitionSource event with the name "Unknown ignition source" instead of "Not specified".</w:t>
      </w:r>
    </w:p>
    <w:p>
      <w:pPr>
        <w:spacing w:before="0" w:after="0"/>
        <w:ind w:left="240" w:right="240"/>
        <w:jc w:val="both"/>
      </w:pPr>
      <w:r>
        <w:rPr>
          <w:rFonts w:ascii="Times New Roman" w:hAnsi="Times New Roman"/>
          <w:sz w:val="22"/>
        </w:rPr>
        <w:t>18. If a mechanical failure clearly occurred but the exact failed component or exact failure mode is not identified in the incident description, create a MechanicalFailure event with the name "Unknown mechanical failure" instead of "Not specified".</w:t>
      </w:r>
    </w:p>
    <w:p>
      <w:pPr>
        <w:spacing w:before="0" w:after="0"/>
        <w:ind w:left="240" w:right="240"/>
        <w:jc w:val="both"/>
      </w:pPr>
      <w:r>
        <w:rPr>
          <w:rFonts w:ascii="Times New Roman" w:hAnsi="Times New Roman"/>
          <w:sz w:val="22"/>
        </w:rPr>
        <w:t>19. Use "Not specified" for IgnitionSource or MechanicalFailure only when the report does not provide enough support to identify whether that event should be represented at all.</w:t>
      </w:r>
    </w:p>
    <w:p>
      <w:pPr>
        <w:spacing w:before="0" w:after="0"/>
        <w:ind w:left="240" w:right="240"/>
        <w:jc w:val="both"/>
      </w:pPr>
      <w:r>
        <w:rPr>
          <w:rFonts w:ascii="Times New Roman" w:hAnsi="Times New Roman"/>
          <w:sz w:val="22"/>
        </w:rPr>
        <w:t>20. If the incident description presents a tightly connected upstream operational or physical process that directly leads to the first abnormal event, the InitiatingEvent name may summarize that connected process in one concise event name.</w:t>
      </w:r>
    </w:p>
    <w:p>
      <w:pPr>
        <w:spacing w:before="0" w:after="0"/>
        <w:ind w:left="240" w:right="240"/>
        <w:jc w:val="both"/>
      </w:pPr>
      <w:r>
        <w:rPr>
          <w:rFonts w:ascii="Times New Roman" w:hAnsi="Times New Roman"/>
          <w:sz w:val="22"/>
        </w:rPr>
        <w:t>21. Do not merge multiple distinct downstream events, failure events, ignition events, or hazard consequences into the InitiatingEvent name. Only combine closely connected precursor steps that jointly define the same initiating mechanism.</w:t>
      </w:r>
    </w:p>
    <w:p>
      <w:pPr>
        <w:spacing w:before="0" w:after="0"/>
        <w:ind w:left="240" w:right="240"/>
        <w:jc w:val="both"/>
      </w:pPr>
      <w:r>
        <w:rPr>
          <w:rFonts w:ascii="Times New Roman" w:hAnsi="Times New Roman"/>
          <w:sz w:val="22"/>
        </w:rPr>
        <w:t>22. For example, if stop-start transfer pumping caused turbulence and bubbling, which directly caused rapid static charge accumulation, these closely connected steps may be summarized in one InitiatingEvent. However, later mechanical failure or ignition steps should remain separate events.</w:t>
      </w:r>
    </w:p>
    <w:p>
      <w:pPr>
        <w:spacing w:before="0" w:after="0"/>
        <w:ind w:left="240" w:right="240"/>
        <w:jc w:val="both"/>
      </w:pPr>
      <w:r>
        <w:rPr>
          <w:rFonts w:ascii="Times New Roman" w:hAnsi="Times New Roman"/>
          <w:sz w:val="22"/>
        </w:rPr>
        <w:t>Source rules</w:t>
      </w:r>
    </w:p>
    <w:p>
      <w:pPr>
        <w:spacing w:before="0" w:after="0"/>
        <w:ind w:left="240" w:right="240"/>
        <w:jc w:val="both"/>
      </w:pPr>
      <w:r>
        <w:rPr>
          <w:rFonts w:ascii="Times New Roman" w:hAnsi="Times New Roman"/>
          <w:sz w:val="22"/>
        </w:rPr>
        <w:t>If the information is derived from the incident report,</w:t>
      </w:r>
    </w:p>
    <w:p>
      <w:pPr>
        <w:spacing w:before="0" w:after="0"/>
        <w:ind w:left="240" w:right="240"/>
        <w:jc w:val="both"/>
      </w:pPr>
      <w:r>
        <w:rPr>
          <w:rFonts w:ascii="Times New Roman" w:hAnsi="Times New Roman"/>
          <w:sz w:val="22"/>
        </w:rPr>
        <w:t>set source to "incident_description".</w:t>
      </w:r>
    </w:p>
    <w:p>
      <w:pPr>
        <w:spacing w:before="0" w:after="0"/>
        <w:ind w:left="240" w:right="240"/>
        <w:jc w:val="both"/>
      </w:pPr>
      <w:r>
        <w:rPr>
          <w:rFonts w:ascii="Times New Roman" w:hAnsi="Times New Roman"/>
          <w:sz w:val="22"/>
        </w:rPr>
        <w:t>If the information cannot be determined, use "Not specified".</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Return a JSON object that strictly follows the structure defined in SCHEMA.</w:t>
      </w:r>
    </w:p>
    <w:p>
      <w:pPr>
        <w:spacing w:before="0" w:after="0"/>
        <w:ind w:left="240" w:right="240"/>
        <w:jc w:val="both"/>
      </w:pPr>
      <w:r>
        <w:rPr>
          <w:rFonts w:ascii="Times New Roman" w:hAnsi="Times New Roman"/>
          <w:sz w:val="22"/>
        </w:rPr>
        <w:t>The output must:</w:t>
      </w:r>
    </w:p>
    <w:p>
      <w:pPr>
        <w:spacing w:before="0" w:after="0"/>
        <w:ind w:left="240" w:right="240"/>
        <w:jc w:val="both"/>
      </w:pPr>
      <w:r>
        <w:rPr>
          <w:rFonts w:ascii="Times New Roman" w:hAnsi="Times New Roman"/>
          <w:sz w:val="22"/>
        </w:rPr>
        <w:t>• Use the exact field names defined in the SCHEMA</w:t>
      </w:r>
    </w:p>
    <w:p>
      <w:pPr>
        <w:spacing w:before="0" w:after="0"/>
        <w:ind w:left="240" w:right="240"/>
        <w:jc w:val="both"/>
      </w:pPr>
      <w:r>
        <w:rPr>
          <w:rFonts w:ascii="Times New Roman" w:hAnsi="Times New Roman"/>
          <w:sz w:val="22"/>
        </w:rPr>
        <w:t>• Use only the allowed values specified in the SCHEMA</w:t>
      </w:r>
    </w:p>
    <w:p>
      <w:pPr>
        <w:spacing w:before="0" w:after="0"/>
        <w:ind w:left="240" w:right="240"/>
        <w:jc w:val="both"/>
      </w:pPr>
      <w:r>
        <w:rPr>
          <w:rFonts w:ascii="Times New Roman" w:hAnsi="Times New Roman"/>
          <w:sz w:val="22"/>
        </w:rPr>
        <w:t>• Include evidence quotes whenever required</w:t>
      </w:r>
    </w:p>
    <w:p>
      <w:pPr>
        <w:spacing w:before="0" w:after="0"/>
        <w:ind w:left="240" w:right="240"/>
        <w:jc w:val="both"/>
      </w:pPr>
      <w:r>
        <w:rPr>
          <w:rFonts w:ascii="Times New Roman" w:hAnsi="Times New Roman"/>
          <w:sz w:val="22"/>
        </w:rPr>
        <w:t>• Use "Not specified" if the information cannot be determined</w:t>
      </w:r>
    </w:p>
    <w:p>
      <w:pPr>
        <w:spacing w:before="0" w:after="0"/>
        <w:ind w:left="240" w:right="240"/>
        <w:jc w:val="both"/>
      </w:pPr>
      <w:r>
        <w:rPr>
          <w:rFonts w:ascii="Times New Roman" w:hAnsi="Times New Roman"/>
          <w:sz w:val="22"/>
        </w:rPr>
        <w:t>OUTPUT FORMAT</w:t>
      </w:r>
    </w:p>
    <w:p>
      <w:pPr>
        <w:spacing w:before="0" w:after="0"/>
        <w:ind w:left="240" w:right="240"/>
        <w:jc w:val="both"/>
      </w:pPr>
      <w:r>
        <w:rPr>
          <w:rFonts w:ascii="Times New Roman" w:hAnsi="Times New Roman"/>
          <w:sz w:val="22"/>
        </w:rPr>
        <w:t>Return JSON only.</w:t>
      </w:r>
    </w:p>
    <w:p>
      <w:pPr>
        <w:spacing w:before="0" w:after="0"/>
        <w:ind w:left="240" w:right="240"/>
        <w:jc w:val="both"/>
      </w:pPr>
      <w:r>
        <w:rPr>
          <w:rFonts w:ascii="Times New Roman" w:hAnsi="Times New Roman"/>
          <w:sz w:val="22"/>
        </w:rPr>
        <w:t>Do not include explanations or additional text outside the JSON structure.</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"Dust explosion",</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Executive Summary states: \"A February 20, 2003, dust explosion at the CTA Acoustics, Inc. facility in Corbin, Kentucky, killed seven and injured 37 workers.\" It also states that \"combustible phenolic resin dust that had accumulated throughout the facility fueled the explosion.\" The incident description further says that the initial explosion and later secondary explosions were caused when dispersed combustible dust ignited.",</w:t>
      </w:r>
    </w:p>
    <w:p>
      <w:pPr>
        <w:spacing w:before="0" w:after="0"/>
        <w:ind w:left="240" w:right="240"/>
        <w:jc w:val="both"/>
      </w:pPr>
      <w:r>
        <w:rPr>
          <w:rFonts w:ascii="Times New Roman" w:hAnsi="Times New Roman"/>
          <w:sz w:val="22"/>
        </w:rPr>
        <w:t>"explanation": "The report’s main analysis centers on combustible phenolic resin dust accumulation, dispersion during cleaning, ignition near line 405, and propagation into secondary dust explosions across the facility. This makes dust explosion the primary hazard consequence, while fires, fireballs, and confined effects are escalation phenomena within the same dust-explosion event sequence.",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"Phenolic resin dust",</w:t>
      </w:r>
    </w:p>
    <w:p>
      <w:pPr>
        <w:spacing w:before="0" w:after="0"/>
        <w:ind w:left="240" w:right="240"/>
        <w:jc w:val="both"/>
      </w:pPr>
      <w:r>
        <w:rPr>
          <w:rFonts w:ascii="Times New Roman" w:hAnsi="Times New Roman"/>
          <w:sz w:val="22"/>
        </w:rPr>
        <w:t>"node_id": "En1",</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"a combustible phenolic resin dust fueled the fire and explosions.",</w:t>
      </w:r>
    </w:p>
    <w:p>
      <w:pPr>
        <w:spacing w:before="0" w:after="0"/>
        <w:ind w:left="240" w:right="240"/>
        <w:jc w:val="both"/>
      </w:pPr>
      <w:r>
        <w:rPr>
          <w:rFonts w:ascii="Times New Roman" w:hAnsi="Times New Roman"/>
          <w:sz w:val="22"/>
        </w:rPr>
        <w:t>"explanation": "Phenolic resin dust was the combustible material that accumulated, dispersed, and ignited, driving the dust explosion sequence.",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"line 405 oven",</w:t>
      </w:r>
    </w:p>
    <w:p>
      <w:pPr>
        <w:spacing w:before="0" w:after="0"/>
        <w:ind w:left="240" w:right="240"/>
        <w:jc w:val="both"/>
      </w:pPr>
      <w:r>
        <w:rPr>
          <w:rFonts w:ascii="Times New Roman" w:hAnsi="Times New Roman"/>
          <w:sz w:val="22"/>
        </w:rPr>
        <w:t>"node_id": "En2",</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"the initial explosion’s point of origin was likely in the aisle on the east side of the line 405 oven, near the south end.",</w:t>
      </w:r>
    </w:p>
    <w:p>
      <w:pPr>
        <w:spacing w:before="0" w:after="0"/>
        <w:ind w:left="240" w:right="240"/>
        <w:jc w:val="both"/>
      </w:pPr>
      <w:r>
        <w:rPr>
          <w:rFonts w:ascii="Times New Roman" w:hAnsi="Times New Roman"/>
          <w:sz w:val="22"/>
        </w:rPr>
        <w:t>"explanation": "The fire and initial explosion originated at the line 405 oven area.",</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"line 405 baghouse",</w:t>
      </w:r>
    </w:p>
    <w:p>
      <w:pPr>
        <w:spacing w:before="0" w:after="0"/>
        <w:ind w:left="240" w:right="240"/>
        <w:jc w:val="both"/>
      </w:pPr>
      <w:r>
        <w:rPr>
          <w:rFonts w:ascii="Times New Roman" w:hAnsi="Times New Roman"/>
          <w:sz w:val="22"/>
        </w:rPr>
        <w:t>"node_id": "En3",</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"the transition leading to the baghouse was plugged.",</w:t>
      </w:r>
    </w:p>
    <w:p>
      <w:pPr>
        <w:spacing w:before="0" w:after="0"/>
        <w:ind w:left="240" w:right="240"/>
        <w:jc w:val="both"/>
      </w:pPr>
      <w:r>
        <w:rPr>
          <w:rFonts w:ascii="Times New Roman" w:hAnsi="Times New Roman"/>
          <w:sz w:val="22"/>
        </w:rPr>
        <w:t>"explanation": "The line 405 baghouse and its transition were involved in the dust-release conditions during cleaning.",</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"Solid",</w:t>
      </w:r>
    </w:p>
    <w:p>
      <w:pPr>
        <w:spacing w:before="0" w:after="0"/>
        <w:ind w:left="240" w:right="240"/>
        <w:jc w:val="both"/>
      </w:pPr>
      <w:r>
        <w:rPr>
          <w:rFonts w:ascii="Times New Roman" w:hAnsi="Times New Roman"/>
          <w:sz w:val="22"/>
        </w:rPr>
        <w:t>"node_id": "C1",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"combustible phenolic resin dust",</w:t>
      </w:r>
    </w:p>
    <w:p>
      <w:pPr>
        <w:spacing w:before="0" w:after="0"/>
        <w:ind w:left="240" w:right="240"/>
        <w:jc w:val="both"/>
      </w:pPr>
      <w:r>
        <w:rPr>
          <w:rFonts w:ascii="Times New Roman" w:hAnsi="Times New Roman"/>
          <w:sz w:val="22"/>
        </w:rPr>
        <w:t>"explanation": "The hazardous material was present as solid particulate dust.",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"High temperature",</w:t>
      </w:r>
    </w:p>
    <w:p>
      <w:pPr>
        <w:spacing w:before="0" w:after="0"/>
        <w:ind w:left="240" w:right="240"/>
        <w:jc w:val="both"/>
      </w:pPr>
      <w:r>
        <w:rPr>
          <w:rFonts w:ascii="Times New Roman" w:hAnsi="Times New Roman"/>
          <w:sz w:val="22"/>
        </w:rPr>
        <w:t>"node_id": "C2",</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oven was running too hot.",</w:t>
      </w:r>
    </w:p>
    <w:p>
      <w:pPr>
        <w:spacing w:before="0" w:after="0"/>
        <w:ind w:left="240" w:right="240"/>
        <w:jc w:val="both"/>
      </w:pPr>
      <w:r>
        <w:rPr>
          <w:rFonts w:ascii="Times New Roman" w:hAnsi="Times New Roman"/>
          <w:sz w:val="22"/>
        </w:rPr>
        <w:t>"explanation": "The dust cloud formed near an operating curing oven that was reported to be running too hot.",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w:t>
      </w:r>
    </w:p>
    <w:p>
      <w:pPr>
        <w:spacing w:before="0" w:after="0"/>
        <w:ind w:left="240" w:right="240"/>
        <w:jc w:val="both"/>
      </w:pPr>
      <w:r>
        <w:rPr>
          <w:rFonts w:ascii="Times New Roman" w:hAnsi="Times New Roman"/>
          <w:sz w:val="22"/>
        </w:rPr>
        <w:t>"node_id": "C3",</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"combustible phenolic resin dust that had accumulated throughout the facility fueled the explosion.",</w:t>
      </w:r>
    </w:p>
    <w:p>
      <w:pPr>
        <w:spacing w:before="0" w:after="0"/>
        <w:ind w:left="240" w:right="240"/>
        <w:jc w:val="both"/>
      </w:pPr>
      <w:r>
        <w:rPr>
          <w:rFonts w:ascii="Times New Roman" w:hAnsi="Times New Roman"/>
          <w:sz w:val="22"/>
        </w:rPr>
        <w:t>"explanation": "The phenolic resin dust was capable of burning and exploding when dispersed and ignited.",</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w:t>
      </w:r>
    </w:p>
    <w:p>
      <w:pPr>
        <w:spacing w:before="0" w:after="0"/>
        <w:ind w:left="240" w:right="240"/>
        <w:jc w:val="both"/>
      </w:pPr>
      <w:r>
        <w:rPr>
          <w:rFonts w:ascii="Times New Roman" w:hAnsi="Times New Roman"/>
          <w:sz w:val="22"/>
        </w:rPr>
        <w:t>"node_id": "C4",</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"the poor functioning of the baghouse and resulting lack of suction in the mat-former caused excessive release of dust from the production line.",</w:t>
      </w:r>
    </w:p>
    <w:p>
      <w:pPr>
        <w:spacing w:before="0" w:after="0"/>
        <w:ind w:left="240" w:right="240"/>
        <w:jc w:val="both"/>
      </w:pPr>
      <w:r>
        <w:rPr>
          <w:rFonts w:ascii="Times New Roman" w:hAnsi="Times New Roman"/>
          <w:sz w:val="22"/>
        </w:rPr>
        <w:t>"explanation": "Dust was released over the course of cleaning and poor dust-collection performance rather than by a single vessel rupture.",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w:t>
      </w:r>
    </w:p>
    <w:p>
      <w:pPr>
        <w:spacing w:before="0" w:after="0"/>
        <w:ind w:left="240" w:right="240"/>
        <w:jc w:val="both"/>
      </w:pPr>
      <w:r>
        <w:rPr>
          <w:rFonts w:ascii="Times New Roman" w:hAnsi="Times New Roman"/>
          <w:sz w:val="22"/>
        </w:rPr>
        <w:t>"node_id": "C5",</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"Explosion overpressure originated in area between oven and wall and in partially enclosed area above blend room and below ceiling",</w:t>
      </w:r>
    </w:p>
    <w:p>
      <w:pPr>
        <w:spacing w:before="0" w:after="0"/>
        <w:ind w:left="240" w:right="240"/>
        <w:jc w:val="both"/>
      </w:pPr>
      <w:r>
        <w:rPr>
          <w:rFonts w:ascii="Times New Roman" w:hAnsi="Times New Roman"/>
          <w:sz w:val="22"/>
        </w:rPr>
        <w:t>"explanation": "The dust ignited inside the building in partially enclosed areas that increased explosion overpressure.",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w:t>
      </w:r>
    </w:p>
    <w:p>
      <w:pPr>
        <w:spacing w:before="0" w:after="0"/>
        <w:ind w:left="240" w:right="240"/>
        <w:jc w:val="both"/>
      </w:pPr>
      <w:r>
        <w:rPr>
          <w:rFonts w:ascii="Times New Roman" w:hAnsi="Times New Roman"/>
          <w:sz w:val="22"/>
        </w:rPr>
        <w:t>"node_id": "C6",</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"generated a cloud of combustible dust around line 405.",</w:t>
      </w:r>
    </w:p>
    <w:p>
      <w:pPr>
        <w:spacing w:before="0" w:after="0"/>
        <w:ind w:left="240" w:right="240"/>
        <w:jc w:val="both"/>
      </w:pPr>
      <w:r>
        <w:rPr>
          <w:rFonts w:ascii="Times New Roman" w:hAnsi="Times New Roman"/>
          <w:sz w:val="22"/>
        </w:rPr>
        <w:t>"explanation": "Cleaning and blowdown activities suspended settled dust into the air before ignition.",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"Compressed-air cleaning dispersed combustible dust into the production area",</w:t>
      </w:r>
    </w:p>
    <w:p>
      <w:pPr>
        <w:spacing w:before="0" w:after="0"/>
        <w:ind w:left="240" w:right="240"/>
        <w:jc w:val="both"/>
      </w:pPr>
      <w:r>
        <w:rPr>
          <w:rFonts w:ascii="Times New Roman" w:hAnsi="Times New Roman"/>
          <w:sz w:val="22"/>
        </w:rPr>
        <w:t>"node_id": "Ev1",</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"Those operators used a compressed air lance to blow the remaining material out of the transition. That material fell back through a chute into the production area.",</w:t>
      </w:r>
    </w:p>
    <w:p>
      <w:pPr>
        <w:spacing w:before="0" w:after="0"/>
        <w:ind w:left="240" w:right="240"/>
        <w:jc w:val="both"/>
      </w:pPr>
      <w:r>
        <w:rPr>
          <w:rFonts w:ascii="Times New Roman" w:hAnsi="Times New Roman"/>
          <w:sz w:val="22"/>
        </w:rPr>
        <w:t>"explanation": "During routine cleaning with the oven operating, compressed-air blowdown and related cleaning activities dispersed combustible dust and initiated the accident sequence.",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"Poor functioning of line 405 baghouse",</w:t>
      </w:r>
    </w:p>
    <w:p>
      <w:pPr>
        <w:spacing w:before="0" w:after="0"/>
        <w:ind w:left="240" w:right="240"/>
        <w:jc w:val="both"/>
      </w:pPr>
      <w:r>
        <w:rPr>
          <w:rFonts w:ascii="Times New Roman" w:hAnsi="Times New Roman"/>
          <w:sz w:val="22"/>
        </w:rPr>
        <w:t>"node_id": "Ev2",</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"the poor functioning of the baghouse and resulting lack of suction in the mat-former caused excessive release of dust from the production line.",</w:t>
      </w:r>
    </w:p>
    <w:p>
      <w:pPr>
        <w:spacing w:before="0" w:after="0"/>
        <w:ind w:left="240" w:right="240"/>
        <w:jc w:val="both"/>
      </w:pPr>
      <w:r>
        <w:rPr>
          <w:rFonts w:ascii="Times New Roman" w:hAnsi="Times New Roman"/>
          <w:sz w:val="22"/>
        </w:rPr>
        <w:t>"explanation": "The baghouse malfunction reduced dust collection effectiveness and contributed directly to excessive dust release around line 405.",</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"Unknown ignition source",</w:t>
      </w:r>
    </w:p>
    <w:p>
      <w:pPr>
        <w:spacing w:before="0" w:after="0"/>
        <w:ind w:left="240" w:right="240"/>
        <w:jc w:val="both"/>
      </w:pPr>
      <w:r>
        <w:rPr>
          <w:rFonts w:ascii="Times New Roman" w:hAnsi="Times New Roman"/>
          <w:sz w:val="22"/>
        </w:rPr>
        <w:t>"node_id": "Ev3",</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"Flames may have escaped through an open oven door, or the dust cloud may have entered the oven and ignited.",</w:t>
      </w:r>
    </w:p>
    <w:p>
      <w:pPr>
        <w:spacing w:before="0" w:after="0"/>
        <w:ind w:left="240" w:right="240"/>
        <w:jc w:val="both"/>
      </w:pPr>
      <w:r>
        <w:rPr>
          <w:rFonts w:ascii="Times New Roman" w:hAnsi="Times New Roman"/>
          <w:sz w:val="22"/>
        </w:rPr>
        <w:t>"explanation": "Ignition clearly occurred near the operating line 405 oven, but the exact ignition source could not be determined from the investigation.",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4. Causal Edge Linking</w:t>
      </w:r>
    </w:p>
    <w:p>
      <w:r>
        <w:rPr>
          <w:b/>
        </w:rPr>
        <w:t>Prompt:</w:t>
      </w:r>
    </w:p>
    <w:p>
      <w:pPr>
        <w:spacing w:before="0" w:after="0"/>
        <w:ind w:left="240" w:right="240"/>
        <w:jc w:val="both"/>
      </w:pPr>
      <w:r>
        <w:rPr>
          <w:rFonts w:ascii="Times New Roman" w:hAnsi="Times New Roman"/>
          <w:sz w:val="22"/>
        </w:rPr>
        <w:t>You are an expert in process safety accident analysis.</w:t>
      </w:r>
    </w:p>
    <w:p>
      <w:pPr>
        <w:spacing w:before="0" w:after="0"/>
        <w:ind w:left="240" w:right="240"/>
        <w:jc w:val="both"/>
      </w:pPr>
      <w:r>
        <w:rPr>
          <w:rFonts w:ascii="Times New Roman" w:hAnsi="Times New Roman"/>
          <w:sz w:val="22"/>
        </w:rPr>
        <w:t>INPUT:</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Your task is to construct causal edges between the given nodes to form an accident causal graph.</w:t>
      </w:r>
    </w:p>
    <w:p>
      <w:pPr>
        <w:spacing w:before="0" w:after="0"/>
        <w:ind w:left="240" w:right="240"/>
        <w:jc w:val="both"/>
      </w:pPr>
      <w:r>
        <w:rPr>
          <w:rFonts w:ascii="Times New Roman" w:hAnsi="Times New Roman"/>
          <w:sz w:val="22"/>
        </w:rPr>
        <w:t>The nodes are already extracted from an incident report.</w:t>
      </w:r>
    </w:p>
    <w:p>
      <w:pPr>
        <w:spacing w:before="0" w:after="0"/>
        <w:ind w:left="240" w:right="240"/>
        <w:jc w:val="both"/>
      </w:pPr>
      <w:r>
        <w:rPr>
          <w:rFonts w:ascii="Times New Roman" w:hAnsi="Times New Roman"/>
          <w:sz w:val="22"/>
        </w:rPr>
        <w:t>You must determine the causal relationships between these nodes based on INCIDENT_DESCRIPTION and IDENTIFY_ACCIDENT_SCENARIO.</w:t>
      </w:r>
    </w:p>
    <w:p>
      <w:pPr>
        <w:spacing w:before="0" w:after="0"/>
        <w:ind w:left="240" w:right="240"/>
        <w:jc w:val="both"/>
      </w:pPr>
      <w:r>
        <w:rPr>
          <w:rFonts w:ascii="Times New Roman" w:hAnsi="Times New Roman"/>
          <w:sz w:val="22"/>
        </w:rPr>
        <w:t>Edges must follow the accident causal logic used in process safety analysis.</w:t>
      </w:r>
    </w:p>
    <w:p>
      <w:pPr>
        <w:spacing w:before="0" w:after="0"/>
        <w:ind w:left="240" w:right="240"/>
        <w:jc w:val="both"/>
      </w:pPr>
      <w:r>
        <w:rPr>
          <w:rFonts w:ascii="Times New Roman" w:hAnsi="Times New Roman"/>
          <w:sz w:val="22"/>
        </w:rPr>
        <w:t>Allowed edge relations:</w:t>
      </w:r>
    </w:p>
    <w:p>
      <w:pPr>
        <w:spacing w:before="0" w:after="0"/>
        <w:ind w:left="240" w:right="240"/>
        <w:jc w:val="both"/>
      </w:pPr>
      <w:r>
        <w:rPr>
          <w:rFonts w:ascii="Times New Roman" w:hAnsi="Times New Roman"/>
          <w:sz w:val="22"/>
        </w:rPr>
        <w:t>1. has</w:t>
      </w:r>
    </w:p>
    <w:p>
      <w:pPr>
        <w:spacing w:before="0" w:after="0"/>
        <w:ind w:left="240" w:right="240"/>
        <w:jc w:val="both"/>
      </w:pPr>
      <w:r>
        <w:rPr>
          <w:rFonts w:ascii="Times New Roman" w:hAnsi="Times New Roman"/>
          <w:sz w:val="22"/>
        </w:rPr>
        <w:t>Used when a material possesses a property or state.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Temperature</w:t>
      </w:r>
    </w:p>
    <w:p>
      <w:pPr>
        <w:spacing w:before="0" w:after="0"/>
        <w:ind w:left="240" w:right="240"/>
        <w:jc w:val="both"/>
      </w:pPr>
      <w:r>
        <w:rPr>
          <w:rFonts w:ascii="Times New Roman" w:hAnsi="Times New Roman"/>
          <w:sz w:val="22"/>
        </w:rPr>
        <w:t>Material → Pressure</w:t>
      </w:r>
    </w:p>
    <w:p>
      <w:pPr>
        <w:spacing w:before="0" w:after="0"/>
        <w:ind w:left="240" w:right="240"/>
        <w:jc w:val="both"/>
      </w:pPr>
      <w:r>
        <w:rPr>
          <w:rFonts w:ascii="Times New Roman" w:hAnsi="Times New Roman"/>
          <w:sz w:val="22"/>
        </w:rPr>
        <w:t>2. enables</w:t>
      </w:r>
    </w:p>
    <w:p>
      <w:pPr>
        <w:spacing w:before="0" w:after="0"/>
        <w:ind w:left="240" w:right="240"/>
        <w:jc w:val="both"/>
      </w:pPr>
      <w:r>
        <w:rPr>
          <w:rFonts w:ascii="Times New Roman" w:hAnsi="Times New Roman"/>
          <w:sz w:val="22"/>
        </w:rPr>
        <w:t>Used when a event or condition makes an event or consequence possible.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High confinement → Confined explosion</w:t>
      </w:r>
    </w:p>
    <w:p>
      <w:pPr>
        <w:spacing w:before="0" w:after="0"/>
        <w:ind w:left="240" w:right="240"/>
        <w:jc w:val="both"/>
      </w:pPr>
      <w:r>
        <w:rPr>
          <w:rFonts w:ascii="Times New Roman" w:hAnsi="Times New Roman"/>
          <w:sz w:val="22"/>
        </w:rPr>
        <w:t>Linking rules:</w:t>
      </w:r>
    </w:p>
    <w:p>
      <w:pPr>
        <w:spacing w:before="0" w:after="0"/>
        <w:ind w:left="240" w:right="240"/>
        <w:jc w:val="both"/>
      </w:pPr>
      <w:r>
        <w:rPr>
          <w:rFonts w:ascii="Times New Roman" w:hAnsi="Times New Roman"/>
          <w:sz w:val="22"/>
        </w:rPr>
        <w:t>1. Follow the general causal hierarchy:</w:t>
      </w:r>
    </w:p>
    <w:p>
      <w:pPr>
        <w:spacing w:before="0" w:after="0"/>
        <w:ind w:left="240" w:right="240"/>
        <w:jc w:val="both"/>
      </w:pPr>
      <w:r>
        <w:rPr>
          <w:rFonts w:ascii="Times New Roman" w:hAnsi="Times New Roman"/>
          <w:sz w:val="22"/>
        </w:rPr>
        <w:t>Entity → Condition → Event → HazardConsequence.</w:t>
      </w:r>
    </w:p>
    <w:p>
      <w:pPr>
        <w:spacing w:before="0" w:after="0"/>
        <w:ind w:left="240" w:right="240"/>
        <w:jc w:val="both"/>
      </w:pPr>
      <w:r>
        <w:rPr>
          <w:rFonts w:ascii="Times New Roman" w:hAnsi="Times New Roman"/>
          <w:sz w:val="22"/>
        </w:rPr>
        <w:t>However, the structure is not strictly linear. Multiple events may occur in parallel and may connect to the same downstream node.</w:t>
      </w:r>
    </w:p>
    <w:p>
      <w:pPr>
        <w:spacing w:before="0" w:after="0"/>
        <w:ind w:left="240" w:right="240"/>
        <w:jc w:val="both"/>
      </w:pPr>
      <w:r>
        <w:rPr>
          <w:rFonts w:ascii="Times New Roman" w:hAnsi="Times New Roman"/>
          <w:sz w:val="22"/>
        </w:rPr>
        <w:t>2. Material may link to its properties only.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Use relation: has</w:t>
      </w:r>
    </w:p>
    <w:p>
      <w:pPr>
        <w:spacing w:before="0" w:after="0"/>
        <w:ind w:left="240" w:right="240"/>
        <w:jc w:val="both"/>
      </w:pPr>
      <w:r>
        <w:rPr>
          <w:rFonts w:ascii="Times New Roman" w:hAnsi="Times New Roman"/>
          <w:sz w:val="22"/>
        </w:rPr>
        <w:t>3. Conditions or events may connect to conditions or events when they make the them possible or more likely.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Low conductivity → Static charge accumulation</w:t>
      </w:r>
    </w:p>
    <w:p>
      <w:pPr>
        <w:spacing w:before="0" w:after="0"/>
        <w:ind w:left="240" w:right="240"/>
        <w:jc w:val="both"/>
      </w:pPr>
      <w:r>
        <w:rPr>
          <w:rFonts w:ascii="Times New Roman" w:hAnsi="Times New Roman"/>
          <w:sz w:val="22"/>
        </w:rPr>
        <w:t>Use relation: enables or contributes_to</w:t>
      </w:r>
    </w:p>
    <w:p>
      <w:pPr>
        <w:spacing w:before="0" w:after="0"/>
        <w:ind w:left="240" w:right="240"/>
        <w:jc w:val="both"/>
      </w:pPr>
      <w:r>
        <w:rPr>
          <w:rFonts w:ascii="Times New Roman" w:hAnsi="Times New Roman"/>
          <w:sz w:val="22"/>
        </w:rPr>
        <w:t>7. If multiple nodes influence the same downstream node, connect them in parallel, not in a chain, unless the report explicitly describes a sequence.</w:t>
      </w:r>
    </w:p>
    <w:p>
      <w:pPr>
        <w:spacing w:before="0" w:after="0"/>
        <w:ind w:left="240" w:right="240"/>
        <w:jc w:val="both"/>
      </w:pPr>
      <w:r>
        <w:rPr>
          <w:rFonts w:ascii="Times New Roman" w:hAnsi="Times New Roman"/>
          <w:sz w:val="22"/>
        </w:rPr>
        <w:t>8. The hazard consequence should be the last node, if any nodes happened after the hazard consequence, don't include them in the causal chains.</w:t>
      </w:r>
    </w:p>
    <w:p>
      <w:pPr>
        <w:spacing w:before="0" w:after="0"/>
        <w:ind w:left="240" w:right="240"/>
        <w:jc w:val="both"/>
      </w:pPr>
      <w:r>
        <w:rPr>
          <w:rFonts w:ascii="Times New Roman" w:hAnsi="Times New Roman"/>
          <w:sz w:val="22"/>
        </w:rPr>
        <w:t>9. Avoid transitive edges.</w:t>
      </w:r>
    </w:p>
    <w:p>
      <w:pPr>
        <w:spacing w:before="0" w:after="0"/>
        <w:ind w:left="240" w:right="240"/>
        <w:jc w:val="both"/>
      </w:pPr>
      <w:r>
        <w:rPr>
          <w:rFonts w:ascii="Times New Roman" w:hAnsi="Times New Roman"/>
          <w:sz w:val="22"/>
        </w:rPr>
        <w:t>Edges should only represent direct relationships between nodes.</w:t>
      </w:r>
    </w:p>
    <w:p>
      <w:pPr>
        <w:spacing w:before="0" w:after="0"/>
        <w:ind w:left="240" w:right="240"/>
        <w:jc w:val="both"/>
      </w:pPr>
      <w:r>
        <w:rPr>
          <w:rFonts w:ascii="Times New Roman" w:hAnsi="Times New Roman"/>
          <w:sz w:val="22"/>
        </w:rPr>
        <w:t>If there is a path A → B → C → ... → X, do not create edges from A to any downstream node beyond B.</w:t>
      </w:r>
    </w:p>
    <w:p>
      <w:pPr>
        <w:spacing w:before="0" w:after="0"/>
        <w:ind w:left="240" w:right="240"/>
        <w:jc w:val="both"/>
      </w:pPr>
      <w:r>
        <w:rPr>
          <w:rFonts w:ascii="Times New Roman" w:hAnsi="Times New Roman"/>
          <w:sz w:val="22"/>
        </w:rPr>
        <w:t>10. Exclude nodes that represent non-occurring or unspecified conditions.</w:t>
      </w:r>
    </w:p>
    <w:p>
      <w:pPr>
        <w:spacing w:before="0" w:after="0"/>
        <w:ind w:left="240" w:right="240"/>
        <w:jc w:val="both"/>
      </w:pPr>
      <w:r>
        <w:rPr>
          <w:rFonts w:ascii="Times New Roman" w:hAnsi="Times New Roman"/>
          <w:sz w:val="22"/>
        </w:rPr>
        <w:t>If a node label indicates that the condition did not occur (e.g., "Not dispersed") or that the information is unavailable (e.g., "Not specified"), do not include this node in the causal graph.</w:t>
      </w:r>
    </w:p>
    <w:p>
      <w:pPr>
        <w:spacing w:before="0" w:after="0"/>
        <w:ind w:left="240" w:right="240"/>
        <w:jc w:val="both"/>
      </w:pPr>
      <w:r>
        <w:rPr>
          <w:rFonts w:ascii="Times New Roman" w:hAnsi="Times New Roman"/>
          <w:sz w:val="22"/>
        </w:rPr>
        <w:t>Such nodes must not appear in the node list and must not be connected by any edges.</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Generate only edges between existing node IDs.</w:t>
      </w:r>
    </w:p>
    <w:p>
      <w:pPr>
        <w:spacing w:before="0" w:after="0"/>
        <w:ind w:left="240" w:right="240"/>
        <w:jc w:val="both"/>
      </w:pPr>
      <w:r>
        <w:rPr>
          <w:rFonts w:ascii="Times New Roman" w:hAnsi="Times New Roman"/>
          <w:sz w:val="22"/>
        </w:rPr>
        <w:t>Each edge must contain:</w:t>
      </w:r>
    </w:p>
    <w:p>
      <w:pPr>
        <w:spacing w:before="0" w:after="0"/>
        <w:ind w:left="240" w:right="240"/>
        <w:jc w:val="both"/>
      </w:pPr>
      <w:r>
        <w:rPr>
          <w:rFonts w:ascii="Times New Roman" w:hAnsi="Times New Roman"/>
          <w:sz w:val="22"/>
        </w:rPr>
        <w:t>- source</w:t>
      </w:r>
    </w:p>
    <w:p>
      <w:pPr>
        <w:spacing w:before="0" w:after="0"/>
        <w:ind w:left="240" w:right="240"/>
        <w:jc w:val="both"/>
      </w:pPr>
      <w:r>
        <w:rPr>
          <w:rFonts w:ascii="Times New Roman" w:hAnsi="Times New Roman"/>
          <w:sz w:val="22"/>
        </w:rPr>
        <w:t>- target</w:t>
      </w:r>
    </w:p>
    <w:p>
      <w:pPr>
        <w:spacing w:before="0" w:after="0"/>
        <w:ind w:left="240" w:right="240"/>
        <w:jc w:val="both"/>
      </w:pPr>
      <w:r>
        <w:rPr>
          <w:rFonts w:ascii="Times New Roman" w:hAnsi="Times New Roman"/>
          <w:sz w:val="22"/>
        </w:rPr>
        <w:t>- relation</w:t>
      </w:r>
    </w:p>
    <w:p>
      <w:pPr>
        <w:spacing w:before="0" w:after="0"/>
        <w:ind w:left="240" w:right="240"/>
        <w:jc w:val="both"/>
      </w:pPr>
      <w:r>
        <w:rPr>
          <w:rFonts w:ascii="Times New Roman" w:hAnsi="Times New Roman"/>
          <w:sz w:val="22"/>
        </w:rPr>
        <w:t>Return the result in JSON format: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"node_id",</w:t>
      </w:r>
    </w:p>
    <w:p>
      <w:pPr>
        <w:spacing w:before="0" w:after="0"/>
        <w:ind w:left="240" w:right="240"/>
        <w:jc w:val="both"/>
      </w:pPr>
      <w:r>
        <w:rPr>
          <w:rFonts w:ascii="Times New Roman" w:hAnsi="Times New Roman"/>
          <w:sz w:val="22"/>
        </w:rPr>
        <w:t>"target": "node_id",</w:t>
      </w:r>
    </w:p>
    <w:p>
      <w:pPr>
        <w:spacing w:before="0" w:after="0"/>
        <w:ind w:left="240" w:right="240"/>
        <w:jc w:val="both"/>
      </w:pPr>
      <w:r>
        <w:rPr>
          <w:rFonts w:ascii="Times New Roman" w:hAnsi="Times New Roman"/>
          <w:sz w:val="22"/>
        </w:rPr>
        <w:t>"relation": "has |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"C3",</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"En2",</w:t>
      </w:r>
    </w:p>
    <w:p>
      <w:pPr>
        <w:spacing w:before="0" w:after="0"/>
        <w:ind w:left="240" w:right="240"/>
        <w:jc w:val="both"/>
      </w:pPr>
      <w:r>
        <w:rPr>
          <w:rFonts w:ascii="Times New Roman" w:hAnsi="Times New Roman"/>
          <w:sz w:val="22"/>
        </w:rPr>
        <w:t>"target": "C2",</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"En3",</w:t>
      </w:r>
    </w:p>
    <w:p>
      <w:pPr>
        <w:spacing w:before="0" w:after="0"/>
        <w:ind w:left="240" w:right="240"/>
        <w:jc w:val="both"/>
      </w:pPr>
      <w:r>
        <w:rPr>
          <w:rFonts w:ascii="Times New Roman" w:hAnsi="Times New Roman"/>
          <w:sz w:val="22"/>
        </w:rPr>
        <w:t>"target": "Ev2",</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w:t>
      </w:r>
    </w:p>
    <w:p>
      <w:pPr>
        <w:spacing w:before="0" w:after="0"/>
        <w:ind w:left="240" w:right="240"/>
        <w:jc w:val="both"/>
      </w:pPr>
      <w:r>
        <w:rPr>
          <w:rFonts w:ascii="Times New Roman" w:hAnsi="Times New Roman"/>
          <w:sz w:val="22"/>
        </w:rPr>
        <w:t>"target": "C6",</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"C2",</w:t>
      </w:r>
    </w:p>
    <w:p>
      <w:pPr>
        <w:spacing w:before="0" w:after="0"/>
        <w:ind w:left="240" w:right="240"/>
        <w:jc w:val="both"/>
      </w:pPr>
      <w:r>
        <w:rPr>
          <w:rFonts w:ascii="Times New Roman" w:hAnsi="Times New Roman"/>
          <w:sz w:val="22"/>
        </w:rPr>
        <w:t>"target": "Ev3",</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"Ev2",</w:t>
      </w:r>
    </w:p>
    <w:p>
      <w:pPr>
        <w:spacing w:before="0" w:after="0"/>
        <w:ind w:left="240" w:right="240"/>
        <w:jc w:val="both"/>
      </w:pPr>
      <w:r>
        <w:rPr>
          <w:rFonts w:ascii="Times New Roman" w:hAnsi="Times New Roman"/>
          <w:sz w:val="22"/>
        </w:rPr>
        <w:t>"target": "C4",</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"Ev2",</w:t>
      </w:r>
    </w:p>
    <w:p>
      <w:pPr>
        <w:spacing w:before="0" w:after="0"/>
        <w:ind w:left="240" w:right="240"/>
        <w:jc w:val="both"/>
      </w:pPr>
      <w:r>
        <w:rPr>
          <w:rFonts w:ascii="Times New Roman" w:hAnsi="Times New Roman"/>
          <w:sz w:val="22"/>
        </w:rPr>
        <w:t>"target": "Ev1",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"C4",</w:t>
      </w:r>
    </w:p>
    <w:p>
      <w:pPr>
        <w:spacing w:before="0" w:after="0"/>
        <w:ind w:left="240" w:right="240"/>
        <w:jc w:val="both"/>
      </w:pPr>
      <w:r>
        <w:rPr>
          <w:rFonts w:ascii="Times New Roman" w:hAnsi="Times New Roman"/>
          <w:sz w:val="22"/>
        </w:rPr>
        <w:t>"target": "C6",</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"C6",</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"C3",</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"C6",</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"C5",</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"Ev3",</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Appendix - hazard consequence list</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"VCE",</w:t>
      </w:r>
    </w:p>
    <w:p>
      <w:pPr>
        <w:spacing w:before="0" w:after="0"/>
        <w:ind w:left="240" w:right="240"/>
        <w:jc w:val="both"/>
      </w:pPr>
      <w:r>
        <w:rPr>
          <w:rFonts w:ascii="Times New Roman" w:hAnsi="Times New Roman"/>
          <w:sz w:val="22"/>
        </w:rPr>
        <w:t>"BLEVE",</w:t>
      </w:r>
    </w:p>
    <w:p>
      <w:pPr>
        <w:spacing w:before="0" w:after="0"/>
        <w:ind w:left="240" w:right="240"/>
        <w:jc w:val="both"/>
      </w:pPr>
      <w:r>
        <w:rPr>
          <w:rFonts w:ascii="Times New Roman" w:hAnsi="Times New Roman"/>
          <w:sz w:val="22"/>
        </w:rPr>
        <w:t>"Dust explosion",</w:t>
      </w:r>
    </w:p>
    <w:p>
      <w:pPr>
        <w:spacing w:before="0" w:after="0"/>
        <w:ind w:left="240" w:right="240"/>
        <w:jc w:val="both"/>
      </w:pPr>
      <w:r>
        <w:rPr>
          <w:rFonts w:ascii="Times New Roman" w:hAnsi="Times New Roman"/>
          <w:sz w:val="22"/>
        </w:rPr>
        <w:t>"Confined explosion",</w:t>
      </w:r>
    </w:p>
    <w:p>
      <w:pPr>
        <w:spacing w:before="0" w:after="0"/>
        <w:ind w:left="240" w:right="240"/>
        <w:jc w:val="both"/>
      </w:pPr>
      <w:r>
        <w:rPr>
          <w:rFonts w:ascii="Times New Roman" w:hAnsi="Times New Roman"/>
          <w:sz w:val="22"/>
        </w:rPr>
        <w:t>"Pool fire",</w:t>
      </w:r>
    </w:p>
    <w:p>
      <w:pPr>
        <w:spacing w:before="0" w:after="0"/>
        <w:ind w:left="240" w:right="240"/>
        <w:jc w:val="both"/>
      </w:pPr>
      <w:r>
        <w:rPr>
          <w:rFonts w:ascii="Times New Roman" w:hAnsi="Times New Roman"/>
          <w:sz w:val="22"/>
        </w:rPr>
        <w:t>"Jet fire",</w:t>
      </w:r>
    </w:p>
    <w:p>
      <w:pPr>
        <w:spacing w:before="0" w:after="0"/>
        <w:ind w:left="240" w:right="240"/>
        <w:jc w:val="both"/>
      </w:pPr>
      <w:r>
        <w:rPr>
          <w:rFonts w:ascii="Times New Roman" w:hAnsi="Times New Roman"/>
          <w:sz w:val="22"/>
        </w:rPr>
        <w:t>"Fire ball",</w:t>
      </w:r>
    </w:p>
    <w:p>
      <w:pPr>
        <w:spacing w:before="0" w:after="0"/>
        <w:ind w:left="240" w:right="240"/>
        <w:jc w:val="both"/>
      </w:pPr>
      <w:r>
        <w:rPr>
          <w:rFonts w:ascii="Times New Roman" w:hAnsi="Times New Roman"/>
          <w:sz w:val="22"/>
        </w:rPr>
        <w:t>"Flash fire",</w:t>
      </w:r>
    </w:p>
    <w:p>
      <w:pPr>
        <w:spacing w:before="0" w:after="0"/>
        <w:ind w:left="240" w:right="240"/>
        <w:jc w:val="both"/>
      </w:pPr>
      <w:r>
        <w:rPr>
          <w:rFonts w:ascii="Times New Roman" w:hAnsi="Times New Roman"/>
          <w:sz w:val="22"/>
        </w:rPr>
        <w:t>"Toxicity dispersion",</w:t>
      </w:r>
    </w:p>
    <w:p>
      <w:pPr>
        <w:spacing w:before="0" w:after="0"/>
        <w:ind w:left="240" w:right="240"/>
        <w:jc w:val="both"/>
      </w:pPr>
      <w:r>
        <w:rPr>
          <w:rFonts w:ascii="Times New Roman" w:hAnsi="Times New Roman"/>
          <w:sz w:val="22"/>
        </w:rPr>
        <w:t>"Asphyxiation"</w:t>
      </w:r>
    </w:p>
    <w:p>
      <w:pPr>
        <w:spacing w:before="0" w:after="0"/>
        <w:ind w:left="240" w:right="240"/>
        <w:jc w:val="left"/>
      </w:pPr>
      <w:r>
        <w:rPr>
          <w:rFonts w:ascii="Times New Roman" w:hAnsi="Times New Roman"/>
          <w:sz w:val="22"/>
        </w:rPr>
        <w:t>]</w:t>
      </w:r>
    </w:p>
    <w:p/>
    <w:p>
      <w:pPr>
        <w:pStyle w:val="H2_Aca"/>
      </w:pPr>
      <w:r>
        <w:t>Appendix - accident scenarios schema</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 | BLEVE | Dust explosion | Confined explosion | Pool fire | Jet fire | Fire ball | Flash fire | Toxicity dispersion | Asphyxiation",</w:t>
      </w:r>
    </w:p>
    <w:p>
      <w:pPr>
        <w:spacing w:before="0" w:after="0"/>
        <w:ind w:left="240" w:right="240"/>
        <w:jc w:val="both"/>
      </w:pPr>
      <w:r>
        <w:rPr>
          <w:rFonts w:ascii="Times New Roman" w:hAnsi="Times New Roman"/>
          <w:sz w:val="22"/>
        </w:rPr>
        <w:t>"node_id": "H#",</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 | Vapor | Solid | TwoPhase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 | Low pressure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"Low temperature| Atmospheric temperature| High temperature|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"Low volatility| High volatility|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 | Non-combustible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 | Non-toxic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"Asphyxiant | Non-asphyxiant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"Low conductivity| High conductivity|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 | Instant release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 | Low confinement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 | Not dispersed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"string | Unknown mechanical failure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"string | Unknown ignition source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"IntermediateEvent",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_Aca">
    <w:name w:val="H1_Aca"/>
    <w:pPr>
      <w:spacing w:before="240" w:after="120" w:line="276" w:lineRule="auto"/>
    </w:pPr>
    <w:rPr>
      <w:rFonts w:ascii="Times New Roman" w:hAnsi="Times New Roman" w:eastAsia="Times New Roman"/>
      <w:b/>
      <w:sz w:val="32"/>
    </w:rPr>
  </w:style>
  <w:style w:type="paragraph" w:customStyle="1" w:styleId="H2_Aca">
    <w:name w:val="H2_Aca"/>
    <w:pPr>
      <w:spacing w:before="240" w:after="120" w:line="276" w:lineRule="auto"/>
    </w:pPr>
    <w:rPr>
      <w:rFonts w:ascii="Times New Roman" w:hAnsi="Times New Roman" w:eastAsia="Times New Roman"/>
      <w:b/>
      <w:sz w:val="28"/>
    </w:rPr>
  </w:style>
  <w:style w:type="paragraph" w:customStyle="1" w:styleId="H3_Aca">
    <w:name w:val="H3_Aca"/>
    <w:pPr>
      <w:spacing w:before="240" w:after="120" w:line="276" w:lineRule="auto"/>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