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Distinguish between primary incident subjects and referenced incidents. Primary incident subjects are the incidents that the document is mainly trying to report, analyze, compare, or study in their own right. Referenced incidents are mentioned only as background, precedent, comparison, lessons learned, literature examples, or supporting context.</w:t>
      </w:r>
    </w:p>
    <w:p>
      <w:pPr>
        <w:spacing w:before="0" w:after="0"/>
        <w:ind w:left="240" w:right="240"/>
        <w:jc w:val="both"/>
      </w:pPr>
      <w:r>
        <w:rPr>
          <w:rFonts w:ascii="Times New Roman" w:hAnsi="Times New Roman"/>
          <w:sz w:val="22"/>
        </w:rPr>
        <w:t>- Only create separate incident entries for primary incident subjects of the document.</w:t>
      </w:r>
    </w:p>
    <w:p>
      <w:pPr>
        <w:spacing w:before="0" w:after="0"/>
        <w:ind w:left="240" w:right="240"/>
        <w:jc w:val="both"/>
      </w:pPr>
      <w:r>
        <w:rPr>
          <w:rFonts w:ascii="Times New Roman" w:hAnsi="Times New Roman"/>
          <w:sz w:val="22"/>
        </w:rPr>
        <w:t>- Only use split_incidents when the document's primary purpose is to analyze multiple incidents as co-equal case subjects.</w:t>
      </w:r>
    </w:p>
    <w:p>
      <w:pPr>
        <w:spacing w:before="0" w:after="0"/>
        <w:ind w:left="240" w:right="240"/>
        <w:jc w:val="both"/>
      </w:pPr>
      <w:r>
        <w:rPr>
          <w:rFonts w:ascii="Times New Roman" w:hAnsi="Times New Roman"/>
          <w:sz w:val="22"/>
        </w:rPr>
        <w:t>- If the document primarily discusses a theme, hazard type, lesson, method, regulation, or safety issue and mentions multiple incidents mainly as examples or supporting cases, do not split them into separate incident entries.</w:t>
      </w:r>
    </w:p>
    <w:p>
      <w:pPr>
        <w:spacing w:before="0" w:after="0"/>
        <w:ind w:left="240" w:right="240"/>
        <w:jc w:val="both"/>
      </w:pPr>
      <w:r>
        <w:rPr>
          <w:rFonts w:ascii="Times New Roman" w:hAnsi="Times New Roman"/>
          <w:sz w:val="22"/>
        </w:rPr>
        <w:t>- For thematic studies, hazard investigations, lessons-learned reports, comparative reviews, or issue-focused reports that cite many incidents in support of one broader topic, prefer recommended_output_mode = "summary_only" unless the incidents are clearly treated as co-equal primary case subjects.</w:t>
      </w:r>
    </w:p>
    <w:p>
      <w:pPr>
        <w:spacing w:before="0" w:after="0"/>
        <w:ind w:left="240" w:right="240"/>
        <w:jc w:val="both"/>
      </w:pPr>
      <w:r>
        <w:rPr>
          <w:rFonts w:ascii="Times New Roman" w:hAnsi="Times New Roman"/>
          <w:sz w:val="22"/>
        </w:rPr>
        <w:t>- If one incident is the main focus of the document and other incidents are cited only for context, comparison, or lessons learned, output only the main incident.</w:t>
      </w:r>
    </w:p>
    <w:p>
      <w:pPr>
        <w:spacing w:before="0" w:after="0"/>
        <w:ind w:left="240" w:right="240"/>
        <w:jc w:val="both"/>
      </w:pPr>
      <w:r>
        <w:rPr>
          <w:rFonts w:ascii="Times New Roman" w:hAnsi="Times New Roman"/>
          <w:sz w:val="22"/>
        </w:rPr>
        <w:t>- Do not create separate incident entries for incidents mentioned only in introduction, background, discussion, recommendations, lessons learned, literature review, comparison, benchmark, or supporting-example sections, unless the document clearly gives them equal report-level treatment as main analysis targets.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may still be treated as summary_only even when it is long and detailed, if its main purpose is thematic synthesis across many cited incidents rather than detailed standalone reporting of co-equal incident cases.</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Prefer the incident or incidents that are the document's main analysis targets over cited historical examples.</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"The document is a CSB case study rather than a full formal incident report. It contains substantial narrative and analysis, but it explicitly investigates two separate sulfuric acid release incidents that occurred on different dates (February 12, 2014 and March 10, 2014) and provides separate top-level incident sections for each. These are independent incidents, though discussed together within a shared safety culture case study."</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"February 12, 2014",</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"Executive Summary",</w:t>
      </w:r>
    </w:p>
    <w:p>
      <w:pPr>
        <w:spacing w:before="0" w:after="0"/>
        <w:ind w:left="240" w:right="240"/>
        <w:jc w:val="both"/>
      </w:pPr>
      <w:r>
        <w:rPr>
          <w:rFonts w:ascii="Times New Roman" w:hAnsi="Times New Roman"/>
          <w:sz w:val="22"/>
        </w:rPr>
        <w:t>"text": "Executive Summary \nThe US Chemical Safety Board (CSB) investigated two process safety incidents at the Tesoro Martinez \nrefinery in Martinez, California that involved sulfuric acid injuries to workers. On February 12, 2014, a \nmechanical integrity failure released sulfuric acid in the alkylation unit, which burned two Tesoro \nMartinez refinery employees. Approximately 84,000 pounds of sulfuric acid were released during the \nincident. On March 10, 2014, sulfuric acid sprayed and burned two contract workers while they removed \npiping in the same alkylation unit. The CSB found that this second incident shared similar causation with \na 1999 incident at the same refinery, then called the Avon refinery, owned by the Tosco Corporation, that \nresulted in four fatalities. Similarities between the two incidents suggest that the Tesoro Martinez \nrefinery did not effectively continue to implement or communicate important safety lessons from the 1999 \nTosco incident. \nThe following case study highlights the details of the incidents and their technical and organizational \ncauses. This case study also examines process safety culture (“safety culture”) weaknesses through the \nevaluation of the Tesoro Martinez refinery’s previous sulfuric acid incidents, worker statements, gaps in \nsafety standards, deviations from established procedures and practices, and past efforts to assess and \nstrengthen site safety culture. The CSB urges all refineries to review the key findings and conclusions for \napplication to their own facilities, and to evaluate their safety culture, process safety management \nsystems, and corporate safety oversight for potential improvements. \nAlthough primary safety responsibility rests with the companies who own and operate facilities in high \nhazard industries, regulators are well positioned and empowered to help direct positive change in matters \nconcerning safety. In addition, regulators can be more effective through robust preventive inspections \nand audits to encourage industry to adopt safer practices and to reduce risks to as low as reasonably \npracticable, or ALARP. Thus, with the goal of preventing future incidents, the report concludes by \nreinforcing the need to strengthen the regulatory oversight of petroleum refineries in the state of \nCalifornia. \nKey Findings \nThe CSB’s investigation of the February and March 2014 sulfuric acid incidents identified key findings \nrelated to safety culture, process safety indicators, and the continued need for a proactive regulator to \nconduct preventive inspections. \nSafety Culture \nA strong safety culture is necessary to help prevent process safety incidents, including worker injuries \nfrom sulfuric acid releases. The safety culture at the Tesoro Martinez refinery created conditions \nconducive to the occurrence and recurrence of process safety incidents that caused worker injuries at the \nrefinery over several years. The February and March 2014 incidents are part of a lengthy pattern of \nsulfuric acid release-related injuries workers suffered at the facility since 2010, with many commonalities \nthat suggest the refinery is not effectively implementing safety lessons from accidents. They are also \nillustrative of safety culture issues within the Tesoro Martinez refinery, such as: \n Minimization of the seriousness of the February 12, 2014 process safety incident involving \nchemical burns to workers and a loss of primary containment;\n Routine alkylation unit worker exposure to hazardous vapors, acids, and caustic; \n Taking inherently safer acid sample systems out of service; \n Reliance on inadequate temporary alkylation unit equipment or other workarounds;\n Failure to provide alkylation unit workers with necessary and functional personal protective \nequipment (PPE);\n Establishment of site-specific safety policies that were less protective than corporate standards \nand established industry good practice;\n Permit readiness program deficiencies resulting in perceived pressure on alkylation unit workers \nto expedite work;\n Failure to take corrective actions to address findings from refinery safety culture assessments;\n Ineffective incorporation and communication of lessons learned from previous safety incidents;\n Withdrawal from safety programs that workers believed were effective;\n Reports of pressure on alkylation unit workers to reduce cost by running at lower acid \nconcentrations, but without adequate technical controls and infrastructure needed to operate \nsafely at the desired conditions;\n Staffing resource limitations due to numerous worker injuries and workforce reductions; and\n Reports of increased management pressure on alkylation unit workers to expedite training and \nqualifications in order to fill gaps in staffing. \nRegulator Inspections and the use of Indicators \nAn effective, proactive regulator can play a positive role in preventing process safety incidents in \naddition to a company’s prioritization and implementation of safe practices and procedures. \nRobust, preventive inspections by the regulator are necessary to identify opportunities to implement good \npractices, use the hierarchy of controls, and reduce risk to as low as reasonably practicable (ALARP) \namong other critical tasks. Such inspections could have identified the weaknesses of the sampling \nstations at the Tesoro Martinez refinery and safer sampling approaches used at other California refineries. \nIn addition, preventive inspections could have identified the weak equipment and pipe opening practices \nat the Tesoro Martinez refinery. The collection and assessment of a company’s leading and lagging \nprocess safety indicators can measure operational performance and promote ongoing safety improvement, \nleading to the potential for enhanced accident prevention efforts. Prior sulfuric acid exposure incidents at \nthe Tesoro Martinez refinery could have properly been considered leading indicators of an impending \nserious chemical accident and then triggered preventive inspections and review of the refinery’s safety \nsystems and equipment."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"3.1 Incident Description",</w:t>
      </w:r>
    </w:p>
    <w:p>
      <w:pPr>
        <w:spacing w:before="0" w:after="0"/>
        <w:ind w:left="240" w:right="240"/>
        <w:jc w:val="both"/>
      </w:pPr>
      <w:r>
        <w:rPr>
          <w:rFonts w:ascii="Times New Roman" w:hAnsi="Times New Roman"/>
          <w:sz w:val="22"/>
        </w:rPr>
        <w:t>"text": "3.1 Incident Description \nOn February 12, 2014, two employees at the Tesoro Martinez refinery in Martinez, California, suffered \nfirst and second degree chemical burns while working to put a sulfuric acid sampling system20 in the \nrefinery’s alkylation unit back in service following nonroutine maintenance. As will be further discussed \nbelow, concentrated sulfuric acid sprayed two workers following a mechanical integrity failure of a ¾-\ninch tubing connector adjacent to the acid sampling station. \nThe incident occurred when the operators opened a valve to return an acid sampling system \nback to service. Shortly after fully opening this valve, the tubing directly downstream of the \nvalve came apart at the connector, spraying the two operators with acid. The operators immediately went \nto a nearby safety shower. Until responders were able to isolate the system, acid continued to spray out of \nthe failed tubing for over two hours from a nearly 100,000-gallon acid settler21 that was operating below \n100 pounds per square inch gauge (psig) and near the ambient temperature of approximately 50 degrees \nFahrenheit (ºF). This resulted in the release of approximately 84,000 pounds of sulfuric acid. \nAt the time of the incident, the two employees were wearing the personal protective equipment (PPE) \nrequired by company policy to put the sample system back in service – hard hat, safety shoes, goggles, \nflame retardant jacket and coveralls, and gloves. This PPE was, however, insufficient to protect against \nan acid spray injury. Emergency responders transferred the workers by helicopter and ambulance to the \nUC Davis Regional Burn Center for evaluation and treatment of their sulfuric acid burn injuries. Neither \nemployee returned to work for over 150 days.22 Despite the serious nature of the employee injuries and \nquantity of hazardous chemicals released from the loss of containment,23 Tesoro challenged the CSB’s \nauthority to investigate the incident and failed to preserve key evidence.24 Tesoro corporate officials \ncharacterized the incident as a minor personal safety event rather than a process safety incident.25, 26\nBased on information – including alkylation unit worker testimony – that the unit was not safe, the \nCalifornia Division of Occupational Safety and Health (Cal/OSHA) required the process to remain shut \ndown from February 18, 2014 until February 28, 2014, when Tesoro completed abatement of the items \nidentified in the order to prohibit use.27 The Cal/OSHA Process Safety Management (PSM) Unit \ninvestigated the incident and issued citations totaling $51,450.28 The citations were later reduced to three \ngeneral and one serious, for a total penalty of $43,400."</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"3.2 Technical Analysis",</w:t>
      </w:r>
    </w:p>
    <w:p>
      <w:pPr>
        <w:spacing w:before="0" w:after="0"/>
        <w:ind w:left="240" w:right="240"/>
        <w:jc w:val="both"/>
      </w:pPr>
      <w:r>
        <w:rPr>
          <w:rFonts w:ascii="Times New Roman" w:hAnsi="Times New Roman"/>
          <w:sz w:val="22"/>
        </w:rPr>
        <w:t>"text": "3.2 Technical Analysis \nThe sample system involved in the February 12, 2014 incident was out of service for maintenance \nbeginning November 26, 2013 due to leaking tubing and an improperly manufactured sample container. \nDespite the sample system being out of service, the alkylation unit continued to operate as usual. Tesoro \ntechnical personnel stated to the CSB that this sample station was not essential to daily operation of the \nalkylation unit. The alkylation unit technology licensor, however, recommends sampling this acid once \nper day to verify instrumentation and controls are functioning properly. Tesoro performed maintenance \non the sample system on February 10 and 11, 2014, which included replacing the container. Due to \nmaintenance program deficiencies including gaps in planning, documentation, and communication, \nTesoro did not effectively repair or leak-test the tubing prior to placing it back in service. The Tesoro \nMartinez refinery did not require workers to leak-test tubing of this type following repairs. \nIn an agreement among the CSB, Cal/OSHA, and Tesoro, the CSB commissioned Anamet, Inc., a \nmaterials engineering and laboratory testing company, to conduct testing on the failed tubing. \nThe CSB released a technical evaluation report detailing the testing results and conclusions on August 15, \n2014.29 The report concluded that the sulfuric acid release on February 12, 2014 resulted from the failure \nof a ¾-inch diameter stainless steel tubing connector that came apart due to insufficient tightening \nbetween a tube and a compression joint at the sulfuric acid sampling station. \nFollowing the February 12, 2014 incident, maintenance workers also found an inadequately tightened \ncompression fitting for an adjacent sample station. This tubing connector did not fail during start-up like \nthe other connector, however, because the tubing was wedged against a concrete wall, holding it in place."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"3.3 Analysis of Sulfuric Acid Sampling System Design",</w:t>
      </w:r>
    </w:p>
    <w:p>
      <w:pPr>
        <w:spacing w:before="0" w:after="0"/>
        <w:ind w:left="240" w:right="240"/>
        <w:jc w:val="both"/>
      </w:pPr>
      <w:r>
        <w:rPr>
          <w:rFonts w:ascii="Times New Roman" w:hAnsi="Times New Roman"/>
          <w:sz w:val="22"/>
        </w:rPr>
        <w:t>"text": "3.3 Analysis of Sulfuric Acid Sampling System Design \nAs the CSB discussed in many of its investigation reports, the effective implementation of inherently \nsafer design30 and the hierarchy of controls31 are key to reducing risks and preventing major accidents. In \nJanuary 2010, the Tesoro Martinez refinery made a substantial financial investment in what the refinery \nasserted was a more robust, “inherently safer” sampling system, which the refinery then failed to make \noperable and took out of service.32 On February 12, 2014, workers were putting the older, poorly \ndesigned system back into service when the incident occurred. The CSB notes that although the February \n12, 2014 incident did not occur during acid sampling, differences in Tesoro Martinez operations and \nmaintenance work practices meant that the workers would have leak-tested the piping and flanges in the \nsample system that was taken out of service, but not the tubing and fittings in the old system being \nbrought back into service. The Tesoro Martinez refinery management therefore continued to rely on the \nolder sampling system that they acknowledged presented a greater risk to workers. \nTo learn how other companies that operate refineries with sulfuric acid alkylation units controlled hazards \nfrom acid sampling, the CSB requested and received cooperation from two local refineries – Company X \nand Company Y. The CSB’s review of these companies’ sample systems revealed superior sampling \nequipment through more effective application of the hierarchy of controls. Both companies’ sample \nsystems emphasized engineering controls (such as more robust piping) in addition to administrative \ncontrols (such as PPE). \n3.3.1 Tesoro Martinez Refinery Sample Systems \nSulfuric acid sampling systems at the Tesoro Martinez refinery routinely exposed operators to avoidable \nrisks. Even when conducted as Tesoro intended, the sampling process generated a hazardous white vapor \ncloud likely consisting of acid gas and hydrocarbon vapor when the material drained from the acid settler \nto the process chemical sewer. This poses an obvious respiratory hazard to operators engaged in \nsampling. Additionally, due to the dangers this sampling station presented, the Tesoro Martinez \nrefinery’s acid sampling procedure required operators to evacuate nearby workers from the area prior to \ninitiating the sampling procedure. Rather than reengineering the process to eliminate the vapor cloud, \nTesoro placed burlap bags around the process sewer drain opening to attempt to reduce the size of the \nvapor cloud generated by the sampling process. \nAlthough the Tesoro Martinez refinery’s acid sampling procedure warns that “acid fumes are harmful if \ninhaled” and that “extreme caution must be used to prevent irritation and/or injury from acid fumes,” the \nprocedure did not recommend or require any respiratory protection to be worn. Tesoro \noperators informed the CSB that during acid sampling, their personal gas monitors routinely alarmed, \nindicating the presence of harmful sulfur dioxide gas.33 Furthermore, Tesoro operators informed the CSB \nthat despite the fact that Tesoro Martinez required four items of PPE, the workers only wore the goggles \nand chemical gloves. The workers did not use the acid suit jacket required by the procedure because \nTesoro stopped carrying this item in its PPE inventory. Operators also explained that because the face \nshield attachment interfered with how the goggles attached to the operators’ hard hats, they never wore \nthe shields. \nAfter the February 12, 2014 incident, Tesoro upgraded the PPE requirements during acid sampling to \ninclude a full acid suit and air-purifying respirator. \nIn its 2009 process hazard analysis (PHA), Tesoro evaluated the hazards of sampling sulfuric acid. \nTesoro’s PHA documentation indicates that the PHA Team identified the sampling hazard to have a \npotential severity of a lost workday injury, which they anticipated to be likely to occur within 20 years. \nTesoro’s PHA risk matrix identifies this combination of severity and frequency to be “low risk.” The \nPHA team listed PPE as the only safeguard necessary to mitigate the worker injury hazard despite the fact \nthat not all of the PPE required by the procedure was available. In addition, workers could not use some \nof the required PPE due to the incompatibility of the face shield, hard hat, and goggles. In its 2013 PHA, \nTesoro did not specifically evaluate the hazards of the sulfuric acid sample stations. Instead, a human \nfactors checklist was used to cover the sample systems. The checklist questions did not evaluate \nsampling system hazards and were limited to evaluating issues involving accessibility, such as the \nproximity to safety showers, eyewash stations, and transport of samples from elevated locations. \nTherefore, they were unlikely to trigger an effective evaluation of the sulfuric acid sampling system \nhazards. In addition, the report from Contra Costa County’s inspection following the February 12, 2014 \nincident concluded that neither the 2009 nor the 2012 alkylation unit PHAs adequately evaluated the \nhazards associated with the acid sample stations.34 \nTesoro approved a project to install new closed loop sample systems in June 2009. Tesoro \ndesigned these systems to be a significant upgrade to the existing sample stations, with the goal of \nminimizing operator exposure to the sulfuric acid when sampling, among other important reasons. Tesoro \nstated this new design was inherently safer than the existing sample system. Tesoro’s design \nimprovement records show: \n“Closed loop sampler design is inherently safe and will protect Operators \nagainst exposure to strong sulfuric acid when sampling.” \n“New closed loop sampler is simple to use and involves the use of only \ntwo valves each time a sample is taken. The isolation valve is spring \nloaded and must be held open to take a sample; thus, insures [sic] against \nthe sampler being left open and accidentally spilling sulfuric acid or \nventing nitrogen to the atmosphere.” \n“The samplers will be located at waist level or slightly higher so that the \nOperators won't have to bend or stretch to take a sample.” \nIn addition to the safety improvements, the justification Tesoro stated for these upgraded sample \nsystems included ensuring compliance with environmental regulations and a significant annual cost \nsavings of approximately $300,000. Despite the significant cost to purchase and install the improved \nsample systems, Tesoro records show the new equipment would have a two-year payback time. Tesoro \nbased the quick return on this investment on the company’s expectation that these new sample systems \nwould allow the operations staff to further lower the spent sulfuric acid concentration. Due to reliability \nproblems with these upgraded sample systems, however, Tesoro ceased efforts to make them functional \nand took them out of service.35 These problems included plugging, foaming of the collected sample, and \nproblems with the nitrogen purge supply. According to Tesoro employee statements made to the CSB, \nTesoro Martinez laid off the contract engineer responsible for identifying and correcting the sample \nsystem reliability problems. \nConsequently, Tesoro relied on the old sample systems, the use of which resulted in the February 2014 \nsulfuric acid release incident that injured two workers. Ultimately, Tesoro continued to rely on PPE as \nthe control method, which is a less effective method than engineering controls on the hierarchy of \ncontrols. As Tesoro did not provide appropriate PPE and compliance with PPE expectations were not \nreinforced, inadequate controls were in place to protect workers from the sulfuric acid hazards. \n3.3.2 Tesoro Los Angeles Refinery Sample Systems \nTesoro records indicate that the Martinez refinery’s sulfuric acid alkylation unit acid sampling system has \nmore potential for operator exposure to acid than those in use at the other Tesoro refinery in California, \nTesoro’s Los Angeles refinery, which uses an enclosure around the sampling system to protect operators \nfrom potential acid spray. \n3.3.3 Company X Refinery Sample Systems \nCompany X refinery’s sulfuric acid alkylation unit acid sampling equipment is similar to the \ninherently safer system that Tesoro installed but took out of service. Company X initiated efforts to \nupgrade its alkylation unit sample stations in 2012. The design justification for the upgrade includes \nimproved design that would be safer because it would minimize the potential for worker exposure to \nsulfuric acid. Company X also uses a more robust piping material due to the “extremely high” corrosivity \nof the sulfuric acid. Company X installed these sample systems in 2013 and the CSB learned that \nalthough these systems had some initial reliability problems similar to those Tesoro Martinez \nexperienced, Company X successfully transitioned to its more robust sample systems. \n3.3.4 Company Y Refinery Sample Systems \nAcid sampling equipment within the sulfuric acid alkylation unit at the Company Y refinery is also more \nrobust than the system at Tesoro Martinez involved in the February 12, 2014 incident.36 Company Y’s \nacid sampling equipment consists primarily of piping with only a short section of tubing used to collect \nthe acid sample. The sampling equipment (piping, valves, and tubing) used by Company Y is \nbetter designed and maintained than the equipment at the Tesoro Martinez refinery."</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"3.4 Organizational Analysis",</w:t>
      </w:r>
    </w:p>
    <w:p>
      <w:pPr>
        <w:spacing w:before="0" w:after="0"/>
        <w:ind w:left="240" w:right="240"/>
        <w:jc w:val="both"/>
      </w:pPr>
      <w:r>
        <w:rPr>
          <w:rFonts w:ascii="Times New Roman" w:hAnsi="Times New Roman"/>
          <w:sz w:val="22"/>
        </w:rPr>
        <w:t>"text": "3.4 Organizational Analysis \nThe Tesoro Martinez refinery’s practices of taking more robust equipment out of service, tolerating \nunnecessary worker exposure during sampling, and failing to ensure effective PPE all point to weaknesses \nin the refinery’s alkylation unit safety culture. \n3.4.1 Equipment Testing and Postponing Upgrades \nTesoro requires workers to leak-test instrument tubing after installation and prior to initial operation, but \nthere is no requirement to leak-test process tubing, such as the sample system tubing, after making \nmodifications or repairs. In addition, piping and larger equipment would be leak-tested before putting \nthem into service after maintenance repair work, but tubing such as that used for the acid sampling \nsystems was not leak-tested. Workers at the site recognized the discrepancy but were not sure why \nTesoro differentiated tubing this way. When asked why process tubing was not leak-tested prior to \nputting equipment back in service following nonroutine maintenance, such as repairs conducted the day \nbefore the February 2014 incident, one worker stated, “I’m not sure why. We just don’t.” \nAs previously described, Tesoro installed, but later ceased efforts to implement a more robust sulfuric \nacid sampling system. Taking the sample systems out of service that Tesoro had installed to protect \nworkers and continuing to rely on the old sample systems that posed unnecessary risks to operators in \nterms of acid exposure further demonstrates a weak commitment to safety. \nThis type of decision-making also continued a trend of postponing completion of important equipment \nupgrades at the Tesoro Martinez refinery that led to subsequent worker injuries from sulfuric acid \nreleases. For example, two additional acid release incidents that occurred in January and August 2012 \n(listed as incidents 4 and 8 in the Introduction) both occurred as the result of ceasing efforts to repair \npermanent equipment. Instead, Tesoro installed temporary equipment that was not compatible with \nsulfuric acid. In January 2012, a temporary pump failed and injured one worker. But Tesoro’s \ninvestigation of the January 2012 incident did not trigger a thorough hazard review of the temporary \nequipment and a temporary hose that was not compatible with sulfuric acid remained in service, but then \nsubsequently failed in August 2012, injuring two more workers. \n3.4.2 PPE Unavailability and Insufficiency \nAs noted above, Tesoro Martinez operators informed the CSB that Tesoro failed to make important PPE, \nthe acid suit jacket, required by refinery sulfuric acid sampling procedures available for operators to use. \nWhen confronting a particular safety issue, a company with a robust safety culture would use a hazard \nanalysis to identify appropriate controls to minimize and mitigate the effects of those hazards. A culture \nthat fosters safety should ensure that controls such as procedures reflect actual practices and address \nproblems with PPE so that workers have the equipment they need, and that all PPE is functional. The \nrequired PPE was either not available, or did not fit correctly, and therefore Tesoro workers did not wear \nit. Tesoro alkylation unit operators stated that of the four items of PPE required by Tesoro, they only \nwore the goggles and chemical gloves. The workers stated that they did not use the acid suit jacket \nrequired by the sampling procedure because Tesoro stopped carrying this item in its PPE inventory \nseveral years before the February 2014 incident. In addition, operators did not wear the required face \nshield because it interfered with how the goggles attached to the operators’ hard hats. As a result, \noperators stated that they never wore the face shields. \nSome worker comments from a 2013 Tesoro Martinez refinery safety culture survey (discussed in more \ndetail in Section 5.1) also reflect PPE availability problems at the refinery. Workers provided the \nfollowing verbatim comments in the 2013 safety culture survey: \n“Selection &amp; availability &amp; maintenance of necessary PPE has slipped to \nunacceptable conditions. This needs to be addressed &amp; fixed.” \n“PPE is out of stock or tough to get at the unit most times.” \n“We no longer keep an adequate amount of PPE on hand.”\n3.4.3 Production vs. Safety \nIn Tesoro’s 2013 safety culture assessment, some worker comments identified other weaknesses as well – \nweak safety values and a weak commitment to process safety. Tesoro Martinez alkylation unit workers \ninformed the CSB that they believed the culture at the refinery favored production over safety, and \nmanagement and workers alike were often hesitant to initiate a shutdown. A Tesoro operator told the \nCSB that during the February 12, 2014 incident, he had to use his stop work authority to promptly shut \ndown the unit and disregard perceived management pressure to keep the unit operating during the 84,000-\npound sulfuric acid release.37 The operator knew that if the acid drained out, the flammable hydrocarbon \nlayer on top of the acid would follow, likely resulting in an escalation of the incident with the potential for \nan explosion and fire. Some alkylation unit workers informed the CSB, however, that not all workers \nwould exercise their stop work authority due to a history of perceived retaliation at the facility for \nexercising stop work authority. \n3.4.4 Caustic Sampling Issues \nTesoro Martinez alkylation unit operators informed the CSB that the sodium hydroxide solution \n(“caustic”) sampling systems were even more hazardous than the sulfuric acid sampling systems. One \nemployee explained that industrial hygienists and other safety staff accompanied him on a tour in order to \nobserve employees taking a sample of caustic, which they witnessed periodically splattering from pockets \nof butane. This required the relocation of staff from the adjacent areas and temporary work stoppage until \nsampling ended. Another alkylation unit operator corroborated this, explaining the various Tesoro \npersonnel who he brought to the area to show “how the caustic blows back” when operators take caustic \nsamples. He stated that the “battle” over caustic spray incidents had been going on for “years and years” \nwithout the refinery resolving the issue. The employee explained: \n“You crack it open a little bit and it just spits out. And you have to hide \nyourself behind piping to shield yourself from anything. It's like one of \nthe only defenses that you have.” \nIn addition, Contra Costa County’s report, detailing the results from its inspection conducted after the \nFebruary 12, 2014 acid release incident, stated that Tesoro’s 2012 PHA identified the hazards caustic \nsampling presented to workers, but did not ensure the hazard would be corrected. The PHA stated, \n“[p]otential personnel exposure concerns to caustic and butane during sampling due to sample point not \nbeing a closed system. Operations experience suggests that foaming and HC [hydrocarbon] flashing \ncauses caustic to spray out of the sample point increasing personnel exposure risk.” The county’s report \nalso noted that no PHA recommendations were made as the “[t]eam noted that plans exist to upgrade the \nsampling systems.” Upgrades to the caustic sampling systems did not occur, however, until after the \nFebruary 12, 2014 sulfuric acid release incident that injured two workers. \nAn alkylation unit employee also reported that personal gas monitors for sulfur dioxide “always go off” \n(alarm) during caustic sampling. Alkylation unit operators reported numerous incidents involving \nworkers being sprayed during caustic sampling, but also stated that there is underreporting of the \nincidents despite the widespread number of occurrences. CSB investigators learned from alkylation unit \nworkers that these caustic spray incidents result in workers using the safety showers, but the workers \n“don’t want to report it” as a caustic spray incident, so they will say that they are “washing their hands” \ninstead of washing the caustic off of their faces. \n“You know you're not washing your hands. You don't wash your hands \nout there. Okay. But if they're getting it off their face, and they don't \nwant to report it, you know, just like I said, in fear of Tesoro.” \nFinally, following the February 12, 2014 incident, workers informed Cal/OSHA safety engineers about \ntheir safety concerns with the alkylation unit caustic sampling systems. Cal/OSHA referenced these \nsample systems in its order to prohibit use. With respect to the caustic sampling systems, the Cal/OSHA \norder stated: \nOperators state they are afraid to take caustic samples. The lines [piping] \nthey use to get the Caustic samples always plug up on them and they \nhave to hit the pipes with something to free the plug. They use a 1½-\ninch pipe with a cup on the end of it to grab the sample so they are very \nclose to the caustic when they try to clear the line from the plugging. \nThey also get bubbles of butane in the stream of caustic which causes the \ncaustic to splatter out at them. \nFollowing Cal/OSHA’s enforcement efforts, Tesoro modified all of the caustic sampling stations to \nminimize worker exposure to caustic prior to resuming production at the alkylation unit. Furthermore, \nsince Tesoro Martinez had no procedure to take caustic samples, Tesoro developed one and trained \nworkers on it, in order to improve safety when sampling caustic. Tesoro Martinez also increased the PPE \nrequirements during caustic sampling to include an acid suit and an air-purifying respirator."</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"Incident split performed because the document presents two separate dated incidents with distinct top-level incident sections. Executive Summary is shared because it explicitly covers both incidents. Related sections selected are those most directly describing hazard evolution, physical release development, and consequence development for the February 12, 2014 event."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"Toxicity dispersion",</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"“On February 12, 2014, two employees ... suffered first and second degree chemical burns ... concentrated sulfuric acid sprayed two workers following a mechanical integrity failure ... This resulted in the release of approximately 84,000 pounds of sulfuric acid.”",</w:t>
      </w:r>
    </w:p>
    <w:p>
      <w:pPr>
        <w:spacing w:before="0" w:after="0"/>
        <w:ind w:left="240" w:right="240"/>
        <w:jc w:val="both"/>
      </w:pPr>
      <w:r>
        <w:rPr>
          <w:rFonts w:ascii="Times New Roman" w:hAnsi="Times New Roman"/>
          <w:sz w:val="22"/>
        </w:rPr>
        <w:t>"explanation": "The incident centers on a large loss of containment of sulfuric acid that sprayed workers and released hazardous acid to the environment for over two hours. No ignition, fire, explosion, or oxygen-deficient atmosphere occurred. Among the allowed categories, Toxicity dispersion is the best fit for this harmful chemical release mechanism.",</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"The main accident mechanism analyzed is a mechanical integrity failure that caused a sulfuric acid release and worker exposure injury. Since the report focuses on the release, spray, and hazardous chemical exposure effects rather than combustion or explosion, the primary hazard consequence is Toxicity dispersion.",</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"VCE",</w:t>
      </w:r>
    </w:p>
    <w:p>
      <w:pPr>
        <w:spacing w:before="0" w:after="0"/>
        <w:ind w:left="240" w:right="240"/>
        <w:jc w:val="both"/>
      </w:pPr>
      <w:r>
        <w:rPr>
          <w:rFonts w:ascii="Times New Roman" w:hAnsi="Times New Roman"/>
          <w:sz w:val="22"/>
        </w:rPr>
        <w:t>"reason": "No vapor cloud explosion occurred; the released sulfuric acid was not reported to ignite or explode."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"reason": "There was no boiling liquid expanding vapor explosion involving a pressurized vessel exposed to fire."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"Dust explosion",</w:t>
      </w:r>
    </w:p>
    <w:p>
      <w:pPr>
        <w:spacing w:before="0" w:after="0"/>
        <w:ind w:left="240" w:right="240"/>
        <w:jc w:val="both"/>
      </w:pPr>
      <w:r>
        <w:rPr>
          <w:rFonts w:ascii="Times New Roman" w:hAnsi="Times New Roman"/>
          <w:sz w:val="22"/>
        </w:rPr>
        <w:t>"reason": "The incident did not involve combustible dust."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"Confined explosion",</w:t>
      </w:r>
    </w:p>
    <w:p>
      <w:pPr>
        <w:spacing w:before="0" w:after="0"/>
        <w:ind w:left="240" w:right="240"/>
        <w:jc w:val="both"/>
      </w:pPr>
      <w:r>
        <w:rPr>
          <w:rFonts w:ascii="Times New Roman" w:hAnsi="Times New Roman"/>
          <w:sz w:val="22"/>
        </w:rPr>
        <w:t>"reason": "No explosion in a confined space was described."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"Pool fire",</w:t>
      </w:r>
    </w:p>
    <w:p>
      <w:pPr>
        <w:spacing w:before="0" w:after="0"/>
        <w:ind w:left="240" w:right="240"/>
        <w:jc w:val="both"/>
      </w:pPr>
      <w:r>
        <w:rPr>
          <w:rFonts w:ascii="Times New Roman" w:hAnsi="Times New Roman"/>
          <w:sz w:val="22"/>
        </w:rPr>
        <w:t>"reason": "Although acid was released, it did not ignite and no pool fire occurred."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"reason": "The release was an acid spray, not an ignited pressurized flammable release."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"No fireball event occurred."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"There was no ignited flammable vapor cloud or transient flame propagation."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"The injuries were chemical burns from sulfuric acid exposure, not oxygen displacement or suffocation."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20. If the incident description presents a tightly connected upstream operational or physical process that directly leads to the first abnormal event, the InitiatingEvent name may summarize that connected process in one concise event name.</w:t>
      </w:r>
    </w:p>
    <w:p>
      <w:pPr>
        <w:spacing w:before="0" w:after="0"/>
        <w:ind w:left="240" w:right="240"/>
        <w:jc w:val="both"/>
      </w:pPr>
      <w:r>
        <w:rPr>
          <w:rFonts w:ascii="Times New Roman" w:hAnsi="Times New Roman"/>
          <w:sz w:val="22"/>
        </w:rPr>
        <w:t>21. Do not merge multiple distinct downstream events, failure events, ignition events, or hazard consequences into the InitiatingEvent name. Only combine closely connected precursor steps that jointly define the same initiating mechanism.</w:t>
      </w:r>
    </w:p>
    <w:p>
      <w:pPr>
        <w:spacing w:before="0" w:after="0"/>
        <w:ind w:left="240" w:right="240"/>
        <w:jc w:val="both"/>
      </w:pPr>
      <w:r>
        <w:rPr>
          <w:rFonts w:ascii="Times New Roman" w:hAnsi="Times New Roman"/>
          <w:sz w:val="22"/>
        </w:rPr>
        <w:t>22. For example, if stop-start transfer pumping caused turbulence and bubbling, which directly caused rapid static charge accumulation, these closely connected steps may be summarized in one InitiatingEvent. However, later mechanical failure or ignition steps should remain separate events.</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"Toxicity dispersion",</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"“On February 12, 2014, two employees ... suffered first and second degree chemical burns ... concentrated sulfuric acid sprayed two workers following a mechanical integrity failure ... This resulted in the release of approximately 84,000 pounds of sulfuric acid.”",</w:t>
      </w:r>
    </w:p>
    <w:p>
      <w:pPr>
        <w:spacing w:before="0" w:after="0"/>
        <w:ind w:left="240" w:right="240"/>
        <w:jc w:val="both"/>
      </w:pPr>
      <w:r>
        <w:rPr>
          <w:rFonts w:ascii="Times New Roman" w:hAnsi="Times New Roman"/>
          <w:sz w:val="22"/>
        </w:rPr>
        <w:t>"explanation": "The incident centers on a large loss of containment of sulfuric acid that sprayed workers and released hazardous acid to the environment for over two hours. No ignition, fire, explosion, or oxygen-deficient atmosphere occurred. Among the allowed categories, Toxicity dispersion is the best fit for this harmful chemical release mechanism.",</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"Sulfuric acid",</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"concentrated sulfuric acid sprayed two workers",</w:t>
      </w:r>
    </w:p>
    <w:p>
      <w:pPr>
        <w:spacing w:before="0" w:after="0"/>
        <w:ind w:left="240" w:right="240"/>
        <w:jc w:val="both"/>
      </w:pPr>
      <w:r>
        <w:rPr>
          <w:rFonts w:ascii="Times New Roman" w:hAnsi="Times New Roman"/>
          <w:sz w:val="22"/>
        </w:rPr>
        <w:t>"explanation": "Sulfuric acid was the hazardous material released from the sampling system and it directly caused the workers' chemical burn injuries.",</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"Sulfuric acid sampling station in the alkylation unit",</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"at the sulfuric acid sampling station",</w:t>
      </w:r>
    </w:p>
    <w:p>
      <w:pPr>
        <w:spacing w:before="0" w:after="0"/>
        <w:ind w:left="240" w:right="240"/>
        <w:jc w:val="both"/>
      </w:pPr>
      <w:r>
        <w:rPr>
          <w:rFonts w:ascii="Times New Roman" w:hAnsi="Times New Roman"/>
          <w:sz w:val="22"/>
        </w:rPr>
        <w:t>"explanation": "The loss of containment occurred at the sulfuric acid sampling station within the refinery alkylation unit.",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"concentrated sulfuric acid sprayed two workers",</w:t>
      </w:r>
    </w:p>
    <w:p>
      <w:pPr>
        <w:spacing w:before="0" w:after="0"/>
        <w:ind w:left="240" w:right="240"/>
        <w:jc w:val="both"/>
      </w:pPr>
      <w:r>
        <w:rPr>
          <w:rFonts w:ascii="Times New Roman" w:hAnsi="Times New Roman"/>
          <w:sz w:val="22"/>
        </w:rPr>
        <w:t>"explanation": "The released sulfuric acid was in liquid form and sprayed from the failed tubing connection.",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"Low pressure",</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"operating below 100 pounds per square inch gauge (psig)",</w:t>
      </w:r>
    </w:p>
    <w:p>
      <w:pPr>
        <w:spacing w:before="0" w:after="0"/>
        <w:ind w:left="240" w:right="240"/>
        <w:jc w:val="both"/>
      </w:pPr>
      <w:r>
        <w:rPr>
          <w:rFonts w:ascii="Times New Roman" w:hAnsi="Times New Roman"/>
          <w:sz w:val="22"/>
        </w:rPr>
        <w:t>"explanation": "The source vessel was operating below 100 psig, indicating a relatively low-pressure release rather than a high-pressure event.",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"Atmospheric temperature",</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"near the ambient temperature of approximately 50 degrees Fahrenheit",</w:t>
      </w:r>
    </w:p>
    <w:p>
      <w:pPr>
        <w:spacing w:before="0" w:after="0"/>
        <w:ind w:left="240" w:right="240"/>
        <w:jc w:val="both"/>
      </w:pPr>
      <w:r>
        <w:rPr>
          <w:rFonts w:ascii="Times New Roman" w:hAnsi="Times New Roman"/>
          <w:sz w:val="22"/>
        </w:rPr>
        <w:t>"explanation": "The sulfuric acid was released near ambient conditions rather than at unusually high or low process temperature.",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report does not explicitly state the volatility classification of the released material.",</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report does not explicitly state the combustibility classification of the released sulfuric acid.",</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w:t>
      </w:r>
    </w:p>
    <w:p>
      <w:pPr>
        <w:spacing w:before="0" w:after="0"/>
        <w:ind w:left="240" w:right="240"/>
        <w:jc w:val="both"/>
      </w:pPr>
      <w:r>
        <w:rPr>
          <w:rFonts w:ascii="Times New Roman" w:hAnsi="Times New Roman"/>
          <w:sz w:val="22"/>
        </w:rPr>
        <w:t>"node_id": "C6",</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"acid fumes are harmful if inhaled",</w:t>
      </w:r>
    </w:p>
    <w:p>
      <w:pPr>
        <w:spacing w:before="0" w:after="0"/>
        <w:ind w:left="240" w:right="240"/>
        <w:jc w:val="both"/>
      </w:pPr>
      <w:r>
        <w:rPr>
          <w:rFonts w:ascii="Times New Roman" w:hAnsi="Times New Roman"/>
          <w:sz w:val="22"/>
        </w:rPr>
        <w:t>"explanation": "The report describes sulfuric acid fumes as harmful if inhaled and the released acid caused worker injuries, supporting classification as a toxic substance.",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"C7",</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does not identify sulfuric acid as an asphyxiant or describe oxygen-displacement effects.",</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"C8",</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electrical conductivity of the released material is not stated in the incident report.",</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w:t>
      </w:r>
    </w:p>
    <w:p>
      <w:pPr>
        <w:spacing w:before="0" w:after="0"/>
        <w:ind w:left="240" w:right="240"/>
        <w:jc w:val="both"/>
      </w:pPr>
      <w:r>
        <w:rPr>
          <w:rFonts w:ascii="Times New Roman" w:hAnsi="Times New Roman"/>
          <w:sz w:val="22"/>
        </w:rPr>
        <w:t>"node_id": "C9",</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"acid continued to spray out of the failed tubing for over two hours",</w:t>
      </w:r>
    </w:p>
    <w:p>
      <w:pPr>
        <w:spacing w:before="0" w:after="0"/>
        <w:ind w:left="240" w:right="240"/>
        <w:jc w:val="both"/>
      </w:pPr>
      <w:r>
        <w:rPr>
          <w:rFonts w:ascii="Times New Roman" w:hAnsi="Times New Roman"/>
          <w:sz w:val="22"/>
        </w:rPr>
        <w:t>"explanation": "The sulfuric acid discharge continued for an extended period until responders isolated the system, so the release was continuous rather than instantaneous.",</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"C10",</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does not explicitly classify the release area in terms of confinement.",</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w:t>
      </w:r>
    </w:p>
    <w:p>
      <w:pPr>
        <w:spacing w:before="0" w:after="0"/>
        <w:ind w:left="240" w:right="240"/>
        <w:jc w:val="both"/>
      </w:pPr>
      <w:r>
        <w:rPr>
          <w:rFonts w:ascii="Times New Roman" w:hAnsi="Times New Roman"/>
          <w:sz w:val="22"/>
        </w:rPr>
        <w:t>"node_id": "C11",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"spraying the two operators with acid",</w:t>
      </w:r>
    </w:p>
    <w:p>
      <w:pPr>
        <w:spacing w:before="0" w:after="0"/>
        <w:ind w:left="240" w:right="240"/>
        <w:jc w:val="both"/>
      </w:pPr>
      <w:r>
        <w:rPr>
          <w:rFonts w:ascii="Times New Roman" w:hAnsi="Times New Roman"/>
          <w:sz w:val="22"/>
        </w:rPr>
        <w:t>"explanation": "The failed connection produced an acid spray that dispersed hazardous material into the surrounding work area.",</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"Opening the valve to return the sulfuric acid sampling system to service following maintenance",</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incident occurred when the operators opened a valve to return an acid sampling system back to service.",</w:t>
      </w:r>
    </w:p>
    <w:p>
      <w:pPr>
        <w:spacing w:before="0" w:after="0"/>
        <w:ind w:left="240" w:right="240"/>
        <w:jc w:val="both"/>
      </w:pPr>
      <w:r>
        <w:rPr>
          <w:rFonts w:ascii="Times New Roman" w:hAnsi="Times New Roman"/>
          <w:sz w:val="22"/>
        </w:rPr>
        <w:t>"explanation": "The initiating event was the start-up action that reintroduced sulfuric acid into the repaired sampling system.",</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"¾-inch stainless steel tubing connector came apart due to insufficient tightening at a compression joint",</w:t>
      </w:r>
    </w:p>
    <w:p>
      <w:pPr>
        <w:spacing w:before="0" w:after="0"/>
        <w:ind w:left="240" w:right="240"/>
        <w:jc w:val="both"/>
      </w:pPr>
      <w:r>
        <w:rPr>
          <w:rFonts w:ascii="Times New Roman" w:hAnsi="Times New Roman"/>
          <w:sz w:val="22"/>
        </w:rPr>
        <w:t>"node_id": "Ev2",</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"failure of a ¾-inch diameter stainless steel tubing connector that came apart due to insufficient tightening between a tube and a compression joint",</w:t>
      </w:r>
    </w:p>
    <w:p>
      <w:pPr>
        <w:spacing w:before="0" w:after="0"/>
        <w:ind w:left="240" w:right="240"/>
        <w:jc w:val="both"/>
      </w:pPr>
      <w:r>
        <w:rPr>
          <w:rFonts w:ascii="Times New Roman" w:hAnsi="Times New Roman"/>
          <w:sz w:val="22"/>
        </w:rPr>
        <w:t>"explanation": "This connector failure was the direct mechanical integrity breakdown that caused the sulfuric acid loss of containment.",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"C2",</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"C3",</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"C6",</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"Ev2",</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"C11",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"C2",</w:t>
      </w:r>
    </w:p>
    <w:p>
      <w:pPr>
        <w:spacing w:before="0" w:after="0"/>
        <w:ind w:left="240" w:right="240"/>
        <w:jc w:val="both"/>
      </w:pPr>
      <w:r>
        <w:rPr>
          <w:rFonts w:ascii="Times New Roman" w:hAnsi="Times New Roman"/>
          <w:sz w:val="22"/>
        </w:rPr>
        <w:t>"target": "C11",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"Ev2",</w:t>
      </w:r>
    </w:p>
    <w:p>
      <w:pPr>
        <w:spacing w:before="0" w:after="0"/>
        <w:ind w:left="240" w:right="240"/>
        <w:jc w:val="both"/>
      </w:pPr>
      <w:r>
        <w:rPr>
          <w:rFonts w:ascii="Times New Roman" w:hAnsi="Times New Roman"/>
          <w:sz w:val="22"/>
        </w:rPr>
        <w:t>"target": "C9",</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"Ev2",</w:t>
      </w:r>
    </w:p>
    <w:p>
      <w:pPr>
        <w:spacing w:before="0" w:after="0"/>
        <w:ind w:left="240" w:right="240"/>
        <w:jc w:val="both"/>
      </w:pPr>
      <w:r>
        <w:rPr>
          <w:rFonts w:ascii="Times New Roman" w:hAnsi="Times New Roman"/>
          <w:sz w:val="22"/>
        </w:rPr>
        <w:t>"target": "C11",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"C6",</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"C9",</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"IntermediateEvent",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