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OCHeading"/>
        <w:spacing w:before="480" w:after="0"/>
        <w:jc w:val="center"/>
        <w:rPr>
          <w:rFonts w:hint="eastAsia"/>
          <w:color w:val="000000"/>
          <w:sz w:val="52"/>
          <w:szCs w:val="52"/>
          <w:lang w:val="zh-CN"/>
        </w:rPr>
      </w:pPr>
      <w:r>
        <w:rPr>
          <w:rFonts w:hint="eastAsia"/>
          <w:color w:val="000000"/>
          <w:sz w:val="52"/>
          <w:szCs w:val="52"/>
          <w:lang w:val="zh-CN"/>
        </w:rPr>
      </w:r>
    </w:p>
    <w:p>
      <w:pPr>
        <w:pStyle w:val="TOCHeading"/>
        <w:jc w:val="center"/>
        <w:rPr>
          <w:rFonts w:hint="eastAsia"/>
          <w:color w:val="000000"/>
          <w:sz w:val="52"/>
          <w:szCs w:val="52"/>
          <w:lang w:val="zh-CN"/>
        </w:rPr>
      </w:pPr>
      <w:r>
        <w:rPr>
          <w:rFonts w:hint="eastAsia"/>
          <w:color w:val="000000"/>
          <w:sz w:val="52"/>
          <w:szCs w:val="52"/>
          <w:lang w:val="zh-CN"/>
        </w:rPr>
      </w:r>
    </w:p>
    <w:p>
      <w:pPr>
        <w:pStyle w:val="TOCHeading"/>
        <w:jc w:val="center"/>
        <w:rPr>
          <w:rFonts w:hint="eastAsia"/>
          <w:color w:val="000000"/>
          <w:sz w:val="52"/>
          <w:szCs w:val="52"/>
          <w:lang w:val="zh-CN"/>
        </w:rPr>
      </w:pPr>
      <w:r>
        <w:rPr>
          <w:rFonts w:hint="eastAsia"/>
          <w:color w:val="000000"/>
          <w:sz w:val="52"/>
          <w:szCs w:val="52"/>
          <w:lang w:val="zh-CN"/>
        </w:rPr>
        <w:t>运行监测数据自适应压缩传输控制决策与优化系统</w:t>
      </w:r>
    </w:p>
    <w:p>
      <w:pPr>
        <w:pStyle w:val="TOCHeading"/>
        <w:jc w:val="center"/>
        <w:rPr>
          <w:rFonts w:hint="eastAsia"/>
          <w:color w:val="000000"/>
          <w:sz w:val="52"/>
          <w:szCs w:val="52"/>
        </w:rPr>
      </w:pPr>
      <w:r>
        <w:rPr>
          <w:rFonts w:hint="eastAsia"/>
          <w:color w:val="000000"/>
          <w:sz w:val="52"/>
          <w:szCs w:val="52"/>
        </w:rPr>
        <w:t>V1.0</w:t>
      </w:r>
    </w:p>
    <w:p>
      <w:pPr>
        <w:pStyle w:val="Normal"/>
        <w:jc w:val="center"/>
        <w:rPr>
          <w:rFonts w:hint="eastAsia"/>
          <w:b/>
          <w:bCs/>
          <w:color w:val="000000"/>
          <w:sz w:val="84"/>
          <w:szCs w:val="84"/>
        </w:rPr>
      </w:pPr>
      <w:r>
        <w:rPr>
          <w:rFonts w:hint="eastAsia"/>
          <w:b/>
          <w:bCs/>
          <w:color w:val="000000"/>
          <w:sz w:val="84"/>
          <w:szCs w:val="84"/>
        </w:rPr>
      </w:r>
    </w:p>
    <w:p>
      <w:pPr>
        <w:pStyle w:val="Normal"/>
        <w:jc w:val="center"/>
        <w:rPr>
          <w:rFonts w:hint="eastAsia"/>
          <w:b/>
          <w:bCs/>
          <w:sz w:val="52"/>
          <w:szCs w:val="84"/>
        </w:rPr>
      </w:pPr>
      <w:r>
        <w:rPr>
          <w:rFonts w:hint="eastAsia"/>
          <w:b/>
          <w:bCs/>
          <w:sz w:val="52"/>
          <w:szCs w:val="84"/>
        </w:rPr>
        <w:t>用户手册</w:t>
      </w:r>
    </w:p>
    <w:p>
      <w:pPr>
        <w:pStyle w:val="Normal"/>
        <w:jc w:val="center"/>
        <w:rPr>
          <w:rFonts w:hint="eastAsia"/>
          <w:b/>
          <w:bCs/>
          <w:sz w:val="84"/>
          <w:szCs w:val="84"/>
        </w:rPr>
      </w:pPr>
      <w:r>
        <w:rPr>
          <w:rFonts w:hint="eastAsia"/>
          <w:b/>
          <w:bCs/>
          <w:sz w:val="84"/>
          <w:szCs w:val="84"/>
        </w:rPr>
      </w:r>
    </w:p>
    <w:p>
      <w:pPr>
        <w:pStyle w:val="Normal"/>
        <w:jc w:val="center"/>
        <w:rPr>
          <w:rFonts w:hint="eastAsia"/>
          <w:b/>
          <w:bCs/>
          <w:sz w:val="84"/>
          <w:szCs w:val="84"/>
        </w:rPr>
      </w:pPr>
      <w:r>
        <w:rPr>
          <w:rFonts w:hint="eastAsia"/>
          <w:b/>
          <w:bCs/>
          <w:sz w:val="84"/>
          <w:szCs w:val="84"/>
        </w:rPr>
      </w:r>
    </w:p>
    <w:p>
      <w:pPr>
        <w:pStyle w:val="Normal"/>
        <w:jc w:val="center"/>
        <w:rPr>
          <w:rFonts w:hint="eastAsia"/>
          <w:b/>
          <w:bCs/>
          <w:sz w:val="84"/>
          <w:szCs w:val="84"/>
        </w:rPr>
      </w:pPr>
      <w:r>
        <w:rPr>
          <w:rFonts w:hint="eastAsia"/>
          <w:b/>
          <w:bCs/>
          <w:sz w:val="84"/>
          <w:szCs w:val="84"/>
        </w:rPr>
      </w:r>
    </w:p>
    <w:p>
      <w:pPr>
        <w:pStyle w:val="Normal"/>
        <w:rPr>
          <w:rFonts w:hint="eastAsia"/>
          <w:b/>
          <w:bCs/>
          <w:sz w:val="84"/>
          <w:szCs w:val="84"/>
        </w:rPr>
        <w:sectPr>
          <w:headerReference w:type="default" r:id="rId2"/>
          <w:type w:val="nextPage"/>
          <w:pgSz w:w="11906" w:h="16838"/>
          <w:pgMar w:left="1800" w:right="1800" w:gutter="0" w:header="851" w:top="1440" w:footer="0" w:bottom="1440"/>
          <w:pgNumType w:fmt="decimal"/>
          <w:formProt w:val="false"/>
          <w:textDirection w:val="lrTb"/>
          <w:docGrid w:type="lines" w:linePitch="312" w:charSpace="0"/>
        </w:sectPr>
      </w:pPr>
      <w:r>
        <w:rPr>
          <w:rFonts w:hint="eastAsia"/>
          <w:b/>
          <w:bCs/>
          <w:sz w:val="84"/>
          <w:szCs w:val="84"/>
        </w:rPr>
      </w:r>
    </w:p>
    <w:p>
      <w:pPr>
        <w:pStyle w:val="TOCHeading"/>
        <w:snapToGrid w:val="0"/>
        <w:jc w:val="center"/>
      </w:pPr>
      <w:r>
        <w:rPr>
          <w:rFonts w:ascii="宋体" w:hAnsi="宋体" w:eastAsia="宋体"/>
          <w:sz w:val="28"/>
        </w:rPr>
        <w:t>目录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1 引言  …………  3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2 软件概述  …………  4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2.2 软件运行与2.3 系统要求  …………  5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3.1 系统启动与主界面  …………  6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3.2 建立接收端连接  …………  7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3.3 上传文件并确认数据包  …………  8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3.4 上传文件夹  …………  9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3.5 自动压缩控制  …………  10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3.6 手动压缩参数  …………  11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3.7 调度优先级  …………  12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3.8 开始传输  …………  13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3.9 暂停与继续  …………  14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3.10 完成与完整性校验  …………  15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3.11 压缩率与总耗时分析  …………  16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3.12 当前推荐策略解读  …………  17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3.13 选择任务与查看恢复文件  …………  18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3.14 接收端监控  …………  19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3.15 效果展示与详细监控  …………  20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3.16 消息队列接入  …………  21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3.17 API接口数据接入  …………  22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3.18 重置和断开连接  …………  23</w:t>
      </w:r>
    </w:p>
    <w:p>
      <w:pPr>
        <w:spacing w:after="0" w:line="440" w:lineRule="exact"/>
        <w:snapToGrid w:val="0"/>
      </w:pPr>
      <w:r>
        <w:rPr>
          <w:rFonts w:ascii="宋体" w:hAnsi="宋体" w:eastAsia="宋体"/>
          <w:sz w:val="21"/>
        </w:rPr>
        <w:t>3.19 退出与常见问题  …………  24</w:t>
      </w:r>
    </w:p>
    <w:p>
      <w:pPr>
        <w:pStyle w:val="Heading1"/>
        <w:keepNext/>
        <w:pageBreakBefore/>
        <w:snapToGrid w:val="0"/>
      </w:pPr>
      <w:r>
        <w:rPr>
          <w:rFonts w:ascii="宋体" w:hAnsi="宋体" w:eastAsia="宋体"/>
          <w:sz w:val="44"/>
        </w:rPr>
        <w:t>1 引言</w:t>
      </w:r>
    </w:p>
    <w:p>
      <w:pPr>
        <w:pStyle w:val="Heading2"/>
        <w:keepNext/>
        <w:pageBreakBefore w:val="0"/>
        <w:snapToGrid w:val="0"/>
      </w:pPr>
      <w:r>
        <w:rPr>
          <w:rFonts w:ascii="宋体" w:hAnsi="宋体" w:eastAsia="宋体"/>
          <w:sz w:val="32"/>
        </w:rPr>
        <w:t>1.1 编写目的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本手册用于指导用户安装、启动和操作运行监测数据自适应压缩传输控制决策与优化系统V1.0，说明数据接入、参数设置、任务控制以及结果检查的方法。用户应按“启动服务—连接接收端—选择数据—配置策略—执行任务—查看结果”的顺序操作。</w:t>
      </w:r>
    </w:p>
    <w:p>
      <w:pPr>
        <w:pStyle w:val="Heading2"/>
        <w:keepNext/>
        <w:pageBreakBefore w:val="0"/>
        <w:snapToGrid w:val="0"/>
      </w:pPr>
      <w:r>
        <w:rPr>
          <w:rFonts w:ascii="宋体" w:hAnsi="宋体" w:eastAsia="宋体"/>
          <w:sz w:val="32"/>
        </w:rPr>
        <w:t>1.2 参考资料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参考本软件仓库中的README、各软件启动说明、前端操作界面、网关接口与后端实现。界面截图来自本次在浏览器中的实际操作，图示样本仅用于说明操作过程。</w:t>
      </w:r>
    </w:p>
    <w:p>
      <w:pPr>
        <w:pStyle w:val="Heading2"/>
        <w:keepNext/>
        <w:pageBreakBefore w:val="0"/>
        <w:snapToGrid w:val="0"/>
      </w:pPr>
      <w:r>
        <w:rPr>
          <w:rFonts w:ascii="宋体" w:hAnsi="宋体" w:eastAsia="宋体"/>
          <w:sz w:val="32"/>
        </w:rPr>
        <w:t>1.3 术语和缩略词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API：应用程序接口。GZIP、ZSTD、LZ4等：压缩算法标识。吞吐率：单位时间传输的数据量。完整性校验：检查恢复数据与原数据是否一致。LSTM：长短期记忆网络，用于速率时序预测。</w:t>
      </w:r>
    </w:p>
    <w:p>
      <w:pPr>
        <w:pStyle w:val="Heading1"/>
        <w:keepNext/>
        <w:pageBreakBefore/>
        <w:snapToGrid w:val="0"/>
      </w:pPr>
      <w:r>
        <w:rPr>
          <w:rFonts w:ascii="宋体" w:hAnsi="宋体" w:eastAsia="宋体"/>
          <w:sz w:val="44"/>
        </w:rPr>
        <w:t>2 软件概述</w:t>
      </w:r>
    </w:p>
    <w:p>
      <w:pPr>
        <w:pStyle w:val="Heading2"/>
        <w:keepNext/>
        <w:pageBreakBefore w:val="0"/>
        <w:snapToGrid w:val="0"/>
      </w:pPr>
      <w:r>
        <w:rPr>
          <w:rFonts w:ascii="宋体" w:hAnsi="宋体" w:eastAsia="宋体"/>
          <w:sz w:val="32"/>
        </w:rPr>
        <w:t>2.1 软件功能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多源监测数据接入；自动/手动压缩参数配置；压缩率与总耗时关系分析；推荐算法、级别和策略展示；任务调度及传输控制；接收文件恢复、校验和效果评估。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主界面左侧为发送配置，中部依次显示压缩率与总耗时分析、当前推荐策略及任务队列，右侧为接收端状态。用户可对比推荐结果与当前执行参数。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三个软件采用独立界面入口、进程、端口与运行目录，并复用压缩传输后端和网关实现。本系统没有账号登录界面，启动成功后直接进入主页。菜单与按钮的可用状态随当前任务变化。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未接入外部网络遥测时，系统使用内置动态采样。部分耗时包含建模估算，界面指标应结合实际链路测量进行判断。软件当前提供指标辅助分析，不对工业故障作自动根因分类。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2.2 软件运行与2.3 系统要求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运行需Java 17及以上、Node.js 18.17及以上和现代浏览器。建议使用64位计算机、4核CPU、8GB内存和10GB以上可用存储，并按上传和接收数据规模预留空间。消息队列接入还需要可访问的RabbitMQ服务。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完整保留交付目录。Windows可运行apps/adaptive/启动.bat；Linux或macOS在根目录执行node scripts/start.mjs adaptive。首次运行时确认对应界面、业务服务和接收端端口未被占用。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本系统界面端口为8102，Java后端端口为8202，本地接收端端口为8302。本机访问地址为http://127.0.0.1:8102/analysis。跨机接收应填写接收机的实际IP和端口。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本次在Debian GNU/Linux 13与Chromium中验证；Windows及macOS启动入口已提供，尚需在目标机器核验。交付构建可直接运行；从源码构建另需JDK、Maven和npm依赖。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3.1 系统启动与主界面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启动本软件后，在浏览器地址栏输入http://127.0.0.1:8102/analysis。加载成功后，顶部显示完整软件名称，主区域出现发送端配置及本系统对应的分析面板。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本系统不要求输入用户名和密码。首次使用先确认页面无请求错误，再配置接收端和数据包。已有任务记录可能在重新启动后恢复，主页显示的状态以当前任务为准。</w:t>
      </w:r>
    </w:p>
    <w:p>
      <w:pPr>
        <w:spacing w:before="100" w:after="60"/>
        <w:keepNext/>
        <w:snapToGrid w:val="0"/>
        <w:jc w:val="center"/>
      </w:pPr>
      <w:r>
        <w:drawing>
          <wp:inline xmlns:a="http://schemas.openxmlformats.org/drawingml/2006/main">
            <wp:extent cx="5274000" cy="439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keepNext w:val="0"/>
        <w:snapToGrid w:val="0"/>
      </w:pPr>
      <w:r>
        <w:rPr>
          <w:rFonts w:ascii="宋体" w:hAnsi="宋体" w:eastAsia="宋体"/>
          <w:sz w:val="21"/>
        </w:rPr>
        <w:t>图3.1 系统启动与主界面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3.2 建立接收端连接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在“接收端状态”输入接收机地址。本机联调填写127.0.0.1:8302，然后点击“建立连接”。成功后按钮变为“断开连接”，通信状态显示连接结果。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跨电脑使用时，在接收机执行node scripts/receiver.mjs adaptive或对应的接收端启动批处理。发送机填写接收机实际IP:8302，并保证两机网络和防火墙允许访问。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连接失败时先检查接收服务、地址和端口。保持连接后再开始传输，避免任务停留在等待网络或重试状态。</w:t>
      </w:r>
    </w:p>
    <w:p>
      <w:pPr>
        <w:spacing w:before="100" w:after="60"/>
        <w:keepNext/>
        <w:snapToGrid w:val="0"/>
        <w:jc w:val="center"/>
      </w:pPr>
      <w:r>
        <w:drawing>
          <wp:inline xmlns:a="http://schemas.openxmlformats.org/drawingml/2006/main">
            <wp:extent cx="5274000" cy="439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onnected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keepNext w:val="0"/>
        <w:snapToGrid w:val="0"/>
      </w:pPr>
      <w:r>
        <w:rPr>
          <w:rFonts w:ascii="宋体" w:hAnsi="宋体" w:eastAsia="宋体"/>
          <w:sz w:val="21"/>
        </w:rPr>
        <w:t>图3.2 建立接收端连接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3.3 上传文件并确认数据包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点击发送端“选择文件”，在文件对话框中选择待传文件。上传过程中按钮显示进度；上传完成后，“发送数据包”下拉框中出现对应名称。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在下拉框明确选择刚上传的文件，核对下方fileName和fileSize。上传后选择项可能保留此前值，应以当前下拉框为准。图示使用“工业监测样本.csv”，不代表正式业务数据。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任务运行或上传时配置项可能暂时禁用。等待操作完成后再修改参数；大文件接入由原分块上传逻辑处理。</w:t>
      </w:r>
    </w:p>
    <w:p>
      <w:pPr>
        <w:spacing w:before="100" w:after="60"/>
        <w:keepNext/>
        <w:snapToGrid w:val="0"/>
        <w:jc w:val="center"/>
      </w:pPr>
      <w:r>
        <w:drawing>
          <wp:inline xmlns:a="http://schemas.openxmlformats.org/drawingml/2006/main">
            <wp:extent cx="5274000" cy="439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fil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keepNext w:val="0"/>
        <w:snapToGrid w:val="0"/>
      </w:pPr>
      <w:r>
        <w:rPr>
          <w:rFonts w:ascii="宋体" w:hAnsi="宋体" w:eastAsia="宋体"/>
          <w:sz w:val="21"/>
        </w:rPr>
        <w:t>图3.3 上传文件并确认数据包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3.4 上传文件夹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点击“选择文件夹”，选择包含多个文件的目录，并在浏览器提示中允许读取该目录文件。系统按文件夹数据包登记，保留内部文件的相对路径。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接入完成后，在发送数据包下拉框中选中相应文件夹名称，确认总量与待传内容。图示“监测数据批次”包含CSV与文本文件，用于说明多文件接入流程。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文件夹同样需要配置压缩控制并点击开始传输；上传完成仅表示源数据已接入，不等于接收机已收到文件。</w:t>
      </w:r>
    </w:p>
    <w:p>
      <w:pPr>
        <w:spacing w:before="100" w:after="60"/>
        <w:keepNext/>
        <w:snapToGrid w:val="0"/>
        <w:jc w:val="center"/>
      </w:pPr>
      <w:r>
        <w:drawing>
          <wp:inline xmlns:a="http://schemas.openxmlformats.org/drawingml/2006/main">
            <wp:extent cx="5274000" cy="439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folder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keepNext w:val="0"/>
        <w:snapToGrid w:val="0"/>
      </w:pPr>
      <w:r>
        <w:rPr>
          <w:rFonts w:ascii="宋体" w:hAnsi="宋体" w:eastAsia="宋体"/>
          <w:sz w:val="21"/>
        </w:rPr>
        <w:t>图3.4 上传文件夹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3.5 自动压缩控制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在“压缩控制模式”选择“自动控制”。算法和级别显示由系统自动选择，用户无需为这两个字段指定固定值；仍可选择待传数据包和调度优先级。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系统结合文件特征、压缩画像、网络状态和速率估计评估候选策略。推荐或预估值会随当前数据和链路变化，执行后的实际压缩量应以已完成任务结果为准。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确认当前选择已保存、接收端已连接后，可点击“开始传输”。比较不同配置时应尽量使用同一份数据和相近网络条件。</w:t>
      </w:r>
    </w:p>
    <w:p>
      <w:pPr>
        <w:spacing w:before="100" w:after="60"/>
        <w:keepNext/>
        <w:snapToGrid w:val="0"/>
        <w:jc w:val="center"/>
      </w:pPr>
      <w:r>
        <w:drawing>
          <wp:inline xmlns:a="http://schemas.openxmlformats.org/drawingml/2006/main">
            <wp:extent cx="5274000" cy="439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uto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keepNext w:val="0"/>
        <w:snapToGrid w:val="0"/>
      </w:pPr>
      <w:r>
        <w:rPr>
          <w:rFonts w:ascii="宋体" w:hAnsi="宋体" w:eastAsia="宋体"/>
          <w:sz w:val="21"/>
        </w:rPr>
        <w:t>图3.5 自动压缩控制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3.6 手动压缩参数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选择“手动控制”，再从“压缩算法”下拉框选择算法，从“压缩级别”中选择可用等级。图示以GZIP为例，实际支持范围以界面选项和说明为准。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界面在算法下方显示描述和级别范围。不同算法的耗时和压缩效果不同，不能将不同算法的同一等级简单视为同等强度。选择完成后等待配置保存。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手动模式将指定参数作为执行起点；最终任务执行信息和输出大小应在任务记录与结果页核对。运行时配置锁定，须暂停或完成后按可编辑状态操作。</w:t>
      </w:r>
    </w:p>
    <w:p>
      <w:pPr>
        <w:spacing w:before="100" w:after="60"/>
        <w:keepNext/>
        <w:snapToGrid w:val="0"/>
        <w:jc w:val="center"/>
      </w:pPr>
      <w:r>
        <w:drawing>
          <wp:inline xmlns:a="http://schemas.openxmlformats.org/drawingml/2006/main">
            <wp:extent cx="5274000" cy="439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anual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keepNext w:val="0"/>
        <w:snapToGrid w:val="0"/>
      </w:pPr>
      <w:r>
        <w:rPr>
          <w:rFonts w:ascii="宋体" w:hAnsi="宋体" w:eastAsia="宋体"/>
          <w:sz w:val="21"/>
        </w:rPr>
        <w:t>图3.6 手动压缩参数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3.7 调度优先级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在“调度优先级”选择低、中或高。该设置用于任务调度与决策，修改后核对发送摘要中的priority和任务队列记录。截图展示可选择的当前优先级。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优先级不等于传输带宽保证。实际速度还受压缩算法、文件内容、处理能力和链路状态影响；应结合任务进度、耗时和吞吐指标共同判断。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开始任务前再次核对文件名、压缩模式和级别，防止沿用上一轮任务的参数。</w:t>
      </w:r>
    </w:p>
    <w:p>
      <w:pPr>
        <w:spacing w:before="100" w:after="60"/>
        <w:keepNext/>
        <w:snapToGrid w:val="0"/>
        <w:jc w:val="center"/>
      </w:pPr>
      <w:r>
        <w:drawing>
          <wp:inline xmlns:a="http://schemas.openxmlformats.org/drawingml/2006/main">
            <wp:extent cx="5274000" cy="439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riority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keepNext w:val="0"/>
        <w:snapToGrid w:val="0"/>
      </w:pPr>
      <w:r>
        <w:rPr>
          <w:rFonts w:ascii="宋体" w:hAnsi="宋体" w:eastAsia="宋体"/>
          <w:sz w:val="21"/>
        </w:rPr>
        <w:t>图3.7 调度优先级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3.8 开始传输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完成数据接入、参数设置和接收机连接后，点击“开始传输”。按钮进入传输状态，系统执行数据识别、压缩、分片发送、接收恢复和完整性校验。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在进度和任务状态区域观察当前阶段、已处理帧和传输量。运行过程中部分按钮禁用属于正常保护；不要通过重复点击提交同一任务。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若出现失败或重试达到上限提示，应记录错误及任务信息，检查接收机、网络和磁盘后再人工补传。</w:t>
      </w:r>
    </w:p>
    <w:p>
      <w:pPr>
        <w:spacing w:before="100" w:after="60"/>
        <w:keepNext/>
        <w:snapToGrid w:val="0"/>
        <w:jc w:val="center"/>
      </w:pPr>
      <w:r>
        <w:drawing>
          <wp:inline xmlns:a="http://schemas.openxmlformats.org/drawingml/2006/main">
            <wp:extent cx="5274000" cy="439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running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keepNext w:val="0"/>
        <w:snapToGrid w:val="0"/>
      </w:pPr>
      <w:r>
        <w:rPr>
          <w:rFonts w:ascii="宋体" w:hAnsi="宋体" w:eastAsia="宋体"/>
          <w:sz w:val="21"/>
        </w:rPr>
        <w:t>图3.8 开始传输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3.9 暂停与继续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任务执行期间，“暂停任务”按钮可用。需要中断操作时点击该按钮，等待状态切换并查看界面反馈。暂停适合临时停止处理，不能视为任务已完成。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确认接收端仍可用后，再点击“开始传输”按当前任务控制逻辑继续。继续后观察进度和任务状态，完成时再检查恢复内容。截图来自本次实际暂停操作。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若任务已迅速完成，暂停按钮会禁用。此时应直接检查完成结果；不要将重置当成继续，也不要在未确认状态时关闭运行进程。</w:t>
      </w:r>
    </w:p>
    <w:p>
      <w:pPr>
        <w:spacing w:before="100" w:after="60"/>
        <w:keepNext/>
        <w:snapToGrid w:val="0"/>
        <w:jc w:val="center"/>
      </w:pPr>
      <w:r>
        <w:drawing>
          <wp:inline xmlns:a="http://schemas.openxmlformats.org/drawingml/2006/main">
            <wp:extent cx="5274000" cy="439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paused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keepNext w:val="0"/>
        <w:snapToGrid w:val="0"/>
      </w:pPr>
      <w:r>
        <w:rPr>
          <w:rFonts w:ascii="宋体" w:hAnsi="宋体" w:eastAsia="宋体"/>
          <w:sz w:val="21"/>
        </w:rPr>
        <w:t>图3.9 暂停与继续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3.10 完成与完整性校验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任务完成后，进度显示100%或完成状态，相关统计更新。检查完整性校验结果、文件大小和任务记录；进度到达100%时仍应确认任务最终状态，而非只看进度条。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本次示例已在接收服务下载恢复后的CSV，并与上传原文件逐字节比较一致。正式业务仍应按自身要求核对恢复文件和日志。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界面中的压缩前后大小、耗时和收益属于当前任务。尚未完成任务时，完成统计可能显示“—”或等待结果，属于正常状态。</w:t>
      </w:r>
    </w:p>
    <w:p>
      <w:pPr>
        <w:spacing w:before="100" w:after="60"/>
        <w:keepNext/>
        <w:snapToGrid w:val="0"/>
        <w:jc w:val="center"/>
      </w:pPr>
      <w:r>
        <w:drawing>
          <wp:inline xmlns:a="http://schemas.openxmlformats.org/drawingml/2006/main">
            <wp:extent cx="5274000" cy="4395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ompleted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keepNext w:val="0"/>
        <w:snapToGrid w:val="0"/>
      </w:pPr>
      <w:r>
        <w:rPr>
          <w:rFonts w:ascii="宋体" w:hAnsi="宋体" w:eastAsia="宋体"/>
          <w:sz w:val="21"/>
        </w:rPr>
        <w:t>图3.10 完成与完整性校验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3.11 压缩率与总耗时分析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查看中部“压缩率–总耗时分析”。横轴和纵轴的实际含义以图中标注为准，移动鼠标可查看对应点的提示信息，用于比较候选压缩策略的时间代价。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压缩率更低不必然意味着总耗时更短。应同时考虑压缩、传输与解压的成本，并结合当前网络状态判断策略收益。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图表包含分析与估算结果。执行完成后，到效果展示查看实际任务统计，不将推荐曲线的估算点当作已完成测量结果。</w:t>
      </w:r>
    </w:p>
    <w:p>
      <w:pPr>
        <w:spacing w:before="100" w:after="60"/>
        <w:keepNext/>
        <w:snapToGrid w:val="0"/>
        <w:jc w:val="center"/>
      </w:pPr>
      <w:r>
        <w:drawing>
          <wp:inline xmlns:a="http://schemas.openxmlformats.org/drawingml/2006/main">
            <wp:extent cx="5274000" cy="4395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featur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keepNext w:val="0"/>
        <w:snapToGrid w:val="0"/>
      </w:pPr>
      <w:r>
        <w:rPr>
          <w:rFonts w:ascii="宋体" w:hAnsi="宋体" w:eastAsia="宋体"/>
          <w:sz w:val="21"/>
        </w:rPr>
        <w:t>图3.11 压缩率与总耗时分析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3.12 当前推荐策略解读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查看“当前推荐策略”，逐行阅读推荐算法、压缩级别及界面给出的决策说明。当前推荐会受数据类型、压缩画像、速率预测和网络质量变化影响。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自动模式下由系统评估参数；手动模式下应对照用户已选算法及级别，判断当前执行设置与推荐建议是否一致。推荐是对当前条件的分析，不能直接保证未来链路下的同等收益。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需要比较方案时，使用同一数据包多次执行并保存任务结果，再从效果页比较总时延和压缩量。</w:t>
      </w:r>
    </w:p>
    <w:p>
      <w:pPr>
        <w:spacing w:before="100" w:after="60"/>
        <w:keepNext/>
        <w:snapToGrid w:val="0"/>
        <w:jc w:val="center"/>
      </w:pPr>
      <w:r>
        <w:drawing>
          <wp:inline xmlns:a="http://schemas.openxmlformats.org/drawingml/2006/main">
            <wp:extent cx="5274000" cy="4395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metric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keepNext w:val="0"/>
        <w:snapToGrid w:val="0"/>
      </w:pPr>
      <w:r>
        <w:rPr>
          <w:rFonts w:ascii="宋体" w:hAnsi="宋体" w:eastAsia="宋体"/>
          <w:sz w:val="21"/>
        </w:rPr>
        <w:t>图3.12 当前推荐策略解读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3.13 选择任务与查看恢复文件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在主页任务队列中选择任务，按实际界面进入任务进程或查看该任务信息；详细页面提供“返回软件首页”。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完成且已产生恢复内容的任务可点击“打开文件”或“打开文件夹”。前者获取恢复文件，后者查看目录及内部文件。未产生内容的任务入口可能不可用。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核对任务名和完成状态后再下载。文件夹任务应检查相对路径及文件数量，必要时对照原文件进行校验。</w:t>
      </w:r>
    </w:p>
    <w:p>
      <w:pPr>
        <w:spacing w:before="100" w:after="60"/>
        <w:keepNext/>
        <w:snapToGrid w:val="0"/>
        <w:jc w:val="center"/>
      </w:pPr>
      <w:r>
        <w:drawing>
          <wp:inline xmlns:a="http://schemas.openxmlformats.org/drawingml/2006/main">
            <wp:extent cx="5274000" cy="4395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queu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keepNext w:val="0"/>
        <w:snapToGrid w:val="0"/>
      </w:pPr>
      <w:r>
        <w:rPr>
          <w:rFonts w:ascii="宋体" w:hAnsi="宋体" w:eastAsia="宋体"/>
          <w:sz w:val="21"/>
        </w:rPr>
        <w:t>图3.13 选择任务与查看恢复文件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3.14 接收端监控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在浏览器访问http://127.0.0.1:8302/receiver可打开本机接收服务的监控页面；跨机时将IP替换为接收机实际地址。该页面显示接收配置、接收总结和任务队列。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确认服务在线及任务接收状态，查看接收与恢复阶段、校验和相关时间对比。接收端的数据反映接收服务所保存的任务，应与发送端所选任务对应核对。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发送端的查看缓存与接收端真实落盘目录不同。正式检查以接收机已恢复的文件为准，不仅依赖发送端的预览或缓存。</w:t>
      </w:r>
    </w:p>
    <w:p>
      <w:pPr>
        <w:spacing w:before="100" w:after="60"/>
        <w:keepNext/>
        <w:snapToGrid w:val="0"/>
        <w:jc w:val="center"/>
      </w:pPr>
      <w:r>
        <w:drawing>
          <wp:inline xmlns:a="http://schemas.openxmlformats.org/drawingml/2006/main">
            <wp:extent cx="5274000" cy="4395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receiver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keepNext w:val="0"/>
        <w:snapToGrid w:val="0"/>
      </w:pPr>
      <w:r>
        <w:rPr>
          <w:rFonts w:ascii="宋体" w:hAnsi="宋体" w:eastAsia="宋体"/>
          <w:sz w:val="21"/>
        </w:rPr>
        <w:t>图3.14 接收端监控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3.15 效果展示与详细监控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在同一软件界面地址后输入/effect，例如http://127.0.0.1:8102/effect。任务完成后可查看文件与时延对比、压缩前后时延组成、结论分析及网络总体状态。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需要查看详细进程时，访问http://127.0.0.1:8102/transmission。详细页面右上角可点击“返回软件首页”回到本系统主页面。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没有完成结果时，效果页显示等待提示。对比时注意单位和统计对象，并区分任务统计与建模估计；切换任务后应确认结果确属目标文件。</w:t>
      </w:r>
    </w:p>
    <w:p>
      <w:pPr>
        <w:spacing w:before="100" w:after="60"/>
        <w:keepNext/>
        <w:snapToGrid w:val="0"/>
        <w:jc w:val="center"/>
      </w:pPr>
      <w:r>
        <w:drawing>
          <wp:inline xmlns:a="http://schemas.openxmlformats.org/drawingml/2006/main">
            <wp:extent cx="5274000" cy="4395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effect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keepNext w:val="0"/>
        <w:snapToGrid w:val="0"/>
      </w:pPr>
      <w:r>
        <w:rPr>
          <w:rFonts w:ascii="宋体" w:hAnsi="宋体" w:eastAsia="宋体"/>
          <w:sz w:val="21"/>
        </w:rPr>
        <w:t>图3.15 效果展示与详细监控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3.16 消息队列接入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在发送端点击“消息队列流式传输”选择该接入方式。需要先部署并连通RabbitMQ，启动前按业务设置RABBITMQ_URL和RABBITMQ_QUEUE，避免三套软件误消费同一队列。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按界面选择要送入队列的文件或文件夹，再点击“开始接入”。系统完成发布和消费后登记数据包，随后仍需在下拉框确认数据、设置压缩参数并开始传输。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截图展示接入模式和状态。本次未连接外部RabbitMQ实服务；未连接时应先修复配置。接入完成与向目标接收机传输完成是两个不同阶段。</w:t>
      </w:r>
    </w:p>
    <w:p>
      <w:pPr>
        <w:spacing w:before="100" w:after="60"/>
        <w:keepNext/>
        <w:snapToGrid w:val="0"/>
        <w:jc w:val="center"/>
      </w:pPr>
      <w:r>
        <w:drawing>
          <wp:inline xmlns:a="http://schemas.openxmlformats.org/drawingml/2006/main">
            <wp:extent cx="5274000" cy="4395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message-queu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keepNext w:val="0"/>
        <w:snapToGrid w:val="0"/>
      </w:pPr>
      <w:r>
        <w:rPr>
          <w:rFonts w:ascii="宋体" w:hAnsi="宋体" w:eastAsia="宋体"/>
          <w:sz w:val="21"/>
        </w:rPr>
        <w:t>图3.16 消息队列接入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3.17 API接口数据接入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点击“API接口数据接入”切换模式。页面提示通过POST /api/ingress/api-callback接入数据；该方式由外部程序调用本系统网关接口，不在网页中直接填写完整请求。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调用方应按网关接口定义提交数据包和必要字段；如部署启用接入令牌，应随请求携带配置要求的令牌。不要在截图或说明材料中填写真实令牌。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接入成功后回到发送数据包下拉框确认新数据，按通常流程配置并传输。请求失败时检查地址、请求体及服务日志。截图仅展示模式选择，不表示已完成外部系统对接。</w:t>
      </w:r>
    </w:p>
    <w:p>
      <w:pPr>
        <w:spacing w:before="100" w:after="60"/>
        <w:keepNext/>
        <w:snapToGrid w:val="0"/>
        <w:jc w:val="center"/>
      </w:pPr>
      <w:r>
        <w:drawing>
          <wp:inline xmlns:a="http://schemas.openxmlformats.org/drawingml/2006/main">
            <wp:extent cx="5274000" cy="4395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api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keepNext w:val="0"/>
        <w:snapToGrid w:val="0"/>
      </w:pPr>
      <w:r>
        <w:rPr>
          <w:rFonts w:ascii="宋体" w:hAnsi="宋体" w:eastAsia="宋体"/>
          <w:sz w:val="21"/>
        </w:rPr>
        <w:t>图3.17 API接口数据接入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3.18 重置和断开连接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需要重新开始配置时，先确认当前任务已暂停或结束，再按实际需求点击“重置”，等待状态反馈。重置用于当前任务控制，不应据此推断历史记录和接收文件已被删除。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在“接收端状态”点击“断开连接”，按钮恢复为“建立连接”。重新传输前须再次输入或确认接收地址并建立连接。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断开连接不能替代停止服务。对未完成任务进行重置或断连前应保留原始数据，并在恢复连接后检查是否需要重新开始或人工补传。</w:t>
      </w:r>
    </w:p>
    <w:p>
      <w:pPr>
        <w:spacing w:before="100" w:after="60"/>
        <w:keepNext/>
        <w:snapToGrid w:val="0"/>
        <w:jc w:val="center"/>
      </w:pPr>
      <w:r>
        <w:drawing>
          <wp:inline xmlns:a="http://schemas.openxmlformats.org/drawingml/2006/main">
            <wp:extent cx="5274000" cy="4395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disconnected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3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  <w:keepNext w:val="0"/>
        <w:snapToGrid w:val="0"/>
      </w:pPr>
      <w:r>
        <w:rPr>
          <w:rFonts w:ascii="宋体" w:hAnsi="宋体" w:eastAsia="宋体"/>
          <w:sz w:val="21"/>
        </w:rPr>
        <w:t>图3.18 重置和断开连接</w:t>
      </w:r>
    </w:p>
    <w:p>
      <w:pPr>
        <w:pStyle w:val="Heading2"/>
        <w:keepNext/>
        <w:pageBreakBefore/>
        <w:snapToGrid w:val="0"/>
      </w:pPr>
      <w:r>
        <w:rPr>
          <w:rFonts w:ascii="宋体" w:hAnsi="宋体" w:eastAsia="宋体"/>
          <w:sz w:val="32"/>
        </w:rPr>
        <w:t>3.19 退出与常见问题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任务结束后先确认文件已接收并完成校验，再关闭浏览器页面。停止软件时，在根目录运行node scripts/stop.mjs adaptive，或运行apps/adaptive/关闭.bat。独立接收端按其启动方式单独停止。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页面打不开：检查Node与Java版本、启动输出和端口占用，查看runtime目录中本系统的backend.log、bridge.log及receiver.log。出现请求错误时，先确认对应服务仍在运行。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无法连接接收机：检查IP、端口、防火墙和接收服务。上传后文件未选中：手动在发送数据包下拉框重新选择。完成统计为空：等待任务完成并核对当前任务，必要时刷新页面。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传输失败或校验异常：保留源文件和日志，检查磁盘、网络和恢复文件；按页面错误提示处理，重试耗尽时人工补传。不要仅凭进度条判断业务成功。</w:t>
      </w:r>
    </w:p>
    <w:p>
      <w:pPr>
        <w:keepNext w:val="0"/>
        <w:snapToGrid w:val="0"/>
        <w:spacing w:after="120" w:line="324" w:lineRule="auto"/>
        <w:ind w:firstLine="560"/>
      </w:pPr>
      <w:r>
        <w:rPr>
          <w:rFonts w:ascii="宋体" w:hAnsi="宋体" w:eastAsia="宋体"/>
          <w:sz w:val="28"/>
        </w:rPr>
        <w:t>数据保存在各系统的runtime目录中。接收端真实恢复目录为receiver-received，发送端文件查看缓存为received。备份和清理前应先停止相关服务，并确认文件不再被任务使用。</w:t>
      </w:r>
    </w:p>
    <w:sectPr>
      <w:headerReference w:type="default" r:id="rId26"/>
      <w:headerReference w:type="first" r:id="rId27"/>
      <w:type w:val="nextPage"/>
      <w:pgSz w:w="11906" w:h="16838"/>
      <w:pgMar w:left="1800" w:right="1800" w:gutter="0" w:header="851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default"/>
  </w:font>
  <w:font w:name="Cambria">
    <w:charset w:val="00"/>
    <w:family w:val="roman"/>
    <w:pitch w:val="default"/>
  </w:font>
  <w:font w:name="宋体">
    <w:charset w:val="86"/>
    <w:family w:val="auto"/>
    <w:pitch w:val="default"/>
  </w:font>
  <w:font w:name="Liberation Sans">
    <w:altName w:val="Arial"/>
    <w:charset w:val="01"/>
    <w:family w:val="swiss"/>
    <w:pitch w:val="variable"/>
  </w:font>
  <w:font w:name="Arial">
    <w:charset w:val="00"/>
    <w:family w:val="swiss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both"/>
      <w:rPr>
        <w:rFonts w:hint="eastAsia"/>
      </w:rPr>
    </w:pPr>
    <w:r>
      <w:rPr>
        <w:rFonts w:hint="eastAsia"/>
      </w:rPr>
      <w:t>运行监测数据自适应压缩传输控制决策与优化系统</w:t>
    </w:r>
    <w:r>
      <w:rPr>
        <w:rFonts w:hint="eastAsia"/>
      </w:rPr>
      <w:t>V1.0</w:t>
    </w:r>
    <w:r>
      <mc:AlternateContent>
        <mc:Choice Requires="wps">
          <w:drawing>
            <wp:anchor distT="0" distB="0" distL="114935" distR="0" simplePos="0" relativeHeight="25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9690" cy="16319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90" cy="16319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7pt;height:12.85pt;mso-wrap-distance-left:9.05pt;mso-wrap-distance-right:0pt;mso-wrap-distance-top:0pt;mso-wrap-distance-bottom:0pt;margin-top:0pt;mso-position-vertical-relative:text;margin-left:410.6pt;mso-position-horizontal:right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Head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both"/>
      <w:rPr>
        <w:rFonts w:hint="eastAsia"/>
      </w:rPr>
    </w:pPr>
    <w:r>
      <w:rPr>
        <w:rFonts w:hint="eastAsia"/>
      </w:rPr>
      <w:t>运行监测数据自适应压缩传输控制决策与优化系统</w:t>
    </w:r>
    <w:r>
      <w:rPr>
        <w:rFonts w:hint="eastAsia"/>
      </w:rPr>
      <w:t>V1.0</w:t>
    </w:r>
    <w:r>
      <mc:AlternateContent>
        <mc:Choice Requires="wps">
          <w:drawing>
            <wp:anchor distT="0" distB="0" distL="114935" distR="0" simplePos="0" relativeHeight="42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17475" cy="163195"/>
              <wp:effectExtent l="0" t="0" r="0" b="0"/>
              <wp:wrapNone/>
              <wp:docPr id="25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475" cy="16319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18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25pt;height:12.85pt;mso-wrap-distance-left:9.05pt;mso-wrap-distance-right:0pt;mso-wrap-distance-top:0pt;mso-wrap-distance-bottom:0pt;margin-top:0pt;mso-position-vertical-relative:text;margin-left:406.05pt;mso-position-horizontal:right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Head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18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adjustLineHeightInTable/>
    <w:doNotBreakWrappedTables/>
    <w:compatSetting w:name="compatibilityMode" w:uri="http://schemas.microsoft.com/office/word" w:val="11"/>
  </w:compat>
  <w:docVars>
    <w:docVar w:name="commondata" w:val="eyJoZGlkIjoiNjFmYWJlZTc1OGMxMjA4NTM0MDU5MzQ1ODNiYjFhNTE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Calibri"/>
      <w:color w:val="auto"/>
      <w:kern w:val="2"/>
      <w:sz w:val="21"/>
      <w:szCs w:val="22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5" w:before="260" w:after="260"/>
      <w:outlineLvl w:val="1"/>
    </w:pPr>
    <w:rPr>
      <w:rFonts w:ascii="Cambria" w:hAnsi="Cambria" w:eastAsia="宋体" w:cs="Cambria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uto" w:line="415" w:before="260" w:after="260"/>
      <w:outlineLvl w:val="2"/>
    </w:pPr>
    <w:rPr>
      <w:b/>
      <w:bCs/>
      <w:sz w:val="32"/>
      <w:szCs w:val="32"/>
    </w:rPr>
  </w:style>
  <w:style w:type="character" w:styleId="Style11">
    <w:name w:val="默认段落字体"/>
    <w:qFormat/>
    <w:rPr/>
  </w:style>
  <w:style w:type="character" w:styleId="1">
    <w:name w:val="标题 1 字符"/>
    <w:qFormat/>
    <w:rPr>
      <w:b/>
      <w:bCs/>
      <w:kern w:val="2"/>
      <w:sz w:val="44"/>
      <w:szCs w:val="44"/>
    </w:rPr>
  </w:style>
  <w:style w:type="character" w:styleId="2">
    <w:name w:val="标题 2 字符"/>
    <w:qFormat/>
    <w:rPr>
      <w:rFonts w:ascii="Cambria" w:hAnsi="Cambria" w:eastAsia="宋体" w:cs="Cambria"/>
      <w:b/>
      <w:bCs/>
      <w:sz w:val="32"/>
      <w:szCs w:val="32"/>
    </w:rPr>
  </w:style>
  <w:style w:type="character" w:styleId="3">
    <w:name w:val="标题 3 字符"/>
    <w:qFormat/>
    <w:rPr>
      <w:b/>
      <w:bCs/>
      <w:sz w:val="32"/>
      <w:szCs w:val="32"/>
    </w:rPr>
  </w:style>
  <w:style w:type="character" w:styleId="Style12">
    <w:name w:val="日期 字符"/>
    <w:basedOn w:val="Style11"/>
    <w:qFormat/>
    <w:rPr/>
  </w:style>
  <w:style w:type="character" w:styleId="Style13">
    <w:name w:val="批注框文本 字符"/>
    <w:qFormat/>
    <w:rPr>
      <w:sz w:val="18"/>
      <w:szCs w:val="18"/>
    </w:rPr>
  </w:style>
  <w:style w:type="character" w:styleId="Style14">
    <w:name w:val="页脚 字符"/>
    <w:qFormat/>
    <w:rPr>
      <w:sz w:val="18"/>
      <w:szCs w:val="18"/>
    </w:rPr>
  </w:style>
  <w:style w:type="character" w:styleId="Style15">
    <w:name w:val="页眉 字符"/>
    <w:qFormat/>
    <w:rPr>
      <w:sz w:val="18"/>
      <w:szCs w:val="18"/>
    </w:rPr>
  </w:style>
  <w:style w:type="character" w:styleId="Hyperlink">
    <w:name w:val="Hyperlink"/>
    <w:rPr>
      <w:rFonts w:ascii="宋体" w:hAnsi="宋体" w:eastAsia="宋体" w:cs="宋体" w:hint="eastAsia"/>
      <w:color w:val="000000"/>
      <w:sz w:val="18"/>
      <w:szCs w:val="18"/>
      <w:u w:val="non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OC3">
    <w:name w:val="toc 3"/>
    <w:basedOn w:val="Normal"/>
    <w:next w:val="Normal"/>
    <w:pPr>
      <w:ind w:firstLineChars="0" w:firstLine="0" w:startChars="400" w:endChars="0" w:end="0"/>
    </w:pPr>
    <w:rPr/>
  </w:style>
  <w:style w:type="paragraph" w:styleId="Style16">
    <w:name w:val="日期"/>
    <w:basedOn w:val="Normal"/>
    <w:next w:val="Normal"/>
    <w:qFormat/>
    <w:pPr>
      <w:ind w:firstLineChars="0" w:firstLine="0" w:startChars="2500" w:endChars="0" w:end="0"/>
    </w:pPr>
    <w:rPr/>
  </w:style>
  <w:style w:type="paragraph" w:styleId="Style17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pPr/>
    <w:rPr/>
  </w:style>
  <w:style w:type="paragraph" w:styleId="TOC2">
    <w:name w:val="toc 2"/>
    <w:basedOn w:val="Normal"/>
    <w:next w:val="Normal"/>
    <w:pPr>
      <w:ind w:firstLineChars="0" w:firstLine="0" w:startChars="200" w:endChars="0" w:end="0"/>
    </w:pPr>
    <w:rPr/>
  </w:style>
  <w:style w:type="paragraph" w:styleId="TOCHeading">
    <w:name w:val="TOC Heading"/>
    <w:basedOn w:val="Heading1"/>
    <w:next w:val="Normal"/>
    <w:qFormat/>
    <w:pPr>
      <w:widowControl/>
      <w:numPr>
        <w:ilvl w:val="0"/>
        <w:numId w:val="0"/>
      </w:numPr>
      <w:spacing w:lineRule="auto" w:line="276" w:before="480" w:after="0"/>
      <w:jc w:val="start"/>
      <w:outlineLvl w:val="9"/>
    </w:pPr>
    <w:rPr>
      <w:rFonts w:ascii="Cambria" w:hAnsi="Cambria" w:eastAsia="宋体" w:cs="Cambria"/>
      <w:color w:val="365F90"/>
      <w:kern w:val="0"/>
      <w:sz w:val="28"/>
      <w:szCs w:val="28"/>
    </w:rPr>
  </w:style>
  <w:style w:type="paragraph" w:styleId="z-">
    <w:name w:val="z-窗体顶端"/>
    <w:basedOn w:val="Normal"/>
    <w:next w:val="Normal"/>
    <w:qFormat/>
    <w:pPr>
      <w:pBdr>
        <w:top w:val="single" w:sz="6" w:space="1" w:color="000000"/>
      </w:pBdr>
      <w:jc w:val="center"/>
    </w:pPr>
    <w:rPr>
      <w:rFonts w:ascii="Arial" w:hAnsi="Arial" w:eastAsia="宋体"/>
      <w:vanish/>
      <w:sz w:val="16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26" Type="http://schemas.openxmlformats.org/officeDocument/2006/relationships/header" Target="header2.xml"/><Relationship Id="rId27" Type="http://schemas.openxmlformats.org/officeDocument/2006/relationships/header" Target="header3.xml"/><Relationship Id="rId28" Type="http://schemas.openxmlformats.org/officeDocument/2006/relationships/numbering" Target="numbering.xml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2015-03-07T14:32:00Z</dcterms:created>
  <dc:creator/>
  <dc:description/>
  <dc:language>en-US</dc:language>
  <cp:lastModifiedBy/>
  <cp:lastPrinted>2015-03-09T09:36:00Z</cp:lastPrinted>
  <dcterms:modified xsi:type="dcterms:W3CDTF">2023-03-01T04:20:18Z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E6B8C68E535D4DD8A266ADB4DE825DAA</vt:lpwstr>
  </property>
  <property fmtid="{D5CDD505-2E9C-101B-9397-08002B2CF9AE}" pid="3" name="KSOProductBuildVer">
    <vt:lpwstr>2052-11.1.0.13703</vt:lpwstr>
  </property>
</Properties>
</file>