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OCHeading"/>
        <w:spacing w:before="480" w:after="0"/>
        <w:jc w:val="center"/>
        <w:rPr>
          <w:rFonts w:hint="eastAsia"/>
          <w:color w:val="000000"/>
          <w:sz w:val="52"/>
          <w:szCs w:val="52"/>
          <w:lang w:val="zh-CN"/>
        </w:rPr>
      </w:pPr>
      <w:r>
        <w:rPr>
          <w:rFonts w:hint="eastAsia"/>
          <w:color w:val="000000"/>
          <w:sz w:val="52"/>
          <w:szCs w:val="52"/>
          <w:lang w:val="zh-CN"/>
        </w:rPr>
      </w:r>
    </w:p>
    <w:p>
      <w:pPr>
        <w:pStyle w:val="TOCHeading"/>
        <w:jc w:val="center"/>
        <w:rPr>
          <w:rFonts w:hint="eastAsia"/>
          <w:color w:val="000000"/>
          <w:sz w:val="52"/>
          <w:szCs w:val="52"/>
          <w:lang w:val="zh-CN"/>
        </w:rPr>
      </w:pPr>
      <w:r>
        <w:rPr>
          <w:rFonts w:hint="eastAsia"/>
          <w:color w:val="000000"/>
          <w:sz w:val="52"/>
          <w:szCs w:val="52"/>
          <w:lang w:val="zh-CN"/>
        </w:rPr>
      </w:r>
    </w:p>
    <w:p>
      <w:pPr>
        <w:pStyle w:val="TOCHeading"/>
        <w:jc w:val="center"/>
        <w:rPr>
          <w:rFonts w:hint="eastAsia"/>
          <w:color w:val="000000"/>
          <w:sz w:val="52"/>
          <w:szCs w:val="52"/>
          <w:lang w:val="zh-CN"/>
        </w:rPr>
      </w:pPr>
      <w:r>
        <w:rPr>
          <w:rFonts w:hint="eastAsia"/>
          <w:color w:val="000000"/>
          <w:sz w:val="52"/>
          <w:szCs w:val="52"/>
          <w:lang w:val="zh-CN"/>
        </w:rPr>
        <w:t>工业网络数据传输智能诊断与预测系统</w:t>
      </w:r>
    </w:p>
    <w:p>
      <w:pPr>
        <w:pStyle w:val="TOCHeading"/>
        <w:jc w:val="center"/>
        <w:rPr>
          <w:rFonts w:hint="eastAsia"/>
          <w:color w:val="000000"/>
          <w:sz w:val="52"/>
          <w:szCs w:val="52"/>
        </w:rPr>
      </w:pPr>
      <w:r>
        <w:rPr>
          <w:rFonts w:hint="eastAsia"/>
          <w:color w:val="000000"/>
          <w:sz w:val="52"/>
          <w:szCs w:val="52"/>
        </w:rPr>
        <w:t>V1.0</w:t>
      </w:r>
    </w:p>
    <w:p>
      <w:pPr>
        <w:pStyle w:val="Normal"/>
        <w:jc w:val="center"/>
        <w:rPr>
          <w:rFonts w:hint="eastAsia"/>
          <w:b/>
          <w:bCs/>
          <w:color w:val="000000"/>
          <w:sz w:val="84"/>
          <w:szCs w:val="84"/>
        </w:rPr>
      </w:pPr>
      <w:r>
        <w:rPr>
          <w:rFonts w:hint="eastAsia"/>
          <w:b/>
          <w:bCs/>
          <w:color w:val="000000"/>
          <w:sz w:val="84"/>
          <w:szCs w:val="84"/>
        </w:rPr>
      </w:r>
    </w:p>
    <w:p>
      <w:pPr>
        <w:pStyle w:val="Normal"/>
        <w:jc w:val="center"/>
        <w:rPr>
          <w:rFonts w:hint="eastAsia"/>
          <w:b/>
          <w:bCs/>
          <w:sz w:val="52"/>
          <w:szCs w:val="84"/>
        </w:rPr>
      </w:pPr>
      <w:r>
        <w:rPr>
          <w:rFonts w:hint="eastAsia"/>
          <w:b/>
          <w:bCs/>
          <w:sz w:val="52"/>
          <w:szCs w:val="84"/>
        </w:rPr>
        <w:t>用户手册</w:t>
      </w:r>
    </w:p>
    <w:p>
      <w:pPr>
        <w:pStyle w:val="Normal"/>
        <w:jc w:val="center"/>
        <w:rPr>
          <w:rFonts w:hint="eastAsia"/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</w:r>
    </w:p>
    <w:p>
      <w:pPr>
        <w:pStyle w:val="Normal"/>
        <w:jc w:val="center"/>
        <w:rPr>
          <w:rFonts w:hint="eastAsia"/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</w:r>
    </w:p>
    <w:p>
      <w:pPr>
        <w:pStyle w:val="Normal"/>
        <w:jc w:val="center"/>
        <w:rPr>
          <w:rFonts w:hint="eastAsia"/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</w:r>
    </w:p>
    <w:p>
      <w:pPr>
        <w:pStyle w:val="Normal"/>
        <w:rPr>
          <w:rFonts w:hint="eastAsia"/>
          <w:b/>
          <w:bCs/>
          <w:sz w:val="84"/>
          <w:szCs w:val="84"/>
        </w:rPr>
        <w:sectPr>
          <w:headerReference w:type="default" r:id="rId2"/>
          <w:type w:val="nextPage"/>
          <w:pgSz w:w="11906" w:h="16838"/>
          <w:pgMar w:left="1800" w:right="1800" w:gutter="0" w:header="851" w:top="1440" w:footer="0" w:bottom="1440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hint="eastAsia"/>
          <w:b/>
          <w:bCs/>
          <w:sz w:val="84"/>
          <w:szCs w:val="84"/>
        </w:rPr>
      </w:r>
    </w:p>
    <w:p>
      <w:pPr>
        <w:pStyle w:val="TOCHeading"/>
        <w:snapToGrid w:val="0"/>
        <w:jc w:val="center"/>
      </w:pPr>
      <w:r>
        <w:rPr>
          <w:rFonts w:ascii="宋体" w:hAnsi="宋体" w:eastAsia="宋体"/>
          <w:sz w:val="28"/>
        </w:rPr>
        <w:t>目录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1 引言  …………  3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2 软件概述  …………  4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2.2 软件运行与2.3 系统要求  …………  5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 系统启动与主界面  …………  6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3.2 建立接收端连接  …………  7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3.3 上传文件并确认数据包  …………  8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3.4 上传文件夹  …………  9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3.5 自动压缩控制  …………  10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3.6 手动压缩参数  …………  11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3.7 调度优先级  …………  12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3.8 开始传输  …………  13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3.9 暂停与继续  …………  14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3.10 完成与完整性校验  …………  15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3.11 网络速率预测对比  …………  16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3.12 预测健康与诊断指标  …………  17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3.13 选择任务与查看恢复文件  …………  18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3.14 接收端监控  …………  19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3.15 效果展示与详细监控  …………  20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3.16 消息队列接入  …………  21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3.17 API接口数据接入  …………  22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3.18 重置和断开连接  …………  23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3.19 退出与常见问题  …………  24</w:t>
      </w:r>
    </w:p>
    <w:p>
      <w:pPr>
        <w:pStyle w:val="Heading1"/>
        <w:keepNext/>
        <w:pageBreakBefore/>
        <w:snapToGrid w:val="0"/>
      </w:pPr>
      <w:r>
        <w:rPr>
          <w:rFonts w:ascii="宋体" w:hAnsi="宋体" w:eastAsia="宋体"/>
          <w:sz w:val="44"/>
        </w:rPr>
        <w:t>1 引言</w:t>
      </w:r>
    </w:p>
    <w:p>
      <w:pPr>
        <w:pStyle w:val="Heading2"/>
        <w:keepNext/>
        <w:pageBreakBefore w:val="0"/>
        <w:snapToGrid w:val="0"/>
      </w:pPr>
      <w:r>
        <w:rPr>
          <w:rFonts w:ascii="宋体" w:hAnsi="宋体" w:eastAsia="宋体"/>
          <w:sz w:val="32"/>
        </w:rPr>
        <w:t>1.1 编写目的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手册用于指导用户安装、启动和操作工业网络数据传输智能诊断与预测系统V1.0，说明数据接入、参数设置、任务控制以及结果检查的方法。用户应按“启动服务—连接接收端—选择数据—配置策略—执行任务—查看结果”的顺序操作。</w:t>
      </w:r>
    </w:p>
    <w:p>
      <w:pPr>
        <w:pStyle w:val="Heading2"/>
        <w:keepNext/>
        <w:pageBreakBefore w:val="0"/>
        <w:snapToGrid w:val="0"/>
      </w:pPr>
      <w:r>
        <w:rPr>
          <w:rFonts w:ascii="宋体" w:hAnsi="宋体" w:eastAsia="宋体"/>
          <w:sz w:val="32"/>
        </w:rPr>
        <w:t>1.2 参考资料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参考本软件仓库中的README、各软件启动说明、前端操作界面、网关接口与后端实现。界面截图来自本次在浏览器中的实际操作，图示样本仅用于说明操作过程。</w:t>
      </w:r>
    </w:p>
    <w:p>
      <w:pPr>
        <w:pStyle w:val="Heading2"/>
        <w:keepNext/>
        <w:pageBreakBefore w:val="0"/>
        <w:snapToGrid w:val="0"/>
      </w:pPr>
      <w:r>
        <w:rPr>
          <w:rFonts w:ascii="宋体" w:hAnsi="宋体" w:eastAsia="宋体"/>
          <w:sz w:val="32"/>
        </w:rPr>
        <w:t>1.3 术语和缩略词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API：应用程序接口。GZIP、ZSTD、LZ4等：压缩算法标识。吞吐率：单位时间传输的数据量。完整性校验：检查恢复数据与原数据是否一致。LSTM：长短期记忆网络，用于速率时序预测。</w:t>
      </w:r>
    </w:p>
    <w:p>
      <w:pPr>
        <w:pStyle w:val="Heading1"/>
        <w:keepNext/>
        <w:pageBreakBefore/>
        <w:snapToGrid w:val="0"/>
      </w:pPr>
      <w:r>
        <w:rPr>
          <w:rFonts w:ascii="宋体" w:hAnsi="宋体" w:eastAsia="宋体"/>
          <w:sz w:val="44"/>
        </w:rPr>
        <w:t>2 软件概述</w:t>
      </w:r>
    </w:p>
    <w:p>
      <w:pPr>
        <w:pStyle w:val="Heading2"/>
        <w:keepNext/>
        <w:pageBreakBefore w:val="0"/>
        <w:snapToGrid w:val="0"/>
      </w:pPr>
      <w:r>
        <w:rPr>
          <w:rFonts w:ascii="宋体" w:hAnsi="宋体" w:eastAsia="宋体"/>
          <w:sz w:val="32"/>
        </w:rPr>
        <w:t>2.1 软件功能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数据接入与传输控制；LSTM及回退预测器的网络速率曲线；预测健康、速率贴合度和趋势一致率；任务与链路12项指标；传输结果核验、接收监控和效果查看。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主界面左侧为发送配置，中部显示长短期记忆网络速率预测对比和关键指标，右侧为接收端状态。预测模型、预测健康、速率贴合度和趋势一致率用于辅助分析。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三个软件采用独立界面入口、进程、端口与运行目录，并复用压缩传输后端和网关实现。本系统没有账号登录界面，启动成功后直接进入主页。菜单与按钮的可用状态随当前任务变化。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未接入外部网络遥测时，系统使用内置动态采样。部分耗时包含建模估算，界面指标应结合实际链路测量进行判断。软件当前提供指标辅助分析，不对工业故障作自动根因分类。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2.2 软件运行与2.3 系统要求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运行需Java 17及以上、Node.js 18.17及以上和现代浏览器。建议使用64位计算机、4核CPU、8GB内存和10GB以上可用存储，并按上传和接收数据规模预留空间。消息队列接入还需要可访问的RabbitMQ服务。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完整保留交付目录。Windows可运行apps/prediction/启动.bat；Linux或macOS在根目录执行node scripts/start.mjs prediction。首次运行时确认对应界面、业务服务和接收端端口未被占用。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本系统界面端口为8103，Java后端端口为8203，本地接收端端口为8303。本机访问地址为http://127.0.0.1:8103/analysis。跨机接收应填写接收机的实际IP和端口。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本次在Debian GNU/Linux 13与Chromium中验证；Windows及macOS启动入口已提供，尚需在目标机器核验。交付构建可直接运行；从源码构建另需JDK、Maven和npm依赖。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 系统启动与主界面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启动本软件后，在浏览器地址栏输入http://127.0.0.1:8103/analysis。加载成功后，顶部显示完整软件名称，主区域出现发送端配置及本系统对应的分析面板。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本系统不要求输入用户名和密码。首次使用先确认页面无请求错误，再配置接收端和数据包。已有任务记录可能在重新启动后恢复，主页显示的状态以当前任务为准。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 系统启动与主界面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3.2 建立接收端连接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在“接收端状态”输入接收机地址。本机联调填写127.0.0.1:8303，然后点击“建立连接”。成功后按钮变为“断开连接”，通信状态显示连接结果。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跨电脑使用时，在接收机执行node scripts/receiver.mjs prediction或对应的接收端启动批处理。发送机填写接收机实际IP:8303，并保证两机网络和防火墙允许访问。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连接失败时先检查接收服务、地址和端口。保持连接后再开始传输，避免任务停留在等待网络或重试状态。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nec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图3.2 建立接收端连接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3.3 上传文件并确认数据包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点击发送端“选择文件”，在文件对话框中选择待传文件。上传过程中按钮显示进度；上传完成后，“发送数据包”下拉框中出现对应名称。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在下拉框明确选择刚上传的文件，核对下方fileName和fileSize。上传后选择项可能保留此前值，应以当前下拉框为准。图示使用“工业监测样本.csv”，不代表正式业务数据。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任务运行或上传时配置项可能暂时禁用。等待操作完成后再修改参数；大文件接入由原分块上传逻辑处理。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图3.3 上传文件并确认数据包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3.4 上传文件夹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点击“选择文件夹”，选择包含多个文件的目录，并在浏览器提示中允许读取该目录文件。系统按文件夹数据包登记，保留内部文件的相对路径。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接入完成后，在发送数据包下拉框中选中相应文件夹名称，确认总量与待传内容。图示“监测数据批次”包含CSV与文本文件，用于说明多文件接入流程。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文件夹同样需要配置压缩控制并点击开始传输；上传完成仅表示源数据已接入，不等于接收机已收到文件。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old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图3.4 上传文件夹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3.5 自动压缩控制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在“压缩控制模式”选择“自动控制”。算法和级别显示由系统自动选择，用户无需为这两个字段指定固定值；仍可选择待传数据包和调度优先级。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系统结合文件特征、压缩画像、网络状态和速率估计评估候选策略。推荐或预估值会随当前数据和链路变化，执行后的实际压缩量应以已完成任务结果为准。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确认当前选择已保存、接收端已连接后，可点击“开始传输”。比较不同配置时应尽量使用同一份数据和相近网络条件。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ut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图3.5 自动压缩控制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3.6 手动压缩参数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选择“手动控制”，再从“压缩算法”下拉框选择算法，从“压缩级别”中选择可用等级。图示以GZIP为例，实际支持范围以界面选项和说明为准。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界面在算法下方显示描述和级别范围。不同算法的耗时和压缩效果不同，不能将不同算法的同一等级简单视为同等强度。选择完成后等待配置保存。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手动模式将指定参数作为执行起点；最终任务执行信息和输出大小应在任务记录与结果页核对。运行时配置锁定，须暂停或完成后按可编辑状态操作。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nua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图3.6 手动压缩参数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3.7 调度优先级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在“调度优先级”选择低、中或高。该设置用于任务调度与决策，修改后核对发送摘要中的priority和任务队列记录。截图展示可选择的当前优先级。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优先级不等于传输带宽保证。实际速度还受压缩算法、文件内容、处理能力和链路状态影响；应结合任务进度、耗时和吞吐指标共同判断。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开始任务前再次核对文件名、压缩模式和级别，防止沿用上一轮任务的参数。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iori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图3.7 调度优先级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3.8 开始传输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完成数据接入、参数设置和接收机连接后，点击“开始传输”。按钮进入传输状态，系统执行数据识别、压缩、分片发送、接收恢复和完整性校验。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在进度和任务状态区域观察当前阶段、已处理帧和传输量。运行过程中部分按钮禁用属于正常保护；不要通过重复点击提交同一任务。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若出现失败或重试达到上限提示，应记录错误及任务信息，检查接收机、网络和磁盘后再人工补传。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unni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图3.8 开始传输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3.9 暂停与继续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任务执行期间，“暂停任务”按钮可用。需要中断操作时点击该按钮，等待状态切换并查看界面反馈。暂停适合临时停止处理，不能视为任务已完成。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确认接收端仍可用后，再点击“开始传输”按当前任务控制逻辑继续。继续后观察进度和任务状态，完成时再检查恢复内容。截图来自本次实际暂停操作。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若任务已迅速完成，暂停按钮会禁用。此时应直接检查完成结果；不要将重置当成继续，也不要在未确认状态时关闭运行进程。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aus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图3.9 暂停与继续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3.10 完成与完整性校验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任务完成后，进度显示100%或完成状态，相关统计更新。检查完整性校验结果、文件大小和任务记录；进度到达100%时仍应确认任务最终状态，而非只看进度条。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本次示例已在接收服务下载恢复后的CSV，并与上传原文件逐字节比较一致。正式业务仍应按自身要求核对恢复文件和日志。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界面中的压缩前后大小、耗时和收益属于当前任务。尚未完成任务时，完成统计可能显示“—”或等待结果，属于正常状态。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mplet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图3.10 完成与完整性校验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3.11 网络速率预测对比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查看“长短期记忆网络速率预测对比”，区分图例中的实际速率与预测速率，移动鼠标查看时间点和数值。曲线用于了解近期趋势及预测偏差。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预测模型可能使用LSTM或回退预测器，应以“预测模型”显示的当前值为准。采样不足或模型状态变化时，不应仅根据曲线外观判断预测准确。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没有外部遥测时，曲线依赖系统内置动态采样及任务反馈。预测结果用于辅助分析，不构成对未来带宽和故障的保证。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featur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图3.11 网络速率预测对比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3.12 预测健康与诊断指标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先查看预测模型、预测健康、速率贴合度和趋势一致率，再对照下方12项任务与链路指标，判断预测是否与当前传输状态一致。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平均分片时延、平均传输速率和分片抖动标注为完成任务统计；网络延迟、丢包、网络抖动、吞吐、重试、校验、进度和帧数来自链路与任务实时数据。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完成统计尚未生成时显示“—”。系统通过指标辅助诊断，未实现故障根因自动分类；异常时需结合接收服务、日志和外部监测继续排查。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tric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图3.12 预测健康与诊断指标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3.13 选择任务与查看恢复文件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预测主页不展开任务队列。可在同一系统的/receiver接收监控页查看任务列表和恢复文件入口，或访问/transmission查看详细传输状态。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完成且已产生恢复内容的任务可点击“打开文件”或“打开文件夹”。前者获取恢复文件，后者查看目录及内部文件。未产生内容的任务入口可能不可用。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核对任务名和完成状态后再下载。文件夹任务应检查相对路径及文件数量，必要时对照原文件进行校验。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queu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图3.13 选择任务与查看恢复文件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3.14 接收端监控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在浏览器访问http://127.0.0.1:8303/receiver可打开本机接收服务的监控页面；跨机时将IP替换为接收机实际地址。该页面显示接收配置、接收总结和任务队列。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确认服务在线及任务接收状态，查看接收与恢复阶段、校验和相关时间对比。接收端的数据反映接收服务所保存的任务，应与发送端所选任务对应核对。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发送端的查看缓存与接收端真实落盘目录不同。正式检查以接收机已恢复的文件为准，不仅依赖发送端的预览或缓存。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ceiv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图3.14 接收端监控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3.15 效果展示与详细监控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在同一软件界面地址后输入/effect，例如http://127.0.0.1:8103/effect。任务完成后可查看文件与时延对比、压缩前后时延组成、结论分析及网络总体状态。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需要查看详细进程时，访问http://127.0.0.1:8103/transmission。详细页面右上角可点击“返回软件首页”回到本系统主页面。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没有完成结果时，效果页显示等待提示。对比时注意单位和统计对象，并区分任务统计与建模估计；切换任务后应确认结果确属目标文件。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effec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图3.15 效果展示与详细监控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3.16 消息队列接入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在发送端点击“消息队列流式传输”选择该接入方式。需要先部署并连通RabbitMQ，启动前按业务设置RABBITMQ_URL和RABBITMQ_QUEUE，避免三套软件误消费同一队列。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按界面选择要送入队列的文件或文件夹，再点击“开始接入”。系统完成发布和消费后登记数据包，随后仍需在下拉框确认数据、设置压缩参数并开始传输。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截图展示接入模式和状态。本次未连接外部RabbitMQ实服务；未连接时应先修复配置。接入完成与向目标接收机传输完成是两个不同阶段。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essage-queu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图3.16 消息队列接入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3.17 API接口数据接入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点击“API接口数据接入”切换模式。页面提示通过POST /api/ingress/api-callback接入数据；该方式由外部程序调用本系统网关接口，不在网页中直接填写完整请求。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调用方应按网关接口定义提交数据包和必要字段；如部署启用接入令牌，应随请求携带配置要求的令牌。不要在截图或说明材料中填写真实令牌。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接入成功后回到发送数据包下拉框确认新数据，按通常流程配置并传输。请求失败时检查地址、请求体及服务日志。截图仅展示模式选择，不表示已完成外部系统对接。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pi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图3.17 API接口数据接入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3.18 重置和断开连接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需要重新开始配置时，先确认当前任务已暂停或结束，再按实际需求点击“重置”，等待状态反馈。重置用于当前任务控制，不应据此推断历史记录和接收文件已被删除。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在“接收端状态”点击“断开连接”，按钮恢复为“建立连接”。重新传输前须再次输入或确认接收地址并建立连接。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断开连接不能替代停止服务。对未完成任务进行重置或断连前应保留原始数据，并在恢复连接后检查是否需要重新开始或人工补传。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isconnect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图3.18 重置和断开连接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3.19 退出与常见问题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任务结束后先确认文件已接收并完成校验，再关闭浏览器页面。停止软件时，在根目录运行node scripts/stop.mjs prediction，或运行apps/prediction/关闭.bat。独立接收端按其启动方式单独停止。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页面打不开：检查Node与Java版本、启动输出和端口占用，查看runtime目录中本系统的backend.log、bridge.log及receiver.log。出现请求错误时，先确认对应服务仍在运行。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无法连接接收机：检查IP、端口、防火墙和接收服务。上传后文件未选中：手动在发送数据包下拉框重新选择。完成统计为空：等待任务完成并核对当前任务，必要时刷新页面。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传输失败或校验异常：保留源文件和日志，检查磁盘、网络和恢复文件；按页面错误提示处理，重试耗尽时人工补传。不要仅凭进度条判断业务成功。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数据保存在各系统的runtime目录中。接收端真实恢复目录为receiver-received，发送端文件查看缓存为received。备份和清理前应先停止相关服务，并确认文件不再被任务使用。</w:t>
      </w:r>
    </w:p>
    <w:sectPr>
      <w:headerReference w:type="default" r:id="rId26"/>
      <w:headerReference w:type="first" r:id="rId27"/>
      <w:type w:val="nextPage"/>
      <w:pgSz w:w="11906" w:h="16838"/>
      <w:pgMar w:left="1800" w:right="1800" w:gutter="0" w:header="851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0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hint="eastAsia"/>
      </w:rPr>
    </w:pPr>
    <w:r>
      <w:rPr>
        <w:rFonts w:hint="eastAsia"/>
      </w:rPr>
      <w:t>工业网络数据传输智能诊断与预测系统</w:t>
    </w:r>
    <w:r>
      <w:rPr>
        <w:rFonts w:hint="eastAsia"/>
      </w:rPr>
      <w:t>V1.0</w:t>
    </w:r>
    <w:r>
      <mc:AlternateContent>
        <mc:Choice Requires="wps">
          <w:drawing>
            <wp:anchor distT="0" distB="0" distL="114935" distR="0" simplePos="0" relativeHeight="25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9690" cy="16319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90" cy="1631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7pt;height:12.85pt;mso-wrap-distance-left:9.05pt;mso-wrap-distance-right:0pt;mso-wrap-distance-top:0pt;mso-wrap-distance-bottom:0pt;margin-top:0pt;mso-position-vertical-relative:text;margin-left:410.6pt;mso-position-horizontal:righ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Head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hint="eastAsia"/>
      </w:rPr>
    </w:pPr>
    <w:r>
      <w:rPr>
        <w:rFonts w:hint="eastAsia"/>
      </w:rPr>
      <w:t>工业网络数据传输智能诊断与预测系统</w:t>
    </w:r>
    <w:r>
      <w:rPr>
        <w:rFonts w:hint="eastAsia"/>
      </w:rPr>
      <w:t>V1.0</w:t>
    </w:r>
    <w:r>
      <mc:AlternateContent>
        <mc:Choice Requires="wps">
          <w:drawing>
            <wp:anchor distT="0" distB="0" distL="114935" distR="0" simplePos="0" relativeHeight="42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475" cy="163195"/>
              <wp:effectExtent l="0" t="0" r="0" b="0"/>
              <wp:wrapNone/>
              <wp:docPr id="2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631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2.85pt;mso-wrap-distance-left:9.05pt;mso-wrap-distance-right:0pt;mso-wrap-distance-top:0pt;mso-wrap-distance-bottom:0pt;margin-top:0pt;mso-position-vertical-relative:text;margin-left:406.05pt;mso-position-horizontal:righ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Head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doNotBreakWrappedTables/>
    <w:compatSetting w:name="compatibilityMode" w:uri="http://schemas.microsoft.com/office/word" w:val="11"/>
  </w:compat>
  <w:docVars>
    <w:docVar w:name="commondata" w:val="eyJoZGlkIjoiNjFmYWJlZTc1OGMxMjA4NTM0MDU5MzQ1ODNiYjFhNT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eastAsia="宋体" w:cs="Cambria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character" w:styleId="Style11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Cambria" w:hAnsi="Cambria" w:eastAsia="宋体" w:cs="Cambria"/>
      <w:b/>
      <w:bCs/>
      <w:sz w:val="32"/>
      <w:szCs w:val="32"/>
    </w:rPr>
  </w:style>
  <w:style w:type="character" w:styleId="3">
    <w:name w:val="标题 3 字符"/>
    <w:qFormat/>
    <w:rPr>
      <w:b/>
      <w:bCs/>
      <w:sz w:val="32"/>
      <w:szCs w:val="32"/>
    </w:rPr>
  </w:style>
  <w:style w:type="character" w:styleId="Style12">
    <w:name w:val="日期 字符"/>
    <w:basedOn w:val="Style11"/>
    <w:qFormat/>
    <w:rPr/>
  </w:style>
  <w:style w:type="character" w:styleId="Style13">
    <w:name w:val="批注框文本 字符"/>
    <w:qFormat/>
    <w:rPr>
      <w:sz w:val="18"/>
      <w:szCs w:val="18"/>
    </w:rPr>
  </w:style>
  <w:style w:type="character" w:styleId="Style14">
    <w:name w:val="页脚 字符"/>
    <w:qFormat/>
    <w:rPr>
      <w:sz w:val="18"/>
      <w:szCs w:val="18"/>
    </w:rPr>
  </w:style>
  <w:style w:type="character" w:styleId="Style15">
    <w:name w:val="页眉 字符"/>
    <w:qFormat/>
    <w:rPr>
      <w:sz w:val="18"/>
      <w:szCs w:val="18"/>
    </w:rPr>
  </w:style>
  <w:style w:type="character" w:styleId="Hyperlink">
    <w:name w:val="Hyperlink"/>
    <w:rPr>
      <w:rFonts w:ascii="宋体" w:hAnsi="宋体" w:eastAsia="宋体" w:cs="宋体" w:hint="eastAsia"/>
      <w:color w:val="000000"/>
      <w:sz w:val="18"/>
      <w:szCs w:val="18"/>
      <w:u w:val="non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16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TOCHeading">
    <w:name w:val="TOC Heading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eastAsia="宋体" w:cs="Cambria"/>
      <w:color w:val="365F90"/>
      <w:kern w:val="0"/>
      <w:sz w:val="28"/>
      <w:szCs w:val="28"/>
    </w:rPr>
  </w:style>
  <w:style w:type="paragraph" w:styleId="z-">
    <w:name w:val="z-窗体顶端"/>
    <w:basedOn w:val="Normal"/>
    <w:next w:val="Normal"/>
    <w:qFormat/>
    <w:pPr>
      <w:pBdr>
        <w:top w:val="single" w:sz="6" w:space="1" w:color="000000"/>
      </w:pBdr>
      <w:jc w:val="center"/>
    </w:pPr>
    <w:rPr>
      <w:rFonts w:ascii="Arial" w:hAnsi="Arial" w:eastAsia="宋体"/>
      <w:vanish/>
      <w:sz w:val="1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2015-03-07T14:32:00Z</dcterms:created>
  <dc:creator/>
  <dc:description/>
  <dc:language>en-US</dc:language>
  <cp:lastModifiedBy/>
  <cp:lastPrinted>2015-03-09T09:36:00Z</cp:lastPrinted>
  <dcterms:modified xsi:type="dcterms:W3CDTF">2023-03-01T04:20:18Z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E6B8C68E535D4DD8A266ADB4DE825DAA</vt:lpwstr>
  </property>
  <property fmtid="{D5CDD505-2E9C-101B-9397-08002B2CF9AE}" pid="3" name="KSOProductBuildVer">
    <vt:lpwstr>2052-11.1.0.13703</vt:lpwstr>
  </property>
</Properties>
</file>