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spacing w:before="480" w:after="0"/>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ascii="宋体" w:hAnsi="宋体" w:cs="宋体" w:hint="eastAsia"/>
          <w:color w:val="000000"/>
          <w:sz w:val="52"/>
          <w:szCs w:val="52"/>
          <w:lang w:val="zh-CN"/>
        </w:rPr>
        <w:t>运行监测数据自适应压缩传输控制决策与优化系统</w:t>
      </w:r>
    </w:p>
    <w:p>
      <w:pPr>
        <w:pStyle w:val="TOCHeading"/>
        <w:jc w:val="center"/>
        <w:rPr>
          <w:rFonts w:ascii="宋体" w:hAnsi="宋体" w:eastAsia="宋体" w:cs="宋体" w:hint="eastAsia"/>
          <w:color w:val="000000"/>
          <w:sz w:val="52"/>
          <w:szCs w:val="52"/>
          <w:highlight w:val="none"/>
        </w:rPr>
      </w:pPr>
      <w:r>
        <w:rPr>
          <w:rFonts w:eastAsia="宋体" w:cs="宋体" w:hint="eastAsia" w:ascii="宋体" w:hAnsi="宋体"/>
          <w:color w:val="000000"/>
          <w:sz w:val="52"/>
          <w:szCs w:val="52"/>
        </w:rPr>
        <w:t>V1.0</w:t>
      </w:r>
    </w:p>
    <w:p>
      <w:pPr>
        <w:pStyle w:val="Normal"/>
        <w:jc w:val="center"/>
        <w:rPr>
          <w:rFonts w:ascii="宋体" w:hAnsi="宋体" w:eastAsia="宋体" w:cs="宋体" w:hint="eastAsia"/>
          <w:b/>
          <w:bCs/>
          <w:color w:val="000000"/>
          <w:sz w:val="84"/>
          <w:szCs w:val="84"/>
          <w:highlight w:val="none"/>
        </w:rPr>
      </w:pPr>
      <w:r>
        <w:rPr>
          <w:rFonts w:eastAsia="宋体" w:cs="宋体" w:hint="eastAsia" w:ascii="宋体" w:hAnsi="宋体"/>
          <w:b/>
          <w:bCs/>
          <w:color w:val="000000"/>
          <w:sz w:val="84"/>
          <w:szCs w:val="84"/>
        </w:rPr>
      </w:r>
    </w:p>
    <w:p>
      <w:pPr>
        <w:pStyle w:val="Normal"/>
        <w:jc w:val="center"/>
        <w:rPr>
          <w:rFonts w:ascii="宋体" w:hAnsi="宋体" w:eastAsia="宋体" w:cs="宋体" w:hint="eastAsia"/>
          <w:b/>
          <w:bCs/>
          <w:sz w:val="52"/>
          <w:szCs w:val="84"/>
          <w:highlight w:val="none"/>
        </w:rPr>
      </w:pPr>
      <w:r>
        <w:rPr>
          <w:rFonts w:ascii="宋体" w:hAnsi="宋体" w:cs="宋体" w:hint="eastAsia" w:eastAsia="宋体"/>
          <w:b/>
          <w:bCs/>
          <w:sz w:val="52"/>
          <w:szCs w:val="84"/>
        </w:rPr>
        <w:t>用户手册</w:t>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rPr>
          <w:rFonts w:ascii="宋体" w:hAnsi="宋体" w:eastAsia="宋体" w:cs="宋体" w:hint="eastAsia"/>
          <w:b/>
          <w:bCs/>
          <w:sz w:val="84"/>
          <w:szCs w:val="84"/>
          <w:highlight w:val="none"/>
        </w:rPr>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sz w:val="84"/>
          <w:szCs w:val="84"/>
        </w:rPr>
      </w:r>
    </w:p>
    <w:p>
      <w:pPr>
        <w:pStyle w:val="TOCHeading"/>
        <w:rPr>
          <w:rFonts w:ascii="宋体" w:hAnsi="宋体" w:eastAsia="宋体" w:cs="宋体" w:hint="eastAsia"/>
          <w:highlight w:val="none"/>
          <w:lang w:val="zh-CN"/>
        </w:rPr>
      </w:pPr>
      <w:r>
        <w:rPr>
          <w:rFonts w:ascii="宋体" w:hAnsi="宋体" w:cs="宋体" w:hint="eastAsia"/>
          <w:lang w:val="zh-CN"/>
        </w:rPr>
        <w:t>目录</w:t>
      </w:r>
    </w:p>
    <w:p>
      <w:pPr>
        <w:pStyle w:val="TOC1"/>
        <w:bidi w:val="0"/>
        <w:ind w:left="0" w:firstLine="0"/>
        <w:jc w:val="both"/>
        <w:rPr>
          <w:rFonts w:ascii="宋体" w:hAnsi="宋体" w:eastAsia="宋体" w:cs="宋体" w:hint="eastAsia"/>
          <w:highlight w:val="none"/>
        </w:rPr>
        <w:tabs>
          <w:tab w:val="right" w:pos="8200" w:leader="dot"/>
        </w:tabs>
      </w:pPr>
      <w:r>
        <w:t>1引言</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1.1编写目的</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1.2参考资料</w:t>
        <w:tab/>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1.3术语和缩略词</w:t>
        <w:tab/>
        <w:t>2</w:t>
      </w:r>
    </w:p>
    <w:p>
      <w:pPr>
        <w:pStyle w:val="TOC1"/>
        <w:bidi w:val="0"/>
        <w:ind w:left="0" w:firstLine="0"/>
        <w:jc w:val="both"/>
        <w:rPr>
          <w:rFonts w:ascii="宋体" w:hAnsi="宋体" w:eastAsia="宋体" w:cs="宋体" w:hint="eastAsia"/>
          <w:highlight w:val="none"/>
        </w:rPr>
        <w:tabs>
          <w:tab w:val="right" w:pos="8200" w:leader="dot"/>
        </w:tabs>
      </w:pPr>
      <w:r>
        <w:t>2软件概述</w:t>
        <w:tab/>
        <w:t>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2.1软件功能</w:t>
        <w:tab/>
        <w:t>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2.2软件运行</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2.3系统要求</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2.3.1 硬件环境</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2.3.2  软件环境</w:t>
        <w:tab/>
        <w:t>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2.4  软件安装与部署</w:t>
        <w:tab/>
        <w:t>6</w:t>
      </w:r>
    </w:p>
    <w:p>
      <w:pPr>
        <w:pStyle w:val="TOC1"/>
        <w:bidi w:val="0"/>
        <w:ind w:left="0" w:firstLine="0"/>
        <w:jc w:val="both"/>
        <w:rPr>
          <w:rFonts w:ascii="宋体" w:hAnsi="宋体" w:eastAsia="宋体" w:cs="宋体" w:hint="eastAsia"/>
          <w:highlight w:val="none"/>
        </w:rPr>
        <w:tabs>
          <w:tab w:val="right" w:pos="8200" w:leader="dot"/>
        </w:tabs>
      </w:pPr>
      <w:r>
        <w:rPr>
          <w:rFonts w:eastAsia="宋体" w:cs="宋体" w:hint="eastAsia" w:ascii="宋体" w:hAnsi="宋体"/>
          <w:kern w:val="0"/>
          <w:sz w:val="23"/>
          <w:szCs w:val="22"/>
          <w:lang w:bidi="ar"/>
        </w:rPr>
        <w:t>3操作说明</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3.1软件启动、停止与连接</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3.1.1 Windows 启动</w:t>
        <w:tab/>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3.1.2  Linux / macOS启动</w:t>
        <w:tab/>
        <w:t>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3.1.3  停止软件</w:t>
        <w:tab/>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3.1.4  单独启动接收端</w:t>
        <w:tab/>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3.1.5  启动失败时查看日志</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3.2主界面与基本操作</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3.2.1  主界面区域</w:t>
        <w:tab/>
        <w:t>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3.2.2  查看关键指标</w:t>
        <w:tab/>
        <w:t>12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3.2.3  选择和查看任务</w:t>
        <w:tab/>
        <w:t>13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3.3 发送端配置</w:t>
        <w:tab/>
        <w:t>13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3.3.1数据接入方式</w:t>
        <w:tab/>
        <w:t>15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3.4压缩传输决策与优化</w:t>
        <w:tab/>
        <w:t>18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3.5接收端与跨计算机部署</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t>3.5.1本机接收</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left="567" w:firstLine="0"/>
        <w:jc w:val="both"/>
        <w:textAlignment w:val="auto"/>
        <w:rPr>
          <w:rFonts w:ascii="宋体" w:hAnsi="宋体" w:eastAsia="宋体" w:cs="宋体" w:hint="eastAsia"/>
          <w:kern w:val="0"/>
          <w:sz w:val="23"/>
          <w:szCs w:val="22"/>
          <w:highlight w:val="none"/>
          <w:lang w:bidi="ar"/>
        </w:rPr>
        <w:tabs>
          <w:tab w:val="right" w:pos="8200" w:leader="dot"/>
        </w:tabs>
      </w:pPr>
      <w:r>
        <w:rPr>
          <w:rStyle w:val="IndexLink"/>
          <w:rFonts w:eastAsia="宋体" w:cs="宋体" w:hint="eastAsia" w:ascii="宋体" w:hAnsi="宋体"/>
          <w:kern w:val="0"/>
          <w:sz w:val="23"/>
          <w:szCs w:val="22"/>
          <w:lang w:bidi="ar"/>
        </w:rPr>
        <w:t>3.5.2跨计算机接收</w:t>
        <w:tab/>
        <w:t>22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t>3.6策略评估与异常处理</w:t>
        <w:tab/>
        <w:t>23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left="283" w:firstLine="0"/>
        <w:jc w:val="both"/>
        <w:textAlignment w:val="auto"/>
        <w:rPr>
          <w:rFonts w:ascii="宋体" w:hAnsi="宋体" w:eastAsia="宋体" w:cs="宋体" w:hint="eastAsia"/>
          <w:kern w:val="0"/>
          <w:sz w:val="23"/>
          <w:szCs w:val="22"/>
          <w:highlight w:val="none"/>
          <w:lang w:bidi="ar"/>
        </w:rPr>
        <w:tabs>
          <w:tab w:val="right" w:pos="8200" w:leader="dot"/>
        </w:tabs>
      </w:pPr>
      <w:r>
        <w:rPr>
          <w:rFonts w:eastAsia="宋体" w:cs="宋体" w:hint="eastAsia" w:ascii="宋体" w:hAnsi="宋体"/>
          <w:kern w:val="0"/>
          <w:sz w:val="23"/>
          <w:szCs w:val="22"/>
          <w:lang w:bidi="ar"/>
        </w:rPr>
        <w:t>3.7运行数据与日志查看</w:t>
        <w:tab/>
        <w:t>24</w:t>
      </w:r>
    </w:p>
    <w:p>
      <w:pPr>
        <w:pStyle w:val="Normal"/>
        <w:rPr>
          <w:rFonts w:ascii="宋体" w:hAnsi="宋体" w:eastAsia="宋体" w:cs="宋体" w:hint="eastAsia"/>
          <w:b/>
          <w:bCs/>
          <w:highlight w:val="none"/>
          <w:lang w:val="zh-CN"/>
        </w:rPr>
      </w:pPr>
      <w:r>
        <w:rPr>
          <w:rFonts w:eastAsia="宋体" w:cs="宋体" w:hint="eastAsia" w:ascii="宋体" w:hAnsi="宋体"/>
          <w:b/>
          <w:bCs/>
          <w:lang w:val="zh-CN"/>
        </w:rPr>
      </w:r>
    </w:p>
    <w:p>
      <w:pPr>
        <w:pStyle w:val="Normal"/>
        <w:rPr>
          <w:rFonts w:ascii="宋体" w:hAnsi="宋体" w:eastAsia="宋体" w:cs="宋体" w:hint="eastAsia"/>
          <w:b/>
          <w:bCs/>
          <w:highlight w:val="none"/>
          <w:lang w:val="zh-CN"/>
        </w:rPr>
        <w:sectPr>
          <w:headerReference w:type="default" r:id="rId3"/>
          <w:headerReference w:type="first" r:id="rId4"/>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lang w:val="zh-CN"/>
        </w:rPr>
      </w:r>
    </w:p>
    <w:p>
      <w:pPr>
        <w:pStyle w:val="Heading1"/>
        <w:pageBreakBefore w:val="0"/>
        <w:ind w:hanging="0" w:start="0"/>
        <w:jc w:val="start"/>
        <w:rPr>
          <w:rFonts w:ascii="宋体" w:hAnsi="宋体" w:eastAsia="宋体" w:cs="宋体" w:hint="eastAsia"/>
          <w:highlight w:val="none"/>
        </w:rPr>
      </w:pPr>
      <w:r>
        <w:rPr>
          <w:rFonts w:eastAsia="宋体" w:cs="宋体" w:hint="eastAsia" w:ascii="宋体" w:hAnsi="宋体"/>
        </w:rPr>
        <w:t>1</w:t>
      </w:r>
      <w:r>
        <w:rPr>
          <w:rFonts w:ascii="宋体" w:hAnsi="宋体" w:cs="宋体" w:hint="eastAsia" w:eastAsia="宋体"/>
        </w:rPr>
        <w:t>引言</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1.1</w:t>
      </w:r>
      <w:r>
        <w:rPr>
          <w:rFonts w:ascii="宋体" w:hAnsi="宋体" w:cs="宋体" w:hint="eastAsia"/>
        </w:rPr>
        <w:t>编写目的</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本说明书用于指导用户安装、启动、配置和使用“运行监测数据自适应压缩传输控制决策与优化系统”（简称“本软件”，版本号V1.0）。本软件面向工业运行监测数据的压缩与传输，展示综合耗时分析、当前策略与执行结果，辅助用户选择适合数据及链路条件的参数。</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本说明书按软件功能模块介绍运行环境、启动与关闭、数据接入、接收端连接、参数配置、任务管理和主要分析功能，并结合对应功能区域截图说明操作步骤。截图仅展示本段所讲述的区域，保持原始比例，便于阅读具体字段。</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1.2</w:t>
      </w:r>
      <w:r>
        <w:rPr>
          <w:rFonts w:ascii="宋体" w:hAnsi="宋体" w:cs="宋体" w:hint="eastAsia"/>
        </w:rPr>
        <w:t>参考资料</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本软件交付目录README、启动脚本及配置说明。</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本软件前端操作界面、网关API与后端实现。</w:t>
      </w:r>
    </w:p>
    <w:p>
      <w:pPr>
        <w:pStyle w:val="Normal"/>
        <w:pageBreakBefore w:val="0"/>
        <w:rPr>
          <w:rFonts w:ascii="宋体" w:hAnsi="宋体" w:eastAsia="宋体" w:cs="宋体" w:hint="eastAsia"/>
          <w:sz w:val="28"/>
          <w:szCs w:val="28"/>
          <w:highlight w:val="none"/>
        </w:rPr>
      </w:pPr>
      <w:r>
        <w:rPr>
          <w:rFonts w:ascii="宋体" w:hAnsi="宋体" w:cs="宋体" w:hint="eastAsia" w:eastAsia="宋体"/>
          <w:sz w:val="28"/>
          <w:szCs w:val="28"/>
        </w:rPr>
        <w:t>本次提供的监测系统操作说明书及信息采集表（用于版式对齐）。</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1.3</w:t>
      </w:r>
      <w:r>
        <w:rPr>
          <w:rFonts w:ascii="宋体" w:hAnsi="宋体" w:cs="宋体" w:hint="eastAsia"/>
        </w:rPr>
        <w:t>术语和缩略词</w:t>
      </w:r>
    </w:p>
    <w:tbl>
      <w:tblPr>
        <w:tblW w:w="8844" w:type="dxa"/>
        <w:jc w:val="center"/>
        <w:tblInd w:w="0" w:type="dxa"/>
        <w:tblLayout w:type="fixed"/>
        <w:tblCellMar>
          <w:top w:w="0" w:type="dxa"/>
          <w:start w:w="108" w:type="dxa"/>
          <w:bottom w:w="0" w:type="dxa"/>
          <w:end w:w="108" w:type="dxa"/>
        </w:tblCellMar>
      </w:tblPr>
      <w:tblGrid>
        <w:gridCol w:w="2402"/>
        <w:gridCol w:w="6442"/>
      </w:tblGrid>
      <w:tr>
        <w:trPr/>
        <w:tc>
          <w:tcPr>
            <w:tcW w:w="240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 xml:space="preserve">术语 </w:t>
            </w:r>
            <w:r>
              <w:rPr>
                <w:rFonts w:eastAsia="宋体" w:cs="宋体" w:hint="eastAsia" w:ascii="宋体" w:hAnsi="宋体"/>
                <w:b/>
                <w:bCs w:val="false"/>
                <w:kern w:val="0"/>
                <w:sz w:val="21"/>
                <w:szCs w:val="22"/>
                <w:lang w:bidi="ar"/>
              </w:rPr>
              <w:t xml:space="preserve">/ </w:t>
            </w:r>
            <w:r>
              <w:rPr>
                <w:rFonts w:ascii="宋体" w:hAnsi="宋体" w:cs="宋体" w:hint="eastAsia" w:eastAsia="宋体"/>
                <w:b/>
                <w:bCs w:val="false"/>
                <w:kern w:val="0"/>
                <w:sz w:val="21"/>
                <w:szCs w:val="22"/>
                <w:lang w:bidi="ar"/>
              </w:rPr>
              <w:t>缩略词</w:t>
            </w:r>
          </w:p>
        </w:tc>
        <w:tc>
          <w:tcPr>
            <w:tcW w:w="644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含义说明</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RTT</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Round-Trip Time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往返时延，数据从发送端发出到收到确认所经历的时间，单位毫秒</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网络抖动（</w:t>
            </w:r>
            <w:r>
              <w:rPr>
                <w:rFonts w:eastAsia="宋体" w:cs="宋体" w:hint="eastAsia" w:ascii="宋体" w:hAnsi="宋体"/>
                <w:kern w:val="0"/>
                <w:sz w:val="21"/>
                <w:szCs w:val="22"/>
                <w:lang w:bidi="ar"/>
              </w:rPr>
              <w:t>Jitter</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相邻两次时延测量值的变化程度，反映链路的稳定性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丢包率（</w:t>
            </w:r>
            <w:r>
              <w:rPr>
                <w:rFonts w:eastAsia="宋体" w:cs="宋体" w:hint="eastAsia" w:ascii="宋体" w:hAnsi="宋体"/>
                <w:kern w:val="0"/>
                <w:sz w:val="21"/>
                <w:szCs w:val="22"/>
                <w:lang w:bidi="ar"/>
              </w:rPr>
              <w:t>Packet Loss</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传输过程中丢失数据包占总发送包数的百分比</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吞吐率（</w:t>
            </w:r>
            <w:r>
              <w:rPr>
                <w:rFonts w:eastAsia="宋体" w:cs="宋体" w:hint="eastAsia" w:ascii="宋体" w:hAnsi="宋体"/>
                <w:kern w:val="0"/>
                <w:sz w:val="21"/>
                <w:szCs w:val="22"/>
                <w:lang w:bidi="ar"/>
              </w:rPr>
              <w:t>Throughput</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单位时间内成功传输的数据量，</w:t>
            </w:r>
            <w:r>
              <w:rPr>
                <w:rFonts w:ascii="宋体" w:hAnsi="宋体" w:cs="宋体" w:hint="eastAsia" w:eastAsia="宋体"/>
                <w:kern w:val="0"/>
                <w:sz w:val="21"/>
                <w:szCs w:val="22"/>
                <w:lang w:eastAsia="en-US" w:bidi="ar"/>
              </w:rPr>
              <w:t xml:space="preserve">页面以 </w:t>
            </w:r>
            <w:r>
              <w:rPr>
                <w:rFonts w:eastAsia="宋体" w:cs="宋体" w:hint="eastAsia" w:ascii="宋体" w:hAnsi="宋体"/>
                <w:kern w:val="0"/>
                <w:sz w:val="21"/>
                <w:szCs w:val="22"/>
                <w:lang w:eastAsia="en-US" w:bidi="ar"/>
              </w:rPr>
              <w:t xml:space="preserve">Kbps </w:t>
            </w:r>
            <w:r>
              <w:rPr>
                <w:rFonts w:ascii="宋体" w:hAnsi="宋体" w:cs="宋体" w:hint="eastAsia" w:eastAsia="宋体"/>
                <w:kern w:val="0"/>
                <w:sz w:val="21"/>
                <w:szCs w:val="22"/>
                <w:lang w:eastAsia="en-US" w:bidi="ar"/>
              </w:rPr>
              <w:t xml:space="preserve">或 </w:t>
            </w:r>
            <w:r>
              <w:rPr>
                <w:rFonts w:eastAsia="宋体" w:cs="宋体" w:hint="eastAsia" w:ascii="宋体" w:hAnsi="宋体"/>
                <w:kern w:val="0"/>
                <w:sz w:val="21"/>
                <w:szCs w:val="22"/>
                <w:lang w:eastAsia="en-US" w:bidi="ar"/>
              </w:rPr>
              <w:t xml:space="preserve">Mbps </w:t>
            </w:r>
            <w:r>
              <w:rPr>
                <w:rFonts w:ascii="宋体" w:hAnsi="宋体" w:cs="宋体" w:hint="eastAsia" w:eastAsia="宋体"/>
                <w:kern w:val="0"/>
                <w:sz w:val="21"/>
                <w:szCs w:val="22"/>
                <w:lang w:eastAsia="en-US" w:bidi="ar"/>
              </w:rPr>
              <w:t>等单位显</w:t>
            </w:r>
            <w:r>
              <w:rPr>
                <w:rFonts w:ascii="宋体" w:hAnsi="宋体" w:cs="宋体" w:hint="eastAsia" w:eastAsia="宋体"/>
                <w:sz w:val="18"/>
                <w:szCs w:val="22"/>
                <w:lang w:eastAsia="en-US" w:bidi="ar"/>
              </w:rPr>
              <w:t>示</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重传（</w:t>
            </w:r>
            <w:r>
              <w:rPr>
                <w:rFonts w:eastAsia="宋体" w:cs="宋体" w:hint="eastAsia" w:ascii="宋体" w:hAnsi="宋体"/>
                <w:kern w:val="0"/>
                <w:sz w:val="21"/>
                <w:szCs w:val="22"/>
                <w:lang w:bidi="ar"/>
              </w:rPr>
              <w:t>Retransmission</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数据包发送失败后重新发送的次数，反映链路可靠性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链路质量（</w:t>
            </w:r>
            <w:r>
              <w:rPr>
                <w:rFonts w:eastAsia="宋体" w:cs="宋体" w:hint="eastAsia" w:ascii="宋体" w:hAnsi="宋体"/>
                <w:kern w:val="0"/>
                <w:sz w:val="21"/>
                <w:szCs w:val="22"/>
                <w:lang w:bidi="ar"/>
              </w:rPr>
              <w:t>Network Quality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对链路综合状态的判分结果，分优良、波动、拥塞、中断、恢复中五级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遥测（</w:t>
            </w:r>
            <w:r>
              <w:rPr>
                <w:rFonts w:eastAsia="宋体" w:cs="宋体" w:hint="eastAsia" w:ascii="宋体" w:hAnsi="宋体"/>
                <w:kern w:val="0"/>
                <w:sz w:val="21"/>
                <w:szCs w:val="22"/>
                <w:lang w:bidi="ar"/>
              </w:rPr>
              <w:t>Telemetry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对网络运行状态进行周期性采集并上报的测量数据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多模态数据</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视频图像、统计指标、传感器监测值、日志文本等多种形态的工业数据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数据源（</w:t>
            </w:r>
            <w:r>
              <w:rPr>
                <w:rFonts w:eastAsia="宋体" w:cs="宋体" w:hint="eastAsia" w:ascii="宋体" w:hAnsi="宋体"/>
                <w:kern w:val="0"/>
                <w:sz w:val="21"/>
                <w:szCs w:val="22"/>
                <w:lang w:bidi="ar"/>
              </w:rPr>
              <w:t>Data Source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产生监测数据的设备或系统，如传感器、摄像头、日志系统</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完整性校验</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对原始数据与接收恢复数据分别计算 </w:t>
            </w:r>
            <w:r>
              <w:rPr>
                <w:rFonts w:eastAsia="宋体" w:cs="宋体" w:hint="eastAsia" w:ascii="宋体" w:hAnsi="宋体"/>
                <w:kern w:val="0"/>
                <w:sz w:val="21"/>
                <w:szCs w:val="22"/>
                <w:lang w:bidi="ar"/>
              </w:rPr>
              <w:t xml:space="preserve">SHA-256 </w:t>
            </w:r>
            <w:r>
              <w:rPr>
                <w:rFonts w:ascii="宋体" w:hAnsi="宋体" w:cs="宋体" w:hint="eastAsia" w:eastAsia="宋体"/>
                <w:kern w:val="0"/>
                <w:sz w:val="21"/>
                <w:szCs w:val="22"/>
                <w:lang w:bidi="ar"/>
              </w:rPr>
              <w:t>摘要并比对，验证数据未被破坏</w:t>
            </w:r>
          </w:p>
        </w:tc>
      </w:tr>
      <w:tr>
        <w:trPr>
          <w:trHeight w:val="821" w:hRule="atLeast"/>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API</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Application Programming Interface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应用程序编程接口</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QoS</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Quality of Service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服务质量</w:t>
            </w:r>
          </w:p>
        </w:tc>
      </w:tr>
    </w:tbl>
    <w:p>
      <w:pPr>
        <w:pStyle w:val="Heading1"/>
        <w:pageBreakBefore w:val="0"/>
        <w:ind w:hanging="0" w:start="0"/>
        <w:rPr>
          <w:rFonts w:ascii="宋体" w:hAnsi="宋体" w:eastAsia="宋体" w:cs="宋体" w:hint="eastAsia"/>
          <w:highlight w:val="none"/>
        </w:rPr>
      </w:pPr>
      <w:r>
        <w:rPr>
          <w:rFonts w:eastAsia="宋体" w:cs="宋体" w:hint="eastAsia" w:ascii="宋体" w:hAnsi="宋体"/>
        </w:rPr>
        <w:t>2</w:t>
      </w:r>
      <w:r>
        <w:rPr>
          <w:rFonts w:ascii="宋体" w:hAnsi="宋体" w:cs="宋体" w:hint="eastAsia" w:eastAsia="宋体"/>
        </w:rPr>
        <w:t>软件概述</w:t>
      </w:r>
    </w:p>
    <w:p>
      <w:pPr>
        <w:pStyle w:val="Heading3"/>
        <w:pageBreakBefore w:val="0"/>
        <w:ind w:hanging="0" w:start="0"/>
        <w:rPr>
          <w:rFonts w:ascii="宋体" w:hAnsi="宋体" w:eastAsia="宋体" w:cs="宋体" w:hint="eastAsia"/>
          <w:highlight w:val="none"/>
        </w:rPr>
      </w:pPr>
      <w:r>
        <w:rPr>
          <w:rFonts w:eastAsia="宋体" w:cs="宋体" w:hint="eastAsia" w:ascii="宋体" w:hAnsi="宋体"/>
        </w:rPr>
        <w:t>2.1</w:t>
      </w:r>
      <w:r>
        <w:rPr>
          <w:rFonts w:ascii="宋体" w:hAnsi="宋体" w:cs="宋体" w:hint="eastAsia" w:eastAsia="宋体"/>
        </w:rPr>
        <w:t>软件功能</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sz w:val="28"/>
          <w:szCs w:val="28"/>
          <w:highlight w:val="none"/>
        </w:rPr>
      </w:pPr>
      <w:r>
        <w:rPr>
          <w:rFonts w:ascii="宋体" w:hAnsi="宋体" w:cs="宋体" w:hint="eastAsia" w:eastAsia="宋体"/>
          <w:kern w:val="0"/>
          <w:sz w:val="28"/>
          <w:szCs w:val="28"/>
          <w:lang w:bidi="ar"/>
        </w:rPr>
        <w:t>运行监测数据自适应压缩传输控制决策与优化系统是一套面向工业现场的浏览器应用软件，可部署于桌面电脑或工业控制机。主要功能如下：</w:t>
      </w:r>
    </w:p>
    <w:p>
      <w:pPr>
        <w:pStyle w:val="Style19"/>
        <w:pageBreakBefore w:val="0"/>
        <w:widowControl/>
        <w:numPr>
          <w:ilvl w:val="0"/>
          <w:numId w:val="2"/>
        </w:numPr>
        <w:tabs>
          <w:tab w:val="clear" w:pos="420"/>
          <w:tab w:val="left" w:pos="360" w:leader="none"/>
        </w:tabs>
        <w:spacing w:before="100" w:after="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（1）多源监测数据接入。支持文件、文件夹、消息队列流式接入和API回调，形成可选数据包并保留文件夹内部相对路径。</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（2）数据识别与压缩画像。结合文件格式、数据模态、可压缩性和优先级筛选候选算法，测量代表样本压缩和解压耗时及压缩比例，为控制决策提供依据。</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（3）自动与手动压缩控制。自动模式按数据和链路情况评估参数；手动模式支持指定算法及级别，并显示当前文件、大小、执行算法和调度优先级。</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（4）压缩率与总耗时分析。以图表显示压缩率与总耗时的关系，以及界面标示的推荐压缩率、对应总耗时、区间耗时降幅和当前算法，支持鼠标查看曲线点。</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（5）当前推荐策略展示。展示控制模式、当前压缩算法、级别、识别数据类型、压缩收益、调度优先级和决策依据，帮助用户理解当前执行设置。</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（6）综合代价决策与参数优化。评估预处理、压缩、预测传输、解压、排队和重试代价，并结合网络状态决定分块大小、缓存和批处理等控制参数。</w:t>
      </w:r>
    </w:p>
    <w:p>
      <w:pPr>
        <w:pStyle w:val="Style19"/>
        <w:pageBreakBefore w:val="0"/>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（7）传输任务调度与跟踪。支持开始、暂停和重置操作；显示任务名称、优先级、策略和进度，提供恢复文件及目录查看入口。</w:t>
      </w:r>
    </w:p>
    <w:p>
      <w:pPr>
        <w:pStyle w:val="Style19"/>
        <w:pageBreakBefore w:val="0"/>
        <w:widowControl/>
        <w:numPr>
          <w:ilvl w:val="0"/>
          <w:numId w:val="2"/>
        </w:numPr>
        <w:tabs>
          <w:tab w:val="clear" w:pos="420"/>
          <w:tab w:val="left" w:pos="360" w:leader="none"/>
        </w:tabs>
        <w:spacing w:before="0" w:after="28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（8）接收核验与效果评估。配置和连接接收端，执行数据恢复与完整性核验，提供压缩前后大小、时延和收益对比，辅助检查方案是否达到预期。</w:t>
      </w:r>
    </w:p>
    <w:p>
      <w:pPr>
        <w:pStyle w:val="Heading3"/>
        <w:pageBreakBefore w:val="0"/>
        <w:ind w:hanging="0" w:start="0"/>
        <w:rPr>
          <w:rFonts w:ascii="宋体" w:hAnsi="宋体" w:eastAsia="宋体" w:cs="宋体" w:hint="eastAsia"/>
          <w:highlight w:val="none"/>
        </w:rPr>
      </w:pPr>
      <w:r>
        <w:rPr>
          <w:rFonts w:eastAsia="宋体" w:cs="宋体" w:hint="eastAsia" w:ascii="宋体" w:hAnsi="宋体"/>
        </w:rPr>
        <w:t>2.2</w:t>
      </w:r>
      <w:r>
        <w:rPr>
          <w:rFonts w:ascii="宋体" w:hAnsi="宋体" w:cs="宋体" w:hint="eastAsia" w:eastAsia="宋体"/>
        </w:rPr>
        <w:t>软件运行</w:t>
      </w:r>
    </w:p>
    <w:p>
      <w:pPr>
        <w:pStyle w:val="Heading2"/>
        <w:pageBreakBefore w:val="0"/>
        <w:ind w:firstLineChars="200" w:startChars="0" w:start="0" w:endChars="0" w:end="0"/>
        <w:rPr>
          <w:rFonts w:ascii="宋体" w:hAnsi="宋体" w:eastAsia="宋体" w:cs="宋体" w:hint="eastAsia"/>
          <w:sz w:val="24"/>
          <w:szCs w:val="22"/>
          <w:highlight w:val="none"/>
          <w:lang w:bidi="ar"/>
        </w:rPr>
      </w:pPr>
      <w:r>
        <w:rPr>
          <w:rFonts w:ascii="宋体" w:hAnsi="宋体" w:cs="宋体" w:hint="eastAsia"/>
          <w:b w:val="false"/>
          <w:bCs w:val="false"/>
          <w:kern w:val="0"/>
          <w:sz w:val="28"/>
          <w:szCs w:val="28"/>
          <w:lang w:bidi="ar"/>
        </w:rPr>
        <w:t>本软件运行于桌面电脑或工业控制机，采用浏览器访问。启动脚本拉起界面、后端与接收端三个独立进程，分别监听8102、8202、8302端口。启动成功后访问http://127.0.0.1:8102，无需额外安装客户端，也没有账号登录界面。</w:t>
      </w:r>
    </w:p>
    <w:p>
      <w:pPr>
        <w:pStyle w:val="Heading2"/>
        <w:pageBreakBefore w:val="0"/>
        <w:ind w:hanging="0" w:start="0"/>
        <w:rPr>
          <w:rFonts w:ascii="宋体" w:hAnsi="宋体" w:eastAsia="宋体" w:cs="宋体" w:hint="eastAsia"/>
          <w:sz w:val="32"/>
          <w:szCs w:val="32"/>
          <w:highlight w:val="none"/>
        </w:rPr>
      </w:pPr>
      <w:r>
        <w:rPr>
          <w:rFonts w:eastAsia="宋体" w:cs="宋体" w:hint="eastAsia" w:ascii="宋体" w:hAnsi="宋体"/>
          <w:sz w:val="32"/>
          <w:szCs w:val="32"/>
        </w:rPr>
        <w:t>2.3</w:t>
      </w:r>
      <w:r>
        <w:rPr>
          <w:rFonts w:ascii="宋体" w:hAnsi="宋体" w:cs="宋体" w:hint="eastAsia"/>
          <w:sz w:val="32"/>
          <w:szCs w:val="32"/>
        </w:rPr>
        <w:t>系统要求</w:t>
      </w:r>
    </w:p>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2.3.1 </w:t>
      </w:r>
      <w:r>
        <w:rPr>
          <w:rFonts w:ascii="宋体" w:hAnsi="宋体" w:cs="宋体" w:hint="eastAsia" w:eastAsia="宋体"/>
          <w:b/>
          <w:bCs w:val="false"/>
          <w:kern w:val="0"/>
          <w:sz w:val="32"/>
          <w:szCs w:val="32"/>
          <w:lang w:bidi="ar"/>
        </w:rPr>
        <w:t>硬件环境</w:t>
      </w:r>
    </w:p>
    <w:tbl>
      <w:tblPr>
        <w:tblW w:w="8522" w:type="dxa"/>
        <w:jc w:val="center"/>
        <w:tblInd w:w="0" w:type="dxa"/>
        <w:tblLayout w:type="fixed"/>
        <w:tblCellMar>
          <w:top w:w="0" w:type="dxa"/>
          <w:start w:w="108" w:type="dxa"/>
          <w:bottom w:w="0" w:type="dxa"/>
          <w:end w:w="108" w:type="dxa"/>
        </w:tblCellMar>
      </w:tblPr>
      <w:tblGrid>
        <w:gridCol w:w="2105"/>
        <w:gridCol w:w="3204"/>
        <w:gridCol w:w="3213"/>
      </w:tblGrid>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最低要求</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建议配置</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处理器</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i5 </w:t>
            </w:r>
            <w:r>
              <w:rPr>
                <w:rFonts w:ascii="宋体" w:hAnsi="宋体" w:cs="宋体" w:hint="eastAsia" w:eastAsia="宋体"/>
                <w:kern w:val="0"/>
                <w:sz w:val="21"/>
                <w:szCs w:val="22"/>
                <w:lang w:bidi="ar"/>
              </w:rPr>
              <w:t>或同等性能处理器</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i7 </w:t>
            </w:r>
            <w:r>
              <w:rPr>
                <w:rFonts w:ascii="宋体" w:hAnsi="宋体" w:cs="宋体" w:hint="eastAsia" w:eastAsia="宋体"/>
                <w:kern w:val="0"/>
                <w:sz w:val="21"/>
                <w:szCs w:val="22"/>
                <w:lang w:bidi="ar"/>
              </w:rPr>
              <w:t>及以上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内存</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16 GB</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硬盘可用空间</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10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20 GB </w:t>
            </w:r>
            <w:r>
              <w:rPr>
                <w:rFonts w:ascii="宋体" w:hAnsi="宋体" w:cs="宋体" w:hint="eastAsia" w:eastAsia="宋体"/>
                <w:kern w:val="0"/>
                <w:sz w:val="21"/>
                <w:szCs w:val="22"/>
                <w:lang w:bidi="ar"/>
              </w:rPr>
              <w:t>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100 Mbps </w:t>
            </w:r>
            <w:r>
              <w:rPr>
                <w:rFonts w:ascii="宋体" w:hAnsi="宋体" w:cs="宋体" w:hint="eastAsia" w:eastAsia="宋体"/>
                <w:kern w:val="0"/>
                <w:sz w:val="21"/>
                <w:szCs w:val="22"/>
                <w:lang w:bidi="ar"/>
              </w:rPr>
              <w:t>网卡</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千兆以太网卡</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显示器分辨率</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1440×900</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1920×1080 </w:t>
            </w:r>
            <w:r>
              <w:rPr>
                <w:rFonts w:ascii="宋体" w:hAnsi="宋体" w:cs="宋体" w:hint="eastAsia" w:eastAsia="宋体"/>
                <w:kern w:val="0"/>
                <w:sz w:val="21"/>
                <w:szCs w:val="22"/>
                <w:lang w:bidi="ar"/>
              </w:rPr>
              <w:t>及以上</w:t>
            </w:r>
          </w:p>
        </w:tc>
      </w:tr>
    </w:tbl>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2.3.2  </w:t>
      </w:r>
      <w:r>
        <w:rPr>
          <w:rFonts w:ascii="宋体" w:hAnsi="宋体" w:cs="宋体" w:hint="eastAsia" w:eastAsia="宋体"/>
          <w:b/>
          <w:bCs w:val="false"/>
          <w:kern w:val="0"/>
          <w:sz w:val="32"/>
          <w:szCs w:val="32"/>
          <w:lang w:bidi="ar"/>
        </w:rPr>
        <w:t>软件环境</w:t>
      </w:r>
    </w:p>
    <w:tbl>
      <w:tblPr>
        <w:tblW w:w="8522" w:type="dxa"/>
        <w:jc w:val="center"/>
        <w:tblInd w:w="0" w:type="dxa"/>
        <w:tblLayout w:type="fixed"/>
        <w:tblCellMar>
          <w:top w:w="0" w:type="dxa"/>
          <w:start w:w="108" w:type="dxa"/>
          <w:bottom w:w="0" w:type="dxa"/>
          <w:end w:w="108" w:type="dxa"/>
        </w:tblCellMar>
      </w:tblPr>
      <w:tblGrid>
        <w:gridCol w:w="2126"/>
        <w:gridCol w:w="6396"/>
      </w:tblGrid>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要求</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操作系统</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Windows 10/11 64 </w:t>
            </w:r>
            <w:r>
              <w:rPr>
                <w:rFonts w:ascii="宋体" w:hAnsi="宋体" w:cs="宋体" w:hint="eastAsia" w:eastAsia="宋体"/>
                <w:kern w:val="0"/>
                <w:sz w:val="21"/>
                <w:szCs w:val="22"/>
                <w:lang w:bidi="ar"/>
              </w:rPr>
              <w:t>位；</w:t>
            </w:r>
            <w:r>
              <w:rPr>
                <w:rFonts w:eastAsia="宋体" w:cs="宋体" w:hint="eastAsia" w:ascii="宋体" w:hAnsi="宋体"/>
                <w:kern w:val="0"/>
                <w:sz w:val="21"/>
                <w:szCs w:val="22"/>
                <w:lang w:bidi="ar"/>
              </w:rPr>
              <w:t>Linux x86_64</w:t>
            </w:r>
            <w:r>
              <w:rPr>
                <w:rFonts w:ascii="宋体" w:hAnsi="宋体" w:cs="宋体" w:hint="eastAsia" w:eastAsia="宋体"/>
                <w:kern w:val="0"/>
                <w:sz w:val="21"/>
                <w:szCs w:val="22"/>
                <w:lang w:bidi="ar"/>
              </w:rPr>
              <w:t>；</w:t>
            </w:r>
            <w:r>
              <w:rPr>
                <w:rFonts w:eastAsia="宋体" w:cs="宋体" w:hint="eastAsia" w:ascii="宋体" w:hAnsi="宋体"/>
                <w:sz w:val="18"/>
                <w:szCs w:val="22"/>
                <w:lang w:eastAsia="en-US" w:bidi="ar"/>
              </w:rPr>
              <w:t>macOS</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运行时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Java 17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Node.js 18.17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浏览器</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Chrome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Edge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Firefox 88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可选中间件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RabbitMQ</w:t>
            </w:r>
            <w:r>
              <w:rPr>
                <w:rFonts w:ascii="宋体" w:hAnsi="宋体" w:cs="宋体" w:hint="eastAsia" w:eastAsia="宋体"/>
                <w:kern w:val="0"/>
                <w:sz w:val="21"/>
                <w:szCs w:val="22"/>
                <w:lang w:bidi="ar"/>
              </w:rPr>
              <w:t>（使用消息队列流式接入时需要）</w:t>
            </w:r>
          </w:p>
        </w:tc>
      </w:tr>
    </w:tbl>
    <w:p>
      <w:pPr>
        <w:pStyle w:val="Normal"/>
        <w:keepNext w:val="false"/>
        <w:keepLines w:val="false"/>
        <w:pageBreakBefore w:val="0"/>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2.4  </w:t>
      </w:r>
      <w:r>
        <w:rPr>
          <w:rFonts w:ascii="宋体" w:hAnsi="宋体" w:cs="宋体" w:hint="eastAsia" w:eastAsia="宋体"/>
          <w:b/>
          <w:bCs w:val="false"/>
          <w:kern w:val="0"/>
          <w:sz w:val="32"/>
          <w:szCs w:val="32"/>
          <w:lang w:bidi="ar"/>
        </w:rPr>
        <w:t>软件安装与部署</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软件运行交付包完整解压后保留three-systems目录；已有交付包包含后端JAR、界面构建和网关依赖。另附的单系统源码工程不包含依赖和JAR，需先按工程README构建，再运行本节的启动命令。主要目录用途见表。</w:t>
      </w:r>
    </w:p>
    <w:tbl>
      <w:tblPr>
        <w:tblW w:w="8522" w:type="dxa"/>
        <w:jc w:val="center"/>
        <w:tblInd w:w="0" w:type="dxa"/>
        <w:tblLayout w:type="fixed"/>
        <w:tblCellMar>
          <w:top w:w="0" w:type="dxa"/>
          <w:start w:w="108" w:type="dxa"/>
          <w:bottom w:w="0" w:type="dxa"/>
          <w:end w:w="108" w:type="dxa"/>
        </w:tblCellMar>
      </w:tblPr>
      <w:tblGrid>
        <w:gridCol w:w="2230"/>
        <w:gridCol w:w="6292"/>
      </w:tblGrid>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目录</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apps\adaptive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本软件的启动入口与独立界面产物，含启动、停止、接收端启动三个批处理与脚本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backend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后端业务代码，含网络遥测、链路评估、告警监测等服务实现</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bridge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网关与接收服务实现，负责仪表盘数据组装与接收端转发</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frontend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前端源码，含本软件的独立主视图与必要公共组件</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shared-runtime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共用的后端运行产物</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scripts</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构建脚本与三个系统的启动、停止脚本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runtime\adaptive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本软件的运行数据目录，保存上传文件、日志、任务历史与缓存</w:t>
            </w:r>
          </w:p>
        </w:tc>
      </w:tr>
    </w:tbl>
    <w:p>
      <w:pPr>
        <w:pStyle w:val="Normal"/>
        <w:keepNext w:val="false"/>
        <w:keepLines w:val="false"/>
        <w:pageBreakBefore w:val="0"/>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0"/>
        <w:keepLines w:val="false"/>
        <w:pageBreakBefore w:val="0"/>
        <w:widowControl/>
        <w:suppressLineNumbers w:val="0"/>
        <w:spacing w:before="80" w:after="60" w:line="240" w:lineRule="auto"/>
        <w:jc w:val="center"/>
        <w:rPr>
          <w:rFonts w:eastAsia="宋体" w:cs="Times New Roman" w:hint="eastAsia"/>
          <w:highlight w:val="none"/>
        </w:rPr>
      </w:pPr>
      <w:r>
        <w:rPr>
          <w:rFonts w:eastAsia="宋体" w:cs="宋体" w:hint="eastAsia" w:ascii="宋体" w:hAnsi="宋体"/>
        </w:rPr>
      </w:r>
      <w:r>
        <w:drawing>
          <wp:inline xmlns:a="http://schemas.openxmlformats.org/drawingml/2006/main">
            <wp:extent cx="5274000" cy="1669066"/>
            <wp:docPr id="22" name="Picture 22"/>
            <wp:cNvGraphicFramePr>
              <a:graphicFrameLocks noChangeAspect="1"/>
            </wp:cNvGraphicFramePr>
            <a:graphic>
              <a:graphicData uri="http://schemas.openxmlformats.org/drawingml/2006/picture">
                <pic:pic>
                  <pic:nvPicPr>
                    <pic:cNvPr id="0" name="directory.png"/>
                    <pic:cNvPicPr/>
                  </pic:nvPicPr>
                  <pic:blipFill>
                    <a:blip r:embed="rId31"/>
                    <a:stretch>
                      <a:fillRect/>
                    </a:stretch>
                  </pic:blipFill>
                  <pic:spPr>
                    <a:xfrm>
                      <a:off x="0" y="0"/>
                      <a:ext cx="5274000" cy="1669066"/>
                    </a:xfrm>
                    <a:prstGeom prst="rect"/>
                  </pic:spPr>
                </pic:pic>
              </a:graphicData>
            </a:graphic>
          </wp:inline>
        </w:drawing>
      </w:r>
      <w:r>
        <w:br/>
      </w:r>
      <w:r>
        <w:rPr>
          <w:rFonts w:ascii="宋体" w:hAnsi="宋体" w:eastAsia="宋体" w:cs="宋体"/>
          <w:sz w:val="21"/>
        </w:rPr>
        <w:t>图 2-1  部署目录结构</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运行前需确认已安装Java 17及以上、Node.js 18.17及以上。在命令行执行java --version与node --version检查。图中展示本次验证环境的实际版本输出，不改变最低运行条件。</w:t>
      </w:r>
    </w:p>
    <w:p>
      <w:pPr>
        <w:pStyle w:val="Normal"/>
        <w:keepNext w:val="0"/>
        <w:keepLines w:val="false"/>
        <w:pageBreakBefore w:val="0"/>
        <w:widowControl/>
        <w:suppressLineNumbers w:val="0"/>
        <w:spacing w:before="80" w:after="60" w:line="240" w:lineRule="auto"/>
        <w:jc w:val="center"/>
        <w:rPr>
          <w:rFonts w:eastAsia="宋体" w:cs="Times New Roman" w:hint="eastAsia"/>
          <w:highlight w:val="none"/>
        </w:rPr>
      </w:pPr>
      <w:r>
        <w:rPr>
          <w:rFonts w:eastAsia="宋体" w:cs="宋体" w:hint="eastAsia" w:ascii="宋体" w:hAnsi="宋体"/>
        </w:rPr>
      </w:r>
      <w:r>
        <w:drawing>
          <wp:inline xmlns:a="http://schemas.openxmlformats.org/drawingml/2006/main">
            <wp:extent cx="5274000" cy="955525"/>
            <wp:docPr id="23" name="Picture 23"/>
            <wp:cNvGraphicFramePr>
              <a:graphicFrameLocks noChangeAspect="1"/>
            </wp:cNvGraphicFramePr>
            <a:graphic>
              <a:graphicData uri="http://schemas.openxmlformats.org/drawingml/2006/picture">
                <pic:pic>
                  <pic:nvPicPr>
                    <pic:cNvPr id="0" name="versions.png"/>
                    <pic:cNvPicPr/>
                  </pic:nvPicPr>
                  <pic:blipFill>
                    <a:blip r:embed="rId32"/>
                    <a:stretch>
                      <a:fillRect/>
                    </a:stretch>
                  </pic:blipFill>
                  <pic:spPr>
                    <a:xfrm>
                      <a:off x="0" y="0"/>
                      <a:ext cx="5274000" cy="955525"/>
                    </a:xfrm>
                    <a:prstGeom prst="rect"/>
                  </pic:spPr>
                </pic:pic>
              </a:graphicData>
            </a:graphic>
          </wp:inline>
        </w:drawing>
      </w:r>
      <w:r>
        <w:br/>
      </w:r>
      <w:r>
        <w:rPr>
          <w:rFonts w:ascii="宋体" w:hAnsi="宋体" w:eastAsia="宋体" w:cs="宋体"/>
          <w:sz w:val="21"/>
        </w:rPr>
        <w:t>图 2-2  运行环境版本检查</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本软件与同一交付包中的另外两套软件共用一份后端运行产物与网关实现，但各自拥有独立的进程、端口与数据目录，三套软件可同时运行而互不干扰。本软件使用的端口分配见表。</w:t>
      </w:r>
    </w:p>
    <w:tbl>
      <w:tblPr>
        <w:tblW w:w="8522" w:type="dxa"/>
        <w:jc w:val="center"/>
        <w:tblInd w:w="0" w:type="dxa"/>
        <w:tblLayout w:type="fixed"/>
        <w:tblCellMar>
          <w:top w:w="0" w:type="dxa"/>
          <w:start w:w="108" w:type="dxa"/>
          <w:bottom w:w="0" w:type="dxa"/>
          <w:end w:w="108" w:type="dxa"/>
        </w:tblCellMar>
      </w:tblPr>
      <w:tblGrid>
        <w:gridCol w:w="1577"/>
        <w:gridCol w:w="1340"/>
        <w:gridCol w:w="5605"/>
      </w:tblGrid>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端口</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界面服务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8102</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提供浏览器访问入口，用户通过 </w:t>
            </w:r>
            <w:r>
              <w:rPr>
                <w:rFonts w:eastAsia="宋体" w:cs="宋体" w:hint="eastAsia" w:ascii="宋体" w:hAnsi="宋体"/>
                <w:kern w:val="0"/>
                <w:sz w:val="21"/>
                <w:szCs w:val="22"/>
                <w:lang w:bidi="ar"/>
              </w:rPr>
              <w:t xml:space="preserve">http://127.0.0.1:8102 </w:t>
            </w:r>
            <w:r>
              <w:rPr>
                <w:rFonts w:ascii="宋体" w:hAnsi="宋体" w:cs="宋体" w:hint="eastAsia" w:eastAsia="宋体"/>
                <w:kern w:val="0"/>
                <w:sz w:val="21"/>
                <w:szCs w:val="22"/>
                <w:lang w:bidi="ar"/>
              </w:rPr>
              <w:t>使用软件</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8202</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提供网络遥测、链路评估、告警与任务相关的业务接口</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接收服务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8302</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本机接收端，用于接收并校验对端发来的数据</w:t>
            </w:r>
          </w:p>
        </w:tc>
      </w:tr>
    </w:tbl>
    <w:p>
      <w:pPr>
        <w:pStyle w:val="Normal"/>
        <w:keepNext w:val="false"/>
        <w:keepLines w:val="false"/>
        <w:pageBreakBefore w:val="0"/>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需要跨计算机接收时，将完整交付目录复制到接收计算机，在该计算机上运行本软件的接收端启动脚本，此时只启动接收网关而无须启动后端服务，因此对接收计算机的运行环境要求更低。</w:t>
      </w:r>
    </w:p>
    <w:p>
      <w:pPr>
        <w:pStyle w:val="Heading1"/>
        <w:pageBreakBefore w:val="0"/>
        <w:ind w:hanging="0" w:start="0"/>
        <w:rPr>
          <w:rFonts w:ascii="宋体" w:hAnsi="宋体" w:eastAsia="宋体" w:cs="宋体" w:hint="eastAsia"/>
          <w:highlight w:val="none"/>
        </w:rPr>
      </w:pPr>
      <w:r>
        <w:rPr>
          <w:rFonts w:eastAsia="宋体" w:cs="宋体" w:hint="eastAsia" w:ascii="宋体" w:hAnsi="宋体"/>
        </w:rPr>
        <w:t>3</w:t>
      </w:r>
      <w:r>
        <w:rPr>
          <w:rFonts w:ascii="宋体" w:hAnsi="宋体" w:cs="宋体" w:hint="eastAsia" w:eastAsia="宋体"/>
        </w:rPr>
        <w:t>操作说明</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3.1</w:t>
      </w:r>
      <w:r>
        <w:rPr>
          <w:rFonts w:ascii="宋体" w:hAnsi="宋体" w:cs="宋体" w:hint="eastAsia"/>
        </w:rPr>
        <w:t>软件启动、停止与连接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3.1.1 Windows </w:t>
      </w:r>
      <w:r>
        <w:rPr>
          <w:rFonts w:ascii="宋体" w:hAnsi="宋体" w:cs="宋体" w:hint="eastAsia"/>
        </w:rPr>
        <w:t>启动</w:t>
      </w:r>
    </w:p>
    <w:p>
      <w:pPr>
        <w:pStyle w:val="Style19"/>
        <w:pageBreakBefore w:val="0"/>
        <w:widowControl/>
        <w:numPr>
          <w:ilvl w:val="0"/>
          <w:numId w:val="3"/>
        </w:numPr>
        <w:tabs>
          <w:tab w:val="clear" w:pos="420"/>
          <w:tab w:val="left" w:pos="360" w:leader="none"/>
        </w:tabs>
        <w:spacing w:before="100" w:after="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将完整交付包解压到本机目录，确认 </w:t>
      </w:r>
      <w:r>
        <w:rPr>
          <w:rFonts w:eastAsia="宋体" w:cs="宋体" w:hint="eastAsia" w:ascii="宋体" w:hAnsi="宋体"/>
          <w:kern w:val="0"/>
          <w:sz w:val="28"/>
          <w:szCs w:val="28"/>
        </w:rPr>
        <w:t xml:space="preserve">three-systems </w:t>
      </w:r>
      <w:r>
        <w:rPr>
          <w:rFonts w:ascii="宋体" w:hAnsi="宋体" w:cs="宋体" w:hint="eastAsia" w:eastAsia="宋体"/>
          <w:kern w:val="0"/>
          <w:sz w:val="28"/>
          <w:szCs w:val="28"/>
        </w:rPr>
        <w:t>目录及其子目录完整。</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确认已安装 </w:t>
      </w:r>
      <w:r>
        <w:rPr>
          <w:rFonts w:eastAsia="宋体" w:cs="宋体" w:hint="eastAsia" w:ascii="宋体" w:hAnsi="宋体"/>
          <w:kern w:val="0"/>
          <w:sz w:val="28"/>
          <w:szCs w:val="28"/>
        </w:rPr>
        <w:t xml:space="preserve">Java 17+ </w:t>
      </w:r>
      <w:r>
        <w:rPr>
          <w:rFonts w:ascii="宋体" w:hAnsi="宋体" w:cs="宋体" w:hint="eastAsia" w:eastAsia="宋体"/>
          <w:kern w:val="0"/>
          <w:sz w:val="28"/>
          <w:szCs w:val="28"/>
        </w:rPr>
        <w:t xml:space="preserve">和 </w:t>
      </w:r>
      <w:r>
        <w:rPr>
          <w:rFonts w:eastAsia="宋体" w:cs="宋体" w:hint="eastAsia" w:ascii="宋体" w:hAnsi="宋体"/>
          <w:kern w:val="0"/>
          <w:sz w:val="28"/>
          <w:szCs w:val="28"/>
        </w:rPr>
        <w:t>Node.js 18.17+</w:t>
      </w:r>
      <w:r>
        <w:rPr>
          <w:rFonts w:ascii="宋体" w:hAnsi="宋体" w:cs="宋体" w:hint="eastAsia" w:eastAsia="宋体"/>
          <w:kern w:val="0"/>
          <w:sz w:val="28"/>
          <w:szCs w:val="28"/>
        </w:rPr>
        <w:t xml:space="preserve">，并确认 </w:t>
      </w:r>
      <w:r>
        <w:rPr>
          <w:rFonts w:eastAsia="宋体" w:cs="宋体" w:hint="eastAsia" w:ascii="宋体" w:hAnsi="宋体"/>
          <w:kern w:val="0"/>
          <w:sz w:val="28"/>
          <w:szCs w:val="28"/>
        </w:rPr>
        <w:t>8102</w:t>
      </w:r>
      <w:r>
        <w:rPr>
          <w:rFonts w:ascii="宋体" w:hAnsi="宋体" w:cs="宋体" w:hint="eastAsia" w:eastAsia="宋体"/>
          <w:kern w:val="0"/>
          <w:sz w:val="28"/>
          <w:szCs w:val="28"/>
        </w:rPr>
        <w:t>、</w:t>
      </w:r>
      <w:r>
        <w:rPr>
          <w:rFonts w:eastAsia="宋体" w:cs="宋体" w:hint="eastAsia" w:ascii="宋体" w:hAnsi="宋体"/>
          <w:kern w:val="0"/>
          <w:sz w:val="28"/>
          <w:szCs w:val="28"/>
        </w:rPr>
        <w:t>8202</w:t>
      </w:r>
      <w:r>
        <w:rPr>
          <w:rFonts w:ascii="宋体" w:hAnsi="宋体" w:cs="宋体" w:hint="eastAsia" w:eastAsia="宋体"/>
          <w:kern w:val="0"/>
          <w:sz w:val="28"/>
          <w:szCs w:val="28"/>
        </w:rPr>
        <w:t>、</w:t>
      </w:r>
      <w:r>
        <w:rPr>
          <w:rFonts w:eastAsia="宋体" w:cs="宋体" w:hint="eastAsia" w:ascii="宋体" w:hAnsi="宋体"/>
          <w:kern w:val="0"/>
          <w:sz w:val="28"/>
          <w:szCs w:val="28"/>
        </w:rPr>
        <w:t xml:space="preserve">8302 </w:t>
      </w:r>
      <w:r>
        <w:rPr>
          <w:rFonts w:ascii="宋体" w:hAnsi="宋体" w:cs="宋体" w:hint="eastAsia" w:eastAsia="宋体"/>
          <w:kern w:val="0"/>
          <w:sz w:val="28"/>
          <w:szCs w:val="28"/>
        </w:rPr>
        <w:t>端口未被其他程序占用。</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进入 </w:t>
      </w:r>
      <w:r>
        <w:rPr>
          <w:rFonts w:eastAsia="宋体" w:cs="宋体" w:hint="eastAsia" w:ascii="宋体" w:hAnsi="宋体"/>
          <w:kern w:val="0"/>
          <w:sz w:val="28"/>
          <w:szCs w:val="28"/>
        </w:rPr>
        <w:t>three-systems/apps/adaptive</w:t>
      </w:r>
      <w:r>
        <w:rPr>
          <w:rFonts w:ascii="宋体" w:hAnsi="宋体" w:cs="宋体" w:hint="eastAsia" w:eastAsia="宋体"/>
          <w:kern w:val="0"/>
          <w:sz w:val="28"/>
          <w:szCs w:val="28"/>
        </w:rPr>
        <w:t>，双击“启动</w:t>
      </w:r>
      <w:r>
        <w:rPr>
          <w:rFonts w:eastAsia="宋体" w:cs="宋体" w:hint="eastAsia" w:ascii="宋体" w:hAnsi="宋体"/>
          <w:kern w:val="0"/>
          <w:sz w:val="28"/>
          <w:szCs w:val="28"/>
        </w:rPr>
        <w:t>.bat”</w:t>
      </w:r>
      <w:r>
        <w:rPr>
          <w:rFonts w:ascii="宋体" w:hAnsi="宋体" w:cs="宋体" w:hint="eastAsia" w:eastAsia="宋体"/>
          <w:kern w:val="0"/>
          <w:sz w:val="28"/>
          <w:szCs w:val="28"/>
        </w:rPr>
        <w:t>。</w:t>
      </w:r>
    </w:p>
    <w:p>
      <w:pPr>
        <w:pStyle w:val="Style19"/>
        <w:pageBreakBefore w:val="0"/>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等待启动过程结束；若命令窗口显示错误，不要反复启动，应先检查日志和端口。</w:t>
      </w:r>
    </w:p>
    <w:p>
      <w:pPr>
        <w:pStyle w:val="Style19"/>
        <w:pageBreakBefore w:val="0"/>
        <w:widowControl/>
        <w:numPr>
          <w:ilvl w:val="0"/>
          <w:numId w:val="3"/>
        </w:numPr>
        <w:tabs>
          <w:tab w:val="clear" w:pos="420"/>
          <w:tab w:val="left" w:pos="360" w:leader="none"/>
        </w:tabs>
        <w:spacing w:before="0" w:after="28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启动成功后，在本机浏览器打开 </w:t>
      </w:r>
      <w:r>
        <w:rPr>
          <w:rFonts w:eastAsia="宋体" w:cs="宋体" w:hint="eastAsia" w:ascii="宋体" w:hAnsi="宋体"/>
          <w:kern w:val="0"/>
          <w:sz w:val="28"/>
          <w:szCs w:val="28"/>
        </w:rPr>
        <w:t xml:space="preserve">http://127.0.0.1:8102 </w:t>
      </w:r>
      <w:r>
        <w:rPr>
          <w:rFonts w:ascii="宋体" w:hAnsi="宋体" w:cs="宋体" w:hint="eastAsia" w:eastAsia="宋体"/>
          <w:kern w:val="0"/>
          <w:sz w:val="28"/>
          <w:szCs w:val="28"/>
        </w:rPr>
        <w:t>。</w:t>
      </w:r>
    </w:p>
    <w:p>
      <w:pPr>
        <w:pStyle w:val="Normal"/>
        <w:keepNext w:val="false"/>
        <w:keepLines w:val="false"/>
        <w:pageBreakBefore w:val="0"/>
        <w:widowControl/>
        <w:suppressLineNumbers w:val="0"/>
        <w:spacing w:lineRule="auto" w:line="300" w:before="0" w:after="100"/>
        <w:ind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 xml:space="preserve">说明：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批处理调用的启动逻辑已在 </w:t>
      </w:r>
      <w:r>
        <w:rPr>
          <w:rFonts w:eastAsia="宋体" w:cs="宋体" w:hint="eastAsia" w:ascii="宋体" w:hAnsi="宋体"/>
          <w:kern w:val="0"/>
          <w:sz w:val="28"/>
          <w:szCs w:val="28"/>
          <w:lang w:bidi="ar"/>
        </w:rPr>
        <w:t xml:space="preserve">Linux </w:t>
      </w:r>
      <w:r>
        <w:rPr>
          <w:rFonts w:ascii="宋体" w:hAnsi="宋体" w:cs="宋体" w:hint="eastAsia" w:eastAsia="宋体"/>
          <w:kern w:val="0"/>
          <w:sz w:val="28"/>
          <w:szCs w:val="28"/>
          <w:lang w:bidi="ar"/>
        </w:rPr>
        <w:t xml:space="preserve">验证，尚未在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实机验证。请将目标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环境的实际启动结果作为验收依据。</w:t>
      </w:r>
    </w:p>
    <w:p>
      <w:pPr>
        <w:pStyle w:val="Normal"/>
        <w:keepNext w:val="false"/>
        <w:keepLines w:val="false"/>
        <w:pageBreakBefore w:val="0"/>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启动脚本自动检查后端健康、接收端响应和仪表盘数据。图示为本次Linux验证环境实际执行该启动命令后的输出；Windows环境按相同步骤启动，但其窗口外观和输出由目标电脑环境决定。</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595652"/>
            <wp:docPr id="24" name="Picture 24"/>
            <wp:cNvGraphicFramePr>
              <a:graphicFrameLocks noChangeAspect="1"/>
            </wp:cNvGraphicFramePr>
            <a:graphic>
              <a:graphicData uri="http://schemas.openxmlformats.org/drawingml/2006/picture">
                <pic:pic>
                  <pic:nvPicPr>
                    <pic:cNvPr id="0" name="startup.png"/>
                    <pic:cNvPicPr/>
                  </pic:nvPicPr>
                  <pic:blipFill>
                    <a:blip r:embed="rId33"/>
                    <a:stretch>
                      <a:fillRect/>
                    </a:stretch>
                  </pic:blipFill>
                  <pic:spPr>
                    <a:xfrm>
                      <a:off x="0" y="0"/>
                      <a:ext cx="5274000" cy="595652"/>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 启动命令与实际就绪输出</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3.1.2  Linux / macOS</w:t>
      </w:r>
      <w:r>
        <w:rPr>
          <w:rFonts w:ascii="宋体" w:hAnsi="宋体" w:cs="宋体" w:hint="eastAsia"/>
        </w:rPr>
        <w:t>启动</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打开终端，进入包含 </w:t>
      </w:r>
      <w:r>
        <w:rPr>
          <w:rFonts w:eastAsia="宋体" w:cs="Times New Roman" w:hint="eastAsia"/>
          <w:sz w:val="28"/>
          <w:szCs w:val="28"/>
        </w:rPr>
        <w:t xml:space="preserve">scripts </w:t>
      </w:r>
      <w:r>
        <w:rPr>
          <w:rFonts w:cs="Times New Roman" w:hint="eastAsia" w:eastAsia="宋体"/>
          <w:sz w:val="28"/>
          <w:szCs w:val="28"/>
        </w:rPr>
        <w:t xml:space="preserve">目录的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scripts/start.mjs adaptive</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启动成功后界面端口8102就绪。在浏览器打开http://127.0.0.1:8102，先核对顶部软件名称，再按后续说明连接接收端。图示为主界面上部的局部区域。</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098750"/>
            <wp:docPr id="25" name="Picture 25"/>
            <wp:cNvGraphicFramePr>
              <a:graphicFrameLocks noChangeAspect="1"/>
            </wp:cNvGraphicFramePr>
            <a:graphic>
              <a:graphicData uri="http://schemas.openxmlformats.org/drawingml/2006/picture">
                <pic:pic>
                  <pic:nvPicPr>
                    <pic:cNvPr id="0" name="overview.png"/>
                    <pic:cNvPicPr/>
                  </pic:nvPicPr>
                  <pic:blipFill>
                    <a:blip r:embed="rId34"/>
                    <a:stretch>
                      <a:fillRect/>
                    </a:stretch>
                  </pic:blipFill>
                  <pic:spPr>
                    <a:xfrm>
                      <a:off x="0" y="0"/>
                      <a:ext cx="5274000" cy="109875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 xml:space="preserve">图 </w:t>
      </w:r>
      <w:r>
        <w:rPr>
          <w:rFonts w:eastAsia="宋体" w:cs="Times New Roman" w:hint="eastAsia"/>
        </w:rPr>
        <w:t xml:space="preserve">3-2  </w:t>
      </w:r>
      <w:r>
        <w:rPr>
          <w:rFonts w:cs="Times New Roman" w:hint="eastAsia" w:eastAsia="宋体"/>
        </w:rPr>
        <w:t>启动成功</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若启动过程中提示后端未就绪，请确认本机已安装 </w:t>
      </w:r>
      <w:r>
        <w:rPr>
          <w:rFonts w:eastAsia="宋体" w:cs="Times New Roman" w:hint="eastAsia"/>
          <w:sz w:val="28"/>
          <w:szCs w:val="28"/>
        </w:rPr>
        <w:t xml:space="preserve">Java 17 </w:t>
      </w:r>
      <w:r>
        <w:rPr>
          <w:rFonts w:cs="Times New Roman" w:hint="eastAsia" w:eastAsia="宋体"/>
          <w:sz w:val="28"/>
          <w:szCs w:val="28"/>
        </w:rPr>
        <w:t xml:space="preserve">及以上与 </w:t>
      </w:r>
      <w:r>
        <w:rPr>
          <w:rFonts w:eastAsia="宋体" w:cs="Times New Roman" w:hint="eastAsia"/>
          <w:sz w:val="28"/>
          <w:szCs w:val="28"/>
        </w:rPr>
        <w:t xml:space="preserve">Node.js 18.17 </w:t>
      </w:r>
      <w:r>
        <w:rPr>
          <w:rFonts w:cs="Times New Roman" w:hint="eastAsia" w:eastAsia="宋体"/>
          <w:sz w:val="28"/>
          <w:szCs w:val="28"/>
        </w:rPr>
        <w:t xml:space="preserve">及以上运行环境，并确认 </w:t>
      </w:r>
      <w:r>
        <w:rPr>
          <w:rFonts w:eastAsia="宋体" w:cs="Times New Roman" w:hint="eastAsia"/>
          <w:sz w:val="28"/>
          <w:szCs w:val="28"/>
        </w:rPr>
        <w:t>8102</w:t>
      </w:r>
      <w:r>
        <w:rPr>
          <w:rFonts w:cs="Times New Roman" w:hint="eastAsia" w:eastAsia="宋体"/>
          <w:sz w:val="28"/>
          <w:szCs w:val="28"/>
        </w:rPr>
        <w:t>、</w:t>
      </w:r>
      <w:r>
        <w:rPr>
          <w:rFonts w:eastAsia="宋体" w:cs="Times New Roman" w:hint="eastAsia"/>
          <w:sz w:val="28"/>
          <w:szCs w:val="28"/>
        </w:rPr>
        <w:t>8202</w:t>
      </w:r>
      <w:r>
        <w:rPr>
          <w:rFonts w:cs="Times New Roman" w:hint="eastAsia" w:eastAsia="宋体"/>
          <w:sz w:val="28"/>
          <w:szCs w:val="28"/>
        </w:rPr>
        <w:t>、</w:t>
      </w:r>
      <w:r>
        <w:rPr>
          <w:rFonts w:eastAsia="宋体" w:cs="Times New Roman" w:hint="eastAsia"/>
          <w:sz w:val="28"/>
          <w:szCs w:val="28"/>
        </w:rPr>
        <w:t xml:space="preserve">8302 </w:t>
      </w:r>
      <w:r>
        <w:rPr>
          <w:rFonts w:cs="Times New Roman" w:hint="eastAsia" w:eastAsia="宋体"/>
          <w:sz w:val="28"/>
          <w:szCs w:val="28"/>
        </w:rPr>
        <w:t xml:space="preserve">三个端口未被其他程序占用。在桌面电脑浏览器打开对应界面端口。云环境使用本地请求及浏览器自动化验证，不提供云端 </w:t>
      </w:r>
      <w:r>
        <w:rPr>
          <w:rFonts w:eastAsia="宋体" w:cs="Times New Roman" w:hint="eastAsia"/>
          <w:sz w:val="28"/>
          <w:szCs w:val="28"/>
        </w:rPr>
        <w:t xml:space="preserve">localhost </w:t>
      </w:r>
      <w:r>
        <w:rPr>
          <w:rFonts w:cs="Times New Roman" w:hint="eastAsia" w:eastAsia="宋体"/>
          <w:sz w:val="28"/>
          <w:szCs w:val="28"/>
        </w:rPr>
        <w:t>预览链接。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3.1.3  </w:t>
      </w:r>
      <w:r>
        <w:rPr>
          <w:rFonts w:ascii="宋体" w:hAnsi="宋体" w:cs="宋体" w:hint="eastAsia"/>
        </w:rPr>
        <w:t>停止软件</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Windows</w:t>
      </w:r>
      <w:r>
        <w:rPr>
          <w:rFonts w:cs="Times New Roman" w:hint="eastAsia" w:eastAsia="宋体"/>
          <w:sz w:val="28"/>
          <w:szCs w:val="28"/>
        </w:rPr>
        <w:t xml:space="preserve">：双击 </w:t>
      </w:r>
      <w:r>
        <w:rPr>
          <w:rFonts w:eastAsia="宋体" w:cs="Times New Roman" w:hint="eastAsia"/>
          <w:sz w:val="28"/>
          <w:szCs w:val="28"/>
        </w:rPr>
        <w:t>apps/adaptive/</w:t>
      </w:r>
      <w:r>
        <w:rPr>
          <w:rFonts w:cs="Times New Roman" w:hint="eastAsia" w:eastAsia="宋体"/>
          <w:sz w:val="28"/>
          <w:szCs w:val="28"/>
        </w:rPr>
        <w:t>关闭</w:t>
      </w:r>
      <w:r>
        <w:rPr>
          <w:rFonts w:eastAsia="宋体" w:cs="Times New Roman" w:hint="eastAsia"/>
          <w:sz w:val="28"/>
          <w:szCs w:val="28"/>
        </w:rPr>
        <w:t>.bat</w:t>
      </w:r>
      <w:r>
        <w:rPr>
          <w:rFonts w:cs="Times New Roman" w:hint="eastAsia" w:eastAsia="宋体"/>
          <w:sz w:val="28"/>
          <w:szCs w:val="28"/>
        </w:rPr>
        <w:t>。</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Linux / macOS</w:t>
      </w:r>
      <w:r>
        <w:rPr>
          <w:rFonts w:cs="Times New Roman" w:hint="eastAsia" w:eastAsia="宋体"/>
          <w:sz w:val="28"/>
          <w:szCs w:val="28"/>
        </w:rPr>
        <w:t xml:space="preserve">：在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scripts/stop.mjs adaptive</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关闭前建议先停止正在进行的任务，并确认需要保留的接收文件已写入磁盘。不要直接删除 </w:t>
      </w:r>
      <w:r>
        <w:rPr>
          <w:rFonts w:eastAsia="宋体" w:cs="Times New Roman" w:hint="eastAsia"/>
          <w:sz w:val="28"/>
          <w:szCs w:val="28"/>
        </w:rPr>
        <w:t xml:space="preserve">runtime/adaptive </w:t>
      </w:r>
      <w:r>
        <w:rPr>
          <w:rFonts w:cs="Times New Roman" w:hint="eastAsia" w:eastAsia="宋体"/>
          <w:sz w:val="28"/>
          <w:szCs w:val="28"/>
        </w:rPr>
        <w:t>目录来代替正常停止。</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3.1.4  </w:t>
      </w:r>
      <w:r>
        <w:rPr>
          <w:rFonts w:ascii="宋体" w:hAnsi="宋体" w:cs="宋体" w:hint="eastAsia"/>
        </w:rPr>
        <w:t>单独启动接收端</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在接收计算机上，</w:t>
      </w:r>
      <w:r>
        <w:rPr>
          <w:rFonts w:eastAsia="宋体" w:cs="Times New Roman" w:hint="eastAsia"/>
          <w:sz w:val="28"/>
          <w:szCs w:val="28"/>
        </w:rPr>
        <w:t xml:space="preserve">Windows </w:t>
      </w:r>
      <w:r>
        <w:rPr>
          <w:rFonts w:cs="Times New Roman" w:hint="eastAsia" w:eastAsia="宋体"/>
          <w:sz w:val="28"/>
          <w:szCs w:val="28"/>
        </w:rPr>
        <w:t xml:space="preserve">可双击 </w:t>
      </w:r>
      <w:r>
        <w:rPr>
          <w:rFonts w:eastAsia="宋体" w:cs="Times New Roman" w:hint="eastAsia"/>
          <w:sz w:val="28"/>
          <w:szCs w:val="28"/>
        </w:rPr>
        <w:t>apps/adaptive/</w:t>
      </w:r>
      <w:r>
        <w:rPr>
          <w:rFonts w:cs="Times New Roman" w:hint="eastAsia" w:eastAsia="宋体"/>
          <w:sz w:val="28"/>
          <w:szCs w:val="28"/>
        </w:rPr>
        <w:t>接收端启动</w:t>
      </w:r>
      <w:r>
        <w:rPr>
          <w:rFonts w:eastAsia="宋体" w:cs="Times New Roman" w:hint="eastAsia"/>
          <w:sz w:val="28"/>
          <w:szCs w:val="28"/>
        </w:rPr>
        <w:t>.bat</w:t>
      </w:r>
      <w:r>
        <w:rPr>
          <w:rFonts w:cs="Times New Roman" w:hint="eastAsia" w:eastAsia="宋体"/>
          <w:sz w:val="28"/>
          <w:szCs w:val="28"/>
        </w:rPr>
        <w:t>；</w:t>
      </w:r>
      <w:r>
        <w:rPr>
          <w:rFonts w:eastAsia="宋体" w:cs="Times New Roman" w:hint="eastAsia"/>
          <w:sz w:val="28"/>
          <w:szCs w:val="28"/>
        </w:rPr>
        <w:t xml:space="preserve">Linux / macOS </w:t>
      </w:r>
      <w:r>
        <w:rPr>
          <w:rFonts w:cs="Times New Roman" w:hint="eastAsia" w:eastAsia="宋体"/>
          <w:sz w:val="28"/>
          <w:szCs w:val="28"/>
        </w:rPr>
        <w:t>在交付根目录执行：</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scripts/receiver.mjs adaptive</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单独启动接收端只运行接收网关，不会打开完整分析软件。接收服务运行后，在发送端填写接收机实际IP和端口，并检查通信状态。图示为本机接收状态接口的实际响应。</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166233" cy="1872000"/>
            <wp:docPr id="26" name="Picture 26"/>
            <wp:cNvGraphicFramePr>
              <a:graphicFrameLocks noChangeAspect="1"/>
            </wp:cNvGraphicFramePr>
            <a:graphic>
              <a:graphicData uri="http://schemas.openxmlformats.org/drawingml/2006/picture">
                <pic:pic>
                  <pic:nvPicPr>
                    <pic:cNvPr id="0" name="receiver-check.png"/>
                    <pic:cNvPicPr/>
                  </pic:nvPicPr>
                  <pic:blipFill>
                    <a:blip r:embed="rId35"/>
                    <a:stretch>
                      <a:fillRect/>
                    </a:stretch>
                  </pic:blipFill>
                  <pic:spPr>
                    <a:xfrm>
                      <a:off x="0" y="0"/>
                      <a:ext cx="5166233"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图3-3 接收服务本地响应检查</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3.1.5  </w:t>
      </w:r>
      <w:r>
        <w:rPr>
          <w:rFonts w:ascii="宋体" w:hAnsi="宋体" w:cs="宋体" w:hint="eastAsia"/>
        </w:rPr>
        <w:t>启动失败时查看日志</w:t>
      </w:r>
    </w:p>
    <w:tbl>
      <w:tblPr>
        <w:tblW w:w="8522" w:type="dxa"/>
        <w:jc w:val="center"/>
        <w:tblInd w:w="0" w:type="dxa"/>
        <w:tblLayout w:type="fixed"/>
        <w:tblCellMar>
          <w:top w:w="0" w:type="dxa"/>
          <w:start w:w="108" w:type="dxa"/>
          <w:bottom w:w="0" w:type="dxa"/>
          <w:end w:w="108" w:type="dxa"/>
        </w:tblCellMar>
      </w:tblPr>
      <w:tblGrid>
        <w:gridCol w:w="4484"/>
        <w:gridCol w:w="4038"/>
      </w:tblGrid>
      <w:tr>
        <w:trPr/>
        <w:tc>
          <w:tcPr>
            <w:tcW w:w="4484"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日志文件</w:t>
            </w:r>
          </w:p>
        </w:tc>
        <w:tc>
          <w:tcPr>
            <w:tcW w:w="4038"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主要用途</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runtime/adaptive/backend.log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 xml:space="preserve">Java </w:t>
            </w:r>
            <w:r>
              <w:rPr>
                <w:rFonts w:ascii="宋体" w:hAnsi="宋体" w:cs="宋体" w:hint="eastAsia" w:eastAsia="宋体"/>
                <w:kern w:val="0"/>
                <w:sz w:val="18"/>
                <w:szCs w:val="22"/>
                <w:lang w:bidi="ar"/>
              </w:rPr>
              <w:t>后端启动、业务处理相关日志。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runtime/adaptive/receiver.log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独立接收服务相关日志。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runtime/adaptive/bridge.log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 xml:space="preserve">界面网关与业务 </w:t>
            </w:r>
            <w:r>
              <w:rPr>
                <w:rFonts w:eastAsia="宋体" w:cs="宋体" w:hint="eastAsia" w:ascii="宋体" w:hAnsi="宋体"/>
                <w:kern w:val="0"/>
                <w:sz w:val="18"/>
                <w:szCs w:val="22"/>
                <w:lang w:bidi="ar"/>
              </w:rPr>
              <w:t xml:space="preserve">API </w:t>
            </w:r>
            <w:r>
              <w:rPr>
                <w:rFonts w:ascii="宋体" w:hAnsi="宋体" w:cs="宋体" w:hint="eastAsia" w:eastAsia="宋体"/>
                <w:kern w:val="0"/>
                <w:sz w:val="18"/>
                <w:szCs w:val="22"/>
                <w:lang w:bidi="ar"/>
              </w:rPr>
              <w:t>日志。</w:t>
            </w:r>
          </w:p>
        </w:tc>
      </w:tr>
    </w:tbl>
    <w:p>
      <w:pPr>
        <w:pStyle w:val="Normal"/>
        <w:pageBreakBefore w:val="0"/>
        <w:ind w:firstLineChars="100" w:startChars="0" w:start="0" w:endChars="0" w:end="0"/>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3.2</w:t>
      </w:r>
      <w:r>
        <w:rPr>
          <w:rFonts w:ascii="宋体" w:hAnsi="宋体" w:cs="宋体" w:hint="eastAsia"/>
        </w:rPr>
        <w:t>主界面与基本操作</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3.2.1  </w:t>
      </w:r>
      <w:r>
        <w:rPr>
          <w:rFonts w:ascii="宋体" w:hAnsi="宋体" w:cs="宋体" w:hint="eastAsia"/>
        </w:rPr>
        <w:t>主界面区域</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主界面采用左、中、右布局。左侧为发送端配置，中部上方显示压缩率–总耗时分析，下方为当前推荐策略及任务队列，右侧为接收端状态。下图截取顶部与部分面板，具体操作区在后续分别展示。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098750"/>
            <wp:docPr id="27" name="Picture 27"/>
            <wp:cNvGraphicFramePr>
              <a:graphicFrameLocks noChangeAspect="1"/>
            </wp:cNvGraphicFramePr>
            <a:graphic>
              <a:graphicData uri="http://schemas.openxmlformats.org/drawingml/2006/picture">
                <pic:pic>
                  <pic:nvPicPr>
                    <pic:cNvPr id="0" name="overview.png"/>
                    <pic:cNvPicPr/>
                  </pic:nvPicPr>
                  <pic:blipFill>
                    <a:blip r:embed="rId34"/>
                    <a:stretch>
                      <a:fillRect/>
                    </a:stretch>
                  </pic:blipFill>
                  <pic:spPr>
                    <a:xfrm>
                      <a:off x="0" y="0"/>
                      <a:ext cx="5274000" cy="109875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图3-4 主界面布局局部</w:t>
      </w:r>
    </w:p>
    <w:tbl>
      <w:tblPr>
        <w:tblW w:w="8522" w:type="dxa"/>
        <w:jc w:val="center"/>
        <w:tblInd w:w="0" w:type="dxa"/>
        <w:tblLayout w:type="fixed"/>
        <w:tblCellMar>
          <w:top w:w="0" w:type="dxa"/>
          <w:start w:w="108" w:type="dxa"/>
          <w:bottom w:w="0" w:type="dxa"/>
          <w:end w:w="108" w:type="dxa"/>
        </w:tblCellMar>
      </w:tblPr>
      <w:tblGrid>
        <w:gridCol w:w="4247"/>
        <w:gridCol w:w="4275"/>
      </w:tblGrid>
      <w:tr>
        <w:trPr/>
        <w:tc>
          <w:tcPr>
            <w:tcW w:w="4247"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区域</w:t>
            </w:r>
          </w:p>
        </w:tc>
        <w:tc>
          <w:tcPr>
            <w:tcW w:w="4275"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发送端配置</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选择数据包、压缩控制模式、算法、级别和优先级，并提交任务。</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压缩分析</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展示压缩率与总耗时分析。</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接收端状态</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配置接收地址、连接和断开，并核对通信状态。</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任务队列</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查看任务记录、进程、恢复文件及目录。</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策略字段</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阅读控制模式、算法、级别、数据类型、收益和决策依据。</w:t>
            </w:r>
          </w:p>
        </w:tc>
      </w:tr>
    </w:tbl>
    <w:p>
      <w:pPr>
        <w:pStyle w:val="Normal"/>
        <w:pageBreakBefore w:val="0"/>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3.2.2  </w:t>
      </w:r>
      <w:r>
        <w:rPr>
          <w:rFonts w:ascii="宋体" w:hAnsi="宋体" w:cs="宋体" w:hint="eastAsia"/>
        </w:rPr>
        <w:t>查看关键指标</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压缩分析图下方显示推荐压缩率、对应总耗时、推荐区间耗时降幅与当前算法。这些字段用于读取当前曲线结论；其中推荐区间按现有界面标示，不能视为已经遍历所有参数得到的全局最优区间。图中只截取该摘要区域。</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429800"/>
            <wp:docPr id="28" name="Picture 28"/>
            <wp:cNvGraphicFramePr>
              <a:graphicFrameLocks noChangeAspect="1"/>
            </wp:cNvGraphicFramePr>
            <a:graphic>
              <a:graphicData uri="http://schemas.openxmlformats.org/drawingml/2006/picture">
                <pic:pic>
                  <pic:nvPicPr>
                    <pic:cNvPr id="0" name="metrics.png"/>
                    <pic:cNvPicPr/>
                  </pic:nvPicPr>
                  <pic:blipFill>
                    <a:blip r:embed="rId36"/>
                    <a:stretch>
                      <a:fillRect/>
                    </a:stretch>
                  </pic:blipFill>
                  <pic:spPr>
                    <a:xfrm>
                      <a:off x="0" y="0"/>
                      <a:ext cx="5274000" cy="4298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3-5</w:t>
      </w:r>
      <w:r>
        <w:rPr>
          <w:rFonts w:cs="Times New Roman" w:hint="eastAsia" w:eastAsia="宋体"/>
        </w:rPr>
        <w:t>关键指标实时监测</w:t>
      </w:r>
    </w:p>
    <w:tbl>
      <w:tblPr>
        <w:tblW w:w="8522" w:type="dxa"/>
        <w:jc w:val="center"/>
        <w:tblInd w:w="0" w:type="dxa"/>
        <w:tblLayout w:type="fixed"/>
        <w:tblCellMar>
          <w:top w:w="0" w:type="dxa"/>
          <w:start w:w="108" w:type="dxa"/>
          <w:bottom w:w="0" w:type="dxa"/>
          <w:end w:w="108" w:type="dxa"/>
        </w:tblCellMar>
      </w:tblPr>
      <w:tblGrid>
        <w:gridCol w:w="2401"/>
        <w:gridCol w:w="6121"/>
      </w:tblGrid>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指标名称</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含义说明</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推荐压缩率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当前界面标示的推荐区间，不代表穷举得到的全局最优参数。</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对应总耗时</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推荐区域对应的曲线时间结果，单位为秒。</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推荐区间耗时降幅</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相对曲线基线的耗时下降比例；需与实际任务统计区分。</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当前算法</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当前任务执行或已选算法；需结合控制模式解读。</w:t>
            </w:r>
          </w:p>
        </w:tc>
      </w:tr>
    </w:tbl>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3.2.3  </w:t>
      </w:r>
      <w:r>
        <w:rPr>
          <w:rFonts w:ascii="宋体" w:hAnsi="宋体" w:cs="宋体" w:hint="eastAsia"/>
        </w:rPr>
        <w:t>选择和查看任务</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中部下方的传输任务队列列出任务名称、优先级、策略、进度及文件操作入口。点击任务名称选择该任务，并进入详细传输页查看进程；详细页可返回软件首页。图示只截取任务队列。</w:t>
      </w:r>
    </w:p>
    <w:p>
      <w:pPr>
        <w:pStyle w:val="Normal"/>
        <w:keepNext/>
        <w:keepLines w:val="false"/>
        <w:pageBreakBefore w:val="0"/>
        <w:widowControl/>
        <w:suppressLineNumbers w:val="0"/>
        <w:spacing w:lineRule="auto" w:line="240" w:before="80" w:after="60"/>
        <w:jc w:val="center"/>
        <w:rPr>
          <w:rFonts w:ascii="宋体" w:hAnsi="宋体" w:eastAsia="宋体" w:cs="宋体" w:hint="eastAsia"/>
          <w:kern w:val="0"/>
          <w:sz w:val="24"/>
          <w:szCs w:val="22"/>
          <w:highlight w:val="none"/>
          <w:lang w:bidi="ar"/>
        </w:rPr>
      </w:pPr>
      <w:r>
        <w:rPr>
          <w:rFonts w:eastAsia="宋体" w:cs="宋体" w:hint="eastAsia" w:ascii="宋体" w:hAnsi="宋体"/>
        </w:rPr>
      </w:r>
      <w:r>
        <w:drawing>
          <wp:inline xmlns:a="http://schemas.openxmlformats.org/drawingml/2006/main">
            <wp:extent cx="5274000" cy="823515"/>
            <wp:docPr id="29" name="Picture 29"/>
            <wp:cNvGraphicFramePr>
              <a:graphicFrameLocks noChangeAspect="1"/>
            </wp:cNvGraphicFramePr>
            <a:graphic>
              <a:graphicData uri="http://schemas.openxmlformats.org/drawingml/2006/picture">
                <pic:pic>
                  <pic:nvPicPr>
                    <pic:cNvPr id="0" name="queue.png"/>
                    <pic:cNvPicPr/>
                  </pic:nvPicPr>
                  <pic:blipFill>
                    <a:blip r:embed="rId37"/>
                    <a:stretch>
                      <a:fillRect/>
                    </a:stretch>
                  </pic:blipFill>
                  <pic:spPr>
                    <a:xfrm>
                      <a:off x="0" y="0"/>
                      <a:ext cx="5274000" cy="823515"/>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3-6</w:t>
      </w:r>
      <w:r>
        <w:rPr>
          <w:rFonts w:cs="Times New Roman" w:hint="eastAsia" w:eastAsia="宋体"/>
        </w:rPr>
        <w:t>传输任务队列</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打开文件”列用于直接查看任务对应的文件内容，当任务为文件夹类型时该按钮置灰不可用；“打开文件夹”列用于在文件浏览器中打开任务所在目录。队列为空时显示“暂无传输任务”。队列每秒自动刷新，无需手动操作。</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 xml:space="preserve">3.3 </w:t>
      </w:r>
      <w:r>
        <w:rPr>
          <w:rFonts w:ascii="宋体" w:hAnsi="宋体" w:cs="宋体" w:hint="eastAsia"/>
        </w:rPr>
        <w:t>发送端配置</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在“发送端配置”面板中完成传输任务的参数设置。首先从“发送数据包”下拉框选择本次要传输的数据包。下拉框中列出已上传的文件与文件夹。选择后系统自动保存配置。</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压缩控制模式”提供“自动控制”与“手动控制”两个选项。选择自动控制时，压缩算法与压缩级别由系统依据链路状态与数据特征自动决策，下拉框显示为“系统自动选择最优算法”；选择手动控制时，用户可在“压缩算法”与“压缩级别”下拉框中指定具体算法与等级。“调度优先级”用于设定任务在网络拥塞时的调度次序，可选择高、中、低三档。如图所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243305" cy="1871999"/>
            <wp:docPr id="30" name="Picture 30"/>
            <wp:cNvGraphicFramePr>
              <a:graphicFrameLocks noChangeAspect="1"/>
            </wp:cNvGraphicFramePr>
            <a:graphic>
              <a:graphicData uri="http://schemas.openxmlformats.org/drawingml/2006/picture">
                <pic:pic>
                  <pic:nvPicPr>
                    <pic:cNvPr id="0" name="auto.png"/>
                    <pic:cNvPicPr/>
                  </pic:nvPicPr>
                  <pic:blipFill>
                    <a:blip r:embed="rId38"/>
                    <a:stretch>
                      <a:fillRect/>
                    </a:stretch>
                  </pic:blipFill>
                  <pic:spPr>
                    <a:xfrm>
                      <a:off x="0" y="0"/>
                      <a:ext cx="2243305" cy="1871999"/>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3-7</w:t>
      </w:r>
      <w:r>
        <w:rPr>
          <w:rFonts w:cs="Times New Roman" w:hint="eastAsia" w:eastAsia="宋体"/>
        </w:rPr>
        <w:t>自动控制模式</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1756893" cy="1872000"/>
            <wp:docPr id="31" name="Picture 31"/>
            <wp:cNvGraphicFramePr>
              <a:graphicFrameLocks noChangeAspect="1"/>
            </wp:cNvGraphicFramePr>
            <a:graphic>
              <a:graphicData uri="http://schemas.openxmlformats.org/drawingml/2006/picture">
                <pic:pic>
                  <pic:nvPicPr>
                    <pic:cNvPr id="0" name="manual.png"/>
                    <pic:cNvPicPr/>
                  </pic:nvPicPr>
                  <pic:blipFill>
                    <a:blip r:embed="rId39"/>
                    <a:stretch>
                      <a:fillRect/>
                    </a:stretch>
                  </pic:blipFill>
                  <pic:spPr>
                    <a:xfrm>
                      <a:off x="0" y="0"/>
                      <a:ext cx="1756893"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3-8</w:t>
      </w:r>
      <w:r>
        <w:rPr>
          <w:rFonts w:cs="Times New Roman" w:hint="eastAsia" w:eastAsia="宋体"/>
        </w:rPr>
        <w:t>手动控制模式</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手动模式中可选算法和级别由当前接口选项决定，列表如图。不同算法的同一数字等级不代表相同的压缩强度；不压缩方案与无级别算法按其界面选项执行。</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742993"/>
            <wp:docPr id="32" name="Picture 32"/>
            <wp:cNvGraphicFramePr>
              <a:graphicFrameLocks noChangeAspect="1"/>
            </wp:cNvGraphicFramePr>
            <a:graphic>
              <a:graphicData uri="http://schemas.openxmlformats.org/drawingml/2006/picture">
                <pic:pic>
                  <pic:nvPicPr>
                    <pic:cNvPr id="0" name="algorithms.png"/>
                    <pic:cNvPicPr/>
                  </pic:nvPicPr>
                  <pic:blipFill>
                    <a:blip r:embed="rId40"/>
                    <a:stretch>
                      <a:fillRect/>
                    </a:stretch>
                  </pic:blipFill>
                  <pic:spPr>
                    <a:xfrm>
                      <a:off x="0" y="0"/>
                      <a:ext cx="5274000" cy="1742993"/>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图3-9 当前接口支持的算法与级别</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面板下方的配置列表实时显示当前任务的发送端信息，包括文件名称、文件大小、所用压缩算法与调度优先级，如图所示。</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3028950" cy="1104900"/>
            <wp:docPr id="33" name="Picture 33"/>
            <wp:cNvGraphicFramePr>
              <a:graphicFrameLocks noChangeAspect="1"/>
            </wp:cNvGraphicFramePr>
            <a:graphic>
              <a:graphicData uri="http://schemas.openxmlformats.org/drawingml/2006/picture">
                <pic:pic>
                  <pic:nvPicPr>
                    <pic:cNvPr id="0" name="config.png"/>
                    <pic:cNvPicPr/>
                  </pic:nvPicPr>
                  <pic:blipFill>
                    <a:blip r:embed="rId41"/>
                    <a:stretch>
                      <a:fillRect/>
                    </a:stretch>
                  </pic:blipFill>
                  <pic:spPr>
                    <a:xfrm>
                      <a:off x="0" y="0"/>
                      <a:ext cx="3028950" cy="11049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3-10</w:t>
      </w:r>
      <w:r>
        <w:rPr>
          <w:rFonts w:cs="Times New Roman" w:hint="eastAsia" w:eastAsia="宋体"/>
        </w:rPr>
        <w:t>发送端配置列表显示</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配置完成后点击“开始传输”。运行中不可重复提交，可点击“暂停任务”并按任务状态继续。点击“重置”会取消仍在运行或暂停的当前任务并从当前显示集合隐藏，但不等于删除历史或接收文件；执行前请确认保留所需记录。图示只截取任务控制按钮。</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880000" cy="980426"/>
            <wp:docPr id="40" name="Picture 40"/>
            <wp:cNvGraphicFramePr>
              <a:graphicFrameLocks noChangeAspect="1"/>
            </wp:cNvGraphicFramePr>
            <a:graphic>
              <a:graphicData uri="http://schemas.openxmlformats.org/drawingml/2006/picture">
                <pic:pic>
                  <pic:nvPicPr>
                    <pic:cNvPr id="0" name="actions.png"/>
                    <pic:cNvPicPr/>
                  </pic:nvPicPr>
                  <pic:blipFill>
                    <a:blip r:embed="rId48"/>
                    <a:stretch>
                      <a:fillRect/>
                    </a:stretch>
                  </pic:blipFill>
                  <pic:spPr>
                    <a:xfrm>
                      <a:off x="0" y="0"/>
                      <a:ext cx="2880000" cy="980426"/>
                    </a:xfrm>
                    <a:prstGeom prst="rect"/>
                  </pic:spPr>
                </pic:pic>
              </a:graphicData>
            </a:graphic>
          </wp:inline>
        </w:drawing>
      </w:r>
    </w:p>
    <w:p>
      <w:pPr>
        <w:pStyle w:val="Normal"/>
        <w:keepNext w:val="0"/>
        <w:keepLines w:val="false"/>
        <w:pageBreakBefore w:val="0"/>
        <w:widowControl/>
        <w:suppressLineNumbers w:val="0"/>
        <w:ind w:hangingChars="200" w:startChars="1400" w:endChars="0" w:end="0"/>
        <w:jc w:val="center"/>
        <w:rPr>
          <w:rFonts w:eastAsia="宋体" w:cs="Times New Roman" w:hint="eastAsia"/>
          <w:highlight w:val="none"/>
        </w:rPr>
      </w:pPr>
      <w:r>
        <w:rPr>
          <w:rFonts w:cs="Times New Roman" w:hint="eastAsia" w:eastAsia="宋体"/>
        </w:rPr>
        <w:t>图3-10a 任务控制按钮</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3.3.1</w:t>
      </w:r>
      <w:r>
        <w:rPr>
          <w:rFonts w:ascii="宋体" w:hAnsi="宋体" w:cs="宋体" w:hint="eastAsia"/>
        </w:rPr>
        <w:t>数据接入方式</w:t>
      </w:r>
    </w:p>
    <w:p>
      <w:pPr>
        <w:pStyle w:val="Normal"/>
        <w:pageBreakBefore w:val="0"/>
        <w:ind w:firstLineChars="200" w:startChars="0" w:start="0" w:endChars="0" w:end="0"/>
        <w:rPr>
          <w:rFonts w:eastAsia="宋体" w:cs="Times New Roman" w:hint="eastAsia"/>
          <w:sz w:val="28"/>
          <w:szCs w:val="28"/>
          <w:highlight w:val="none"/>
        </w:rPr>
      </w:pPr>
      <w:r>
        <w:rPr>
          <w:rFonts w:cs="Times New Roman" w:hint="eastAsia" w:eastAsia="宋体"/>
          <w:sz w:val="28"/>
          <w:szCs w:val="28"/>
        </w:rPr>
        <w:t>本软件提供多种数据接入方式，适配工业现场多模态数据并存的场景。</w:t>
      </w:r>
    </w:p>
    <w:p>
      <w:pPr>
        <w:pStyle w:val="Normal"/>
        <w:keepNext/>
        <w:keepLines w:val="false"/>
        <w:pageBreakBefore w:val="0"/>
        <w:widowControl/>
        <w:suppressLineNumbers w:val="0"/>
        <w:spacing w:lineRule="auto" w:line="240" w:before="80" w:after="60"/>
        <w:jc w:val="center"/>
        <w:rPr>
          <w:rFonts w:ascii="宋体" w:hAnsi="宋体" w:eastAsia="宋体" w:cs="宋体" w:hint="eastAsia"/>
          <w:kern w:val="0"/>
          <w:sz w:val="24"/>
          <w:szCs w:val="22"/>
          <w:highlight w:val="none"/>
          <w:lang w:bidi="ar"/>
        </w:rPr>
      </w:pPr>
      <w:r>
        <w:rPr>
          <w:rFonts w:eastAsia="宋体" w:cs="宋体" w:hint="eastAsia" w:ascii="宋体" w:hAnsi="宋体"/>
        </w:rPr>
      </w:r>
      <w:r>
        <w:drawing>
          <wp:inline xmlns:a="http://schemas.openxmlformats.org/drawingml/2006/main">
            <wp:extent cx="2762250" cy="1295400"/>
            <wp:docPr id="34" name="Picture 34"/>
            <wp:cNvGraphicFramePr>
              <a:graphicFrameLocks noChangeAspect="1"/>
            </wp:cNvGraphicFramePr>
            <a:graphic>
              <a:graphicData uri="http://schemas.openxmlformats.org/drawingml/2006/picture">
                <pic:pic>
                  <pic:nvPicPr>
                    <pic:cNvPr id="0" name="ingress.png"/>
                    <pic:cNvPicPr/>
                  </pic:nvPicPr>
                  <pic:blipFill>
                    <a:blip r:embed="rId42"/>
                    <a:stretch>
                      <a:fillRect/>
                    </a:stretch>
                  </pic:blipFill>
                  <pic:spPr>
                    <a:xfrm>
                      <a:off x="0" y="0"/>
                      <a:ext cx="2762250" cy="12954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3-11</w:t>
      </w:r>
      <w:r>
        <w:rPr>
          <w:rFonts w:cs="Times New Roman" w:hint="eastAsia" w:eastAsia="宋体"/>
        </w:rPr>
        <w:t>数据接入方式</w:t>
      </w:r>
    </w:p>
    <w:p>
      <w:pPr>
        <w:pStyle w:val="Normal"/>
        <w:pageBreakBefore w:val="0"/>
        <w:ind w:firstLineChars="200" w:startChars="0" w:start="0" w:endChars="0" w:end="0"/>
        <w:rPr>
          <w:rFonts w:eastAsia="宋体" w:cs="Times New Roman" w:hint="eastAsia"/>
          <w:sz w:val="28"/>
          <w:szCs w:val="28"/>
          <w:highlight w:val="none"/>
        </w:rPr>
      </w:pPr>
      <w:r>
        <w:rPr>
          <w:rFonts w:eastAsia="宋体" w:cs="Times New Roman" w:hint="eastAsia"/>
          <w:sz w:val="28"/>
          <w:szCs w:val="28"/>
        </w:rPr>
        <w:t>1.</w:t>
      </w:r>
      <w:r>
        <w:rPr>
          <w:rFonts w:cs="Times New Roman" w:hint="eastAsia" w:eastAsia="宋体"/>
          <w:sz w:val="28"/>
          <w:szCs w:val="28"/>
        </w:rPr>
        <w:t>文件或文件夹接入</w:t>
      </w:r>
    </w:p>
    <w:p>
      <w:pPr>
        <w:pStyle w:val="Style19"/>
        <w:pageBreakBefore w:val="0"/>
        <w:widowControl/>
        <w:numPr>
          <w:ilvl w:val="0"/>
          <w:numId w:val="0"/>
        </w:numPr>
        <w:spacing w:before="100" w:after="100"/>
        <w:ind w:firstLineChars="2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在发送配置区域选择文件或文件夹输入方式。按界面提示选择待处理文件或目录，并确认下拉框中显示的是本次需要发送的数据。根据业务需要选择可用的压缩模式、压缩级别或任务优先级。提交任务后，在任务队列中观察任务状态与进度。任务结束后，按界面提供的文件查看或目录查看操作检查结果。</w:t>
      </w:r>
    </w:p>
    <w:p>
      <w:pPr>
        <w:pStyle w:val="Style19"/>
        <w:pageBreakBefore w:val="0"/>
        <w:widowControl/>
        <w:numPr>
          <w:ilvl w:val="0"/>
          <w:numId w:val="0"/>
        </w:numPr>
        <w:spacing w:before="100" w:after="100"/>
        <w:ind w:firstLineChars="3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注意：前端刷新后，原有文件选择项可能仍保留之前的值。每次提交任务前，请重新确认所选文件或文件夹。</w:t>
      </w:r>
    </w:p>
    <w:p>
      <w:pPr>
        <w:pStyle w:val="Normal"/>
        <w:keepNext w:val="false"/>
        <w:keepLines w:val="false"/>
        <w:pageBreakBefore w:val="0"/>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2.</w:t>
      </w:r>
      <w:r>
        <w:rPr>
          <w:rFonts w:eastAsia="宋体" w:cs="Times New Roman" w:hint="eastAsia"/>
          <w:kern w:val="2"/>
          <w:sz w:val="28"/>
          <w:szCs w:val="28"/>
          <w:lang w:eastAsia="en-US"/>
        </w:rPr>
        <w:t xml:space="preserve">API </w:t>
      </w:r>
      <w:r>
        <w:rPr>
          <w:rFonts w:ascii="Calibri" w:hAnsi="Calibri" w:cs="Times New Roman" w:hint="eastAsia" w:eastAsia="宋体"/>
          <w:kern w:val="2"/>
          <w:sz w:val="28"/>
          <w:szCs w:val="28"/>
          <w:lang w:eastAsia="en-US"/>
        </w:rPr>
        <w:t>回调接入</w:t>
      </w:r>
    </w:p>
    <w:p>
      <w:pPr>
        <w:pStyle w:val="Normal"/>
        <w:keepNext w:val="false"/>
        <w:keepLines w:val="false"/>
        <w:pageBreakBefore w:val="0"/>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业务数据接入入口为 </w:t>
      </w:r>
      <w:r>
        <w:rPr>
          <w:rFonts w:eastAsia="宋体" w:cs="Times New Roman" w:hint="eastAsia"/>
          <w:kern w:val="2"/>
          <w:sz w:val="28"/>
          <w:szCs w:val="28"/>
        </w:rPr>
        <w:t>POST /api/ingress/api-callback</w:t>
      </w:r>
      <w:r>
        <w:rPr>
          <w:rFonts w:ascii="Calibri" w:hAnsi="Calibri" w:cs="Times New Roman" w:hint="eastAsia" w:eastAsia="宋体"/>
          <w:kern w:val="2"/>
          <w:sz w:val="28"/>
          <w:szCs w:val="28"/>
        </w:rPr>
        <w:t xml:space="preserve">，由界面网关提供。它用于提交业务数据并形成传输任务。若配置了 </w:t>
      </w:r>
      <w:r>
        <w:rPr>
          <w:rFonts w:eastAsia="宋体" w:cs="Times New Roman" w:hint="eastAsia"/>
          <w:kern w:val="2"/>
          <w:sz w:val="28"/>
          <w:szCs w:val="28"/>
        </w:rPr>
        <w:t>INGRESS_TOKEN</w:t>
      </w:r>
      <w:r>
        <w:rPr>
          <w:rFonts w:ascii="Calibri" w:hAnsi="Calibri" w:cs="Times New Roman" w:hint="eastAsia" w:eastAsia="宋体"/>
          <w:kern w:val="2"/>
          <w:sz w:val="28"/>
          <w:szCs w:val="28"/>
        </w:rPr>
        <w:t xml:space="preserve">，外部请求必须携带 </w:t>
      </w:r>
      <w:r>
        <w:rPr>
          <w:rFonts w:eastAsia="宋体" w:cs="Times New Roman" w:hint="eastAsia"/>
          <w:kern w:val="2"/>
          <w:sz w:val="28"/>
          <w:szCs w:val="28"/>
        </w:rPr>
        <w:t xml:space="preserve">X-Ingress-Token </w:t>
      </w:r>
      <w:r>
        <w:rPr>
          <w:rFonts w:ascii="Calibri" w:hAnsi="Calibri" w:cs="Times New Roman" w:hint="eastAsia" w:eastAsia="宋体"/>
          <w:kern w:val="2"/>
          <w:sz w:val="28"/>
          <w:szCs w:val="28"/>
        </w:rPr>
        <w:t>请求头，未配置令牌时，非本地来源请求会被拒绝。</w:t>
      </w:r>
    </w:p>
    <w:p>
      <w:pPr>
        <w:pStyle w:val="Normal"/>
        <w:keepNext w:val="false"/>
        <w:keepLines w:val="false"/>
        <w:pageBreakBefore w:val="0"/>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请求的具体字段应以当前代码所接受的请求结构为准。接入前应在目标环境进行接口测试，并确认响应状态、任务是否进入队列及失败时的返回信息。</w:t>
      </w:r>
    </w:p>
    <w:p>
      <w:pPr>
        <w:pStyle w:val="Normal"/>
        <w:keepNext w:val="false"/>
        <w:keepLines w:val="false"/>
        <w:pageBreakBefore w:val="0"/>
        <w:widowControl/>
        <w:numPr>
          <w:ilvl w:val="0"/>
          <w:numId w:val="4"/>
        </w:numPr>
        <w:suppressLineNumbers w:val="0"/>
        <w:tabs>
          <w:tab w:val="clear" w:pos="420"/>
          <w:tab w:val="left" w:pos="312" w:leader="none"/>
        </w:tabs>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网络遥测数据接入</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网络遥测接口为POST /api/network/telemetry，由Java后端提供，默认端口8202。该接口提交网络样本，业务API回调则提交待传数据，两者不能混用。未接外部遥测时按当前配置使用内置动态采样或默认样本。</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请求体应符合当前后端 </w:t>
      </w:r>
      <w:r>
        <w:rPr>
          <w:rFonts w:eastAsia="宋体" w:cs="Times New Roman" w:hint="eastAsia"/>
          <w:kern w:val="2"/>
          <w:sz w:val="28"/>
          <w:szCs w:val="28"/>
        </w:rPr>
        <w:t xml:space="preserve">NetworkSample </w:t>
      </w:r>
      <w:r>
        <w:rPr>
          <w:rFonts w:ascii="Calibri" w:hAnsi="Calibri" w:cs="Times New Roman" w:hint="eastAsia" w:eastAsia="宋体"/>
          <w:kern w:val="2"/>
          <w:sz w:val="28"/>
          <w:szCs w:val="28"/>
        </w:rPr>
        <w:t>数据结构。请依据实际接口定义准备吞吐率、</w:t>
      </w:r>
      <w:r>
        <w:rPr>
          <w:rFonts w:eastAsia="宋体" w:cs="Times New Roman" w:hint="eastAsia"/>
          <w:kern w:val="2"/>
          <w:sz w:val="28"/>
          <w:szCs w:val="28"/>
        </w:rPr>
        <w:t>RTT</w:t>
      </w:r>
      <w:r>
        <w:rPr>
          <w:rFonts w:ascii="Calibri" w:hAnsi="Calibri" w:cs="Times New Roman" w:hint="eastAsia" w:eastAsia="宋体"/>
          <w:kern w:val="2"/>
          <w:sz w:val="28"/>
          <w:szCs w:val="28"/>
        </w:rPr>
        <w:t>、抖动、丢包率、连接状态及链路质量等字段。接入后需检查主页面显示是否随外部样本更新。</w:t>
      </w:r>
    </w:p>
    <w:p>
      <w:pPr>
        <w:pStyle w:val="Normal"/>
        <w:keepNext w:val="false"/>
        <w:keepLines w:val="false"/>
        <w:pageBreakBefore w:val="0"/>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4.</w:t>
      </w:r>
      <w:r>
        <w:rPr>
          <w:rFonts w:ascii="Calibri" w:hAnsi="Calibri" w:cs="Times New Roman" w:hint="eastAsia" w:eastAsia="宋体"/>
          <w:kern w:val="2"/>
          <w:sz w:val="28"/>
          <w:szCs w:val="28"/>
        </w:rPr>
        <w:t>消息队列接入</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选择“消息队列流式传输”后点击“开始接入”，按提示选择文件或文件夹。接入需要可达的RabbitMQ代理；系统先进行连接检查，再发布和消费数据以登记数据包。接入结束后仍应核对发送数据包并开始任务，不能把接入进度当作最终接收进度。</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消息队列接入需要可访问的 </w:t>
      </w:r>
      <w:r>
        <w:rPr>
          <w:rFonts w:eastAsia="宋体" w:cs="Times New Roman" w:hint="eastAsia"/>
          <w:kern w:val="2"/>
          <w:sz w:val="28"/>
          <w:szCs w:val="28"/>
        </w:rPr>
        <w:t>RabbitMQ Broker</w:t>
      </w:r>
      <w:r>
        <w:rPr>
          <w:rFonts w:ascii="Calibri" w:hAnsi="Calibri" w:cs="Times New Roman" w:hint="eastAsia" w:eastAsia="宋体"/>
          <w:kern w:val="2"/>
          <w:sz w:val="28"/>
          <w:szCs w:val="28"/>
        </w:rPr>
        <w:t xml:space="preserve">。默认连接地址为 </w:t>
      </w:r>
      <w:r>
        <w:rPr>
          <w:rFonts w:eastAsia="宋体" w:cs="Times New Roman" w:hint="eastAsia"/>
          <w:kern w:val="2"/>
          <w:sz w:val="28"/>
          <w:szCs w:val="28"/>
        </w:rPr>
        <w:t>amqp://guest:guest@127.0.0.1:5672</w:t>
      </w:r>
      <w:r>
        <w:rPr>
          <w:rFonts w:ascii="Calibri" w:hAnsi="Calibri" w:cs="Times New Roman" w:hint="eastAsia" w:eastAsia="宋体"/>
          <w:kern w:val="2"/>
          <w:sz w:val="28"/>
          <w:szCs w:val="28"/>
        </w:rPr>
        <w:t xml:space="preserve">，默认队列为 </w:t>
      </w:r>
      <w:r>
        <w:rPr>
          <w:rFonts w:eastAsia="宋体" w:cs="Times New Roman" w:hint="eastAsia"/>
          <w:kern w:val="2"/>
          <w:sz w:val="28"/>
          <w:szCs w:val="28"/>
        </w:rPr>
        <w:t>datacompress.message.queue</w:t>
      </w:r>
      <w:r>
        <w:rPr>
          <w:rFonts w:ascii="Calibri" w:hAnsi="Calibri" w:cs="Times New Roman" w:hint="eastAsia" w:eastAsia="宋体"/>
          <w:kern w:val="2"/>
          <w:sz w:val="28"/>
          <w:szCs w:val="28"/>
        </w:rPr>
        <w:t xml:space="preserve">。部署前可设置 </w:t>
      </w:r>
      <w:r>
        <w:rPr>
          <w:rFonts w:eastAsia="宋体" w:cs="Times New Roman" w:hint="eastAsia"/>
          <w:kern w:val="2"/>
          <w:sz w:val="28"/>
          <w:szCs w:val="28"/>
        </w:rPr>
        <w:t xml:space="preserve">RABBITMQ_URL </w:t>
      </w:r>
      <w:r>
        <w:rPr>
          <w:rFonts w:ascii="Calibri" w:hAnsi="Calibri" w:cs="Times New Roman" w:hint="eastAsia" w:eastAsia="宋体"/>
          <w:kern w:val="2"/>
          <w:sz w:val="28"/>
          <w:szCs w:val="28"/>
        </w:rPr>
        <w:t xml:space="preserve">和 </w:t>
      </w:r>
      <w:r>
        <w:rPr>
          <w:rFonts w:eastAsia="宋体" w:cs="Times New Roman" w:hint="eastAsia"/>
          <w:kern w:val="2"/>
          <w:sz w:val="28"/>
          <w:szCs w:val="28"/>
        </w:rPr>
        <w:t>RABBITMQ_QUEUE</w:t>
      </w:r>
      <w:r>
        <w:rPr>
          <w:rFonts w:ascii="Calibri" w:hAnsi="Calibri" w:cs="Times New Roman" w:hint="eastAsia" w:eastAsia="宋体"/>
          <w:kern w:val="2"/>
          <w:sz w:val="28"/>
          <w:szCs w:val="28"/>
        </w:rPr>
        <w:t>。</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如果 </w:t>
      </w:r>
      <w:r>
        <w:rPr>
          <w:rFonts w:eastAsia="宋体" w:cs="Times New Roman" w:hint="eastAsia"/>
          <w:kern w:val="2"/>
          <w:sz w:val="28"/>
          <w:szCs w:val="28"/>
        </w:rPr>
        <w:t xml:space="preserve">Broker </w:t>
      </w:r>
      <w:r>
        <w:rPr>
          <w:rFonts w:ascii="Calibri" w:hAnsi="Calibri" w:cs="Times New Roman" w:hint="eastAsia" w:eastAsia="宋体"/>
          <w:kern w:val="2"/>
          <w:sz w:val="28"/>
          <w:szCs w:val="28"/>
        </w:rPr>
        <w:t>位于其他计算机，应将连接地址改为实际可访问地址，并确认网络、防火墙、账号权限和队列配置正确。多个软件实例并行使用消息队列时，应按业务需要配置独立队列，避免共用默认队列造成数据混杂。</w:t>
      </w:r>
    </w:p>
    <w:p>
      <w:pPr>
        <w:pStyle w:val="Heading2"/>
        <w:pageBreakBefore w:val="0"/>
        <w:ind w:hanging="0" w:start="0"/>
        <w:rPr>
          <w:rFonts w:ascii="宋体" w:hAnsi="宋体" w:eastAsia="宋体" w:cs="宋体" w:hint="eastAsia"/>
          <w:highlight w:val="none"/>
        </w:rPr>
      </w:pPr>
      <w:r>
        <w:rPr>
          <w:rFonts w:eastAsia="宋体" w:cs="宋体" w:hint="eastAsia" w:ascii="宋体" w:hAnsi="宋体"/>
        </w:rPr>
        <w:t>3.4压缩传输决策与优化</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先查看“压缩率–总耗时分析”。横轴为压缩率，纵轴为总耗时（秒）；移动鼠标可读取曲线点。比较时应同时考虑压缩、传输和解压成本，不能仅因压缩率较低就判定方案更快。图示为该分析面板局部。</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752159"/>
            <wp:docPr id="35" name="Picture 35"/>
            <wp:cNvGraphicFramePr>
              <a:graphicFrameLocks noChangeAspect="1"/>
            </wp:cNvGraphicFramePr>
            <a:graphic>
              <a:graphicData uri="http://schemas.openxmlformats.org/drawingml/2006/picture">
                <pic:pic>
                  <pic:nvPicPr>
                    <pic:cNvPr id="0" name="feature.png"/>
                    <pic:cNvPicPr/>
                  </pic:nvPicPr>
                  <pic:blipFill>
                    <a:blip r:embed="rId43"/>
                    <a:stretch>
                      <a:fillRect/>
                    </a:stretch>
                  </pic:blipFill>
                  <pic:spPr>
                    <a:xfrm>
                      <a:off x="0" y="0"/>
                      <a:ext cx="5274000" cy="1752159"/>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图3-12 压缩率与总耗时分析</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当前推荐策略”依次显示控制模式、当前算法、级别、识别数据类型、压缩收益、优先级和决策依据。手动控制时，当前算法和级别反映指定执行设置；自动控制时，由系统依据当前数据与链路评估。请同时核对控制模式，不能只看面板标题就认为手动参数已自动改变。</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4676116" cy="1872000"/>
            <wp:docPr id="36" name="Picture 36"/>
            <wp:cNvGraphicFramePr>
              <a:graphicFrameLocks noChangeAspect="1"/>
            </wp:cNvGraphicFramePr>
            <a:graphic>
              <a:graphicData uri="http://schemas.openxmlformats.org/drawingml/2006/picture">
                <pic:pic>
                  <pic:nvPicPr>
                    <pic:cNvPr id="0" name="recommendation.png"/>
                    <pic:cNvPicPr/>
                  </pic:nvPicPr>
                  <pic:blipFill>
                    <a:blip r:embed="rId44"/>
                    <a:stretch>
                      <a:fillRect/>
                    </a:stretch>
                  </pic:blipFill>
                  <pic:spPr>
                    <a:xfrm>
                      <a:off x="0" y="0"/>
                      <a:ext cx="4676116" cy="1872000"/>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图3-13 当前推荐策略字段</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读取策略时，先确认原始数据包、控制模式和网络条件，再观察收益与决策依据。曲线摘要中的时间估计用于方案比较；任务完成后的实际压缩量和耗时应在效果页核对。下图截取策略字段，不将分析估算写成已完成测量结果。</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1809262"/>
            <wp:docPr id="37" name="Picture 37"/>
            <wp:cNvGraphicFramePr>
              <a:graphicFrameLocks noChangeAspect="1"/>
            </wp:cNvGraphicFramePr>
            <a:graphic>
              <a:graphicData uri="http://schemas.openxmlformats.org/drawingml/2006/picture">
                <pic:pic>
                  <pic:nvPicPr>
                    <pic:cNvPr id="0" name="feature-details.png"/>
                    <pic:cNvPicPr/>
                  </pic:nvPicPr>
                  <pic:blipFill>
                    <a:blip r:embed="rId45"/>
                    <a:stretch>
                      <a:fillRect/>
                    </a:stretch>
                  </pic:blipFill>
                  <pic:spPr>
                    <a:xfrm>
                      <a:off x="0" y="0"/>
                      <a:ext cx="5274000" cy="1809262"/>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图3-14 策略详情局部</w:t>
      </w:r>
    </w:p>
    <w:p>
      <w:pPr>
        <w:pStyle w:val="Normal"/>
        <w:keepNext/>
        <w:keepLines w:val="false"/>
        <w:pageBreakBefore w:val="0"/>
        <w:widowControl/>
        <w:suppressLineNumbers w:val="0"/>
        <w:spacing w:lineRule="auto" w:line="360" w:before="0" w:after="80"/>
        <w:ind w:firstLine="480" w:end="0"/>
        <w:jc w:val="start"/>
        <w:rPr>
          <w:rFonts w:ascii="宋体" w:hAnsi="宋体" w:eastAsia="宋体" w:cs="宋体" w:hint="eastAsia"/>
          <w:highlight w:val="none"/>
        </w:rPr>
      </w:pPr>
      <w:r>
        <w:rPr>
          <w:rFonts w:ascii="宋体" w:hAnsi="宋体" w:cs="宋体" w:hint="eastAsia" w:eastAsia="宋体"/>
          <w:kern w:val="0"/>
          <w:sz w:val="24"/>
          <w:szCs w:val="22"/>
          <w:lang w:bidi="ar"/>
        </w:rPr>
        <w:t>需要核对执行过程时，访问本系统/transmission详细页。进度区提供百分比、阶段状态、帧数、已传输量及当前速率。达到100%后还应核对最终状态和完整性校验；下图只截取进度区域。</w:t>
      </w:r>
    </w:p>
    <w:p>
      <w:pPr>
        <w:pStyle w:val="Normal"/>
        <w:keepNext/>
        <w:keepLines w:val="false"/>
        <w:pageBreakBefore w:val="0"/>
        <w:widowControl/>
        <w:suppressLineNumbers w:val="0"/>
        <w:spacing w:lineRule="auto" w:line="240" w:before="80" w:after="60"/>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5274000" cy="769125"/>
            <wp:docPr id="38" name="Picture 38"/>
            <wp:cNvGraphicFramePr>
              <a:graphicFrameLocks noChangeAspect="1"/>
            </wp:cNvGraphicFramePr>
            <a:graphic>
              <a:graphicData uri="http://schemas.openxmlformats.org/drawingml/2006/picture">
                <pic:pic>
                  <pic:nvPicPr>
                    <pic:cNvPr id="0" name="progress.png"/>
                    <pic:cNvPicPr/>
                  </pic:nvPicPr>
                  <pic:blipFill>
                    <a:blip r:embed="rId46"/>
                    <a:stretch>
                      <a:fillRect/>
                    </a:stretch>
                  </pic:blipFill>
                  <pic:spPr>
                    <a:xfrm>
                      <a:off x="0" y="0"/>
                      <a:ext cx="5274000" cy="769125"/>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eastAsia="宋体" w:cs="Times New Roman" w:hint="eastAsia"/>
        </w:rPr>
        <w:t xml:space="preserve"> </w:t>
      </w:r>
      <w:r>
        <w:rPr>
          <w:rFonts w:cs="Times New Roman" w:hint="eastAsia" w:eastAsia="宋体"/>
        </w:rPr>
        <w:t>图</w:t>
      </w:r>
      <w:r>
        <w:rPr>
          <w:rFonts w:eastAsia="宋体" w:cs="Times New Roman" w:hint="eastAsia"/>
        </w:rPr>
        <w:t>3-15</w:t>
      </w:r>
      <w:r>
        <w:rPr>
          <w:rFonts w:cs="Times New Roman" w:hint="eastAsia" w:eastAsia="宋体"/>
        </w:rPr>
        <w:t>传输进度与阶段状态</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压缩画像的读取与使用：后端针对代表样本执行候选算法的压缩与解压，检查恢复一致后记录压缩比例和单位字节耗时。候选集合会随数据是否已压缩、优先级和控制模式变化。已经压缩的数据可能选择不再压缩，这是减少额外处理成本的正常结果。</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总耗时的理解：估算传输成本随安全速率下降而增加，压缩和解压成本则取决于数据与算法。强压缩可能减少发送字节，但若处理耗时超过节约的传输时间，总耗时可能上升。分析时应保持相同数据、相近网络条件和相同任务口径。</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策略切换的理解：当前方案仍可用时，系统比较其与候选方案的预计总耗时。默认切换收益阈值为3%，小于阈值时可保留原方案。界面出现保持或未切换不一定是失败，应查看决策依据及当前模式。阈值属于部署配置，不是在主页面直接输入的参数。</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弱网与优先级：实现会依据链路状态和优先级决定分块、发送次序、批处理或缓存。关键数据可能采用更小分块或更靠前的发送次序。优先级本身不保证带宽，也不会使断开的接收服务恢复；应先确认链路和服务可用。</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操作示例：先选同一份监测CSV，连接接收端并使用自动模式完成一次任务；记录算法、级别、大小和总耗时。再在可编辑状态选择手动算法执行另一任务。比较时同时检查恢复一致性，保留任务名称和时间，避免把不同数据包或不同网络状态下的结果混在一起。</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完成结果查看：访问http://127.0.0.1:8102/effect可查看文件与时延对比、压缩新增耗时、传输结论和网络总体情况。该页没有完成结果时会显示等待提示；需要回到当前系统主页时使用“返回软件首页”。</w:t>
      </w:r>
    </w:p>
    <w:p>
      <w:pPr>
        <w:pStyle w:val="Normal"/>
        <w:pageBreakBefore w:val="0"/>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推荐区间与实测区别：现有界面按固定位置标出推荐区间并展示相应耗时，曲线和策略数据也包含估算。它适合辅助比较，不是对任何输入都保证相同压缩率或最短总耗时。最终以目标环境中实际完成任务及恢复文件核验为准。</w:t>
      </w:r>
    </w:p>
    <w:p>
      <w:pPr>
        <w:pStyle w:val="Heading2"/>
        <w:pageBreakBefore w:val="0"/>
        <w:ind w:hanging="0" w:start="0"/>
        <w:rPr>
          <w:rFonts w:ascii="Cambria" w:hAnsi="Cambria" w:cs="Times New Roman" w:hint="eastAsia"/>
          <w:highlight w:val="none"/>
        </w:rPr>
      </w:pPr>
      <w:r>
        <w:rPr>
          <w:rFonts w:cs="Times New Roman" w:hint="eastAsia" w:ascii="Cambria" w:hAnsi="Cambria"/>
        </w:rPr>
        <w:t>3.5</w:t>
      </w:r>
      <w:r>
        <w:rPr>
          <w:rFonts w:ascii="Cambria" w:hAnsi="Cambria" w:cs="Times New Roman" w:hint="eastAsia"/>
        </w:rPr>
        <w:t>接收端与跨计算机部署</w:t>
      </w:r>
    </w:p>
    <w:p>
      <w:pPr>
        <w:pStyle w:val="Heading2"/>
        <w:pageBreakBefore w:val="0"/>
        <w:ind w:hanging="0" w:start="0"/>
        <w:rPr>
          <w:rFonts w:ascii="Cambria" w:hAnsi="Cambria" w:cs="Times New Roman" w:hint="eastAsia"/>
          <w:highlight w:val="none"/>
        </w:rPr>
      </w:pPr>
      <w:r>
        <w:rPr>
          <w:rFonts w:cs="Times New Roman" w:hint="eastAsia"/>
        </w:rPr>
        <w:t>3.5.1</w:t>
      </w:r>
      <w:r>
        <w:rPr>
          <w:rFonts w:ascii="Cambria" w:hAnsi="Cambria" w:cs="Times New Roman" w:hint="eastAsia"/>
        </w:rPr>
        <w:t>本机接收</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本机接收端口为8302。在接收端状态中填写127.0.0.1:8302并点击“建立连接”，连接成功后按钮变为“断开连接”。检查地址与通信状态，再开始传输。下图仅显示接收端连接区域。</w:t>
      </w:r>
    </w:p>
    <w:p>
      <w:pPr>
        <w:pStyle w:val="Normal"/>
        <w:keepNext/>
        <w:pageBreakBefore w:val="0"/>
        <w:spacing w:before="80" w:after="60" w:line="240" w:lineRule="auto"/>
        <w:jc w:val="center"/>
        <w:rPr>
          <w:rFonts w:ascii="宋体" w:hAnsi="宋体" w:eastAsia="宋体" w:cs="宋体" w:hint="eastAsia"/>
          <w:highlight w:val="none"/>
        </w:rPr>
      </w:pPr>
      <w:r>
        <w:rPr>
          <w:rFonts w:eastAsia="宋体" w:cs="宋体" w:hint="eastAsia" w:ascii="宋体" w:hAnsi="宋体"/>
        </w:rPr>
      </w:r>
      <w:r>
        <w:drawing>
          <wp:inline xmlns:a="http://schemas.openxmlformats.org/drawingml/2006/main">
            <wp:extent cx="2686050" cy="1762125"/>
            <wp:docPr id="39" name="Picture 39"/>
            <wp:cNvGraphicFramePr>
              <a:graphicFrameLocks noChangeAspect="1"/>
            </wp:cNvGraphicFramePr>
            <a:graphic>
              <a:graphicData uri="http://schemas.openxmlformats.org/drawingml/2006/picture">
                <pic:pic>
                  <pic:nvPicPr>
                    <pic:cNvPr id="0" name="receiver.png"/>
                    <pic:cNvPicPr/>
                  </pic:nvPicPr>
                  <pic:blipFill>
                    <a:blip r:embed="rId47"/>
                    <a:stretch>
                      <a:fillRect/>
                    </a:stretch>
                  </pic:blipFill>
                  <pic:spPr>
                    <a:xfrm>
                      <a:off x="0" y="0"/>
                      <a:ext cx="2686050" cy="1762125"/>
                    </a:xfrm>
                    <a:prstGeom prst="rect"/>
                  </pic:spPr>
                </pic:pic>
              </a:graphicData>
            </a:graphic>
          </wp:inline>
        </w:drawing>
      </w:r>
    </w:p>
    <w:p>
      <w:pPr>
        <w:pStyle w:val="Normal"/>
        <w:keepNext w:val="0"/>
        <w:keepLines w:val="false"/>
        <w:pageBreakBefore w:val="0"/>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3-16</w:t>
      </w:r>
      <w:r>
        <w:rPr>
          <w:rFonts w:cs="Times New Roman" w:hint="eastAsia" w:eastAsia="宋体"/>
        </w:rPr>
        <w:t>接收端状态</w:t>
      </w:r>
    </w:p>
    <w:p>
      <w:pPr>
        <w:pStyle w:val="Heading2"/>
        <w:pageBreakBefore w:val="0"/>
        <w:ind w:hanging="0" w:start="0"/>
        <w:rPr>
          <w:rFonts w:ascii="Cambria" w:hAnsi="Cambria" w:cs="Times New Roman" w:hint="eastAsia"/>
          <w:highlight w:val="none"/>
        </w:rPr>
      </w:pPr>
      <w:r>
        <w:rPr>
          <w:rFonts w:cs="Times New Roman" w:hint="eastAsia"/>
        </w:rPr>
        <w:t>3.5.2</w:t>
      </w:r>
      <w:r>
        <w:rPr>
          <w:rFonts w:ascii="Cambria" w:hAnsi="Cambria" w:cs="Times New Roman" w:hint="eastAsia"/>
        </w:rPr>
        <w:t>跨计算机接收</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跨电脑接收时，需将完整交付目录复制到接收机，在接收机上运行独立接收端，只启动接收网关而无须启动后端服务。确认接收计算机的接收服务端口可从发送端访问。默认端口为 </w:t>
      </w:r>
      <w:r>
        <w:rPr>
          <w:rFonts w:eastAsia="宋体" w:cs="Times New Roman" w:hint="eastAsia"/>
          <w:kern w:val="2"/>
          <w:sz w:val="28"/>
          <w:szCs w:val="28"/>
        </w:rPr>
        <w:t>8302</w:t>
      </w:r>
      <w:r>
        <w:rPr>
          <w:rFonts w:ascii="Calibri" w:hAnsi="Calibri" w:cs="Times New Roman" w:hint="eastAsia" w:eastAsia="宋体"/>
          <w:kern w:val="2"/>
          <w:sz w:val="28"/>
          <w:szCs w:val="28"/>
        </w:rPr>
        <w:t xml:space="preserve">，如通过 </w:t>
      </w:r>
      <w:r>
        <w:rPr>
          <w:rFonts w:eastAsia="宋体" w:cs="Times New Roman" w:hint="eastAsia"/>
          <w:kern w:val="2"/>
          <w:sz w:val="28"/>
          <w:szCs w:val="28"/>
        </w:rPr>
        <w:t xml:space="preserve">RECEIVER_PORT </w:t>
      </w:r>
      <w:r>
        <w:rPr>
          <w:rFonts w:ascii="Calibri" w:hAnsi="Calibri" w:cs="Times New Roman" w:hint="eastAsia" w:eastAsia="宋体"/>
          <w:kern w:val="2"/>
          <w:sz w:val="28"/>
          <w:szCs w:val="28"/>
        </w:rPr>
        <w:t xml:space="preserve">修改了端口，需同步更新发送端配置。在发送端的接收端状态区域填写接收计算机实际 </w:t>
      </w:r>
      <w:r>
        <w:rPr>
          <w:rFonts w:eastAsia="宋体" w:cs="Times New Roman" w:hint="eastAsia"/>
          <w:kern w:val="2"/>
          <w:sz w:val="28"/>
          <w:szCs w:val="28"/>
        </w:rPr>
        <w:t xml:space="preserve">IP </w:t>
      </w:r>
      <w:r>
        <w:rPr>
          <w:rFonts w:ascii="Calibri" w:hAnsi="Calibri" w:cs="Times New Roman" w:hint="eastAsia" w:eastAsia="宋体"/>
          <w:kern w:val="2"/>
          <w:sz w:val="28"/>
          <w:szCs w:val="28"/>
        </w:rPr>
        <w:t>地址和端口，然后建立连接。执行小型测试文件传输，确认接收端确实收到文件，再进行较大任务。接收机端口可通过环境变量调整，但不要在同一端口重复启动服务。</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 xml:space="preserve">   </w:t>
      </w:r>
      <w:r>
        <w:rPr>
          <w:rFonts w:ascii="Calibri" w:hAnsi="Calibri" w:cs="Times New Roman" w:hint="eastAsia" w:eastAsia="宋体"/>
          <w:kern w:val="2"/>
          <w:sz w:val="28"/>
          <w:szCs w:val="28"/>
        </w:rPr>
        <w:t>跨计算机连接可能受到防火墙、路由、</w:t>
      </w:r>
      <w:r>
        <w:rPr>
          <w:rFonts w:eastAsia="宋体" w:cs="Times New Roman" w:hint="eastAsia"/>
          <w:kern w:val="2"/>
          <w:sz w:val="28"/>
          <w:szCs w:val="28"/>
        </w:rPr>
        <w:t xml:space="preserve">NAT </w:t>
      </w:r>
      <w:r>
        <w:rPr>
          <w:rFonts w:ascii="Calibri" w:hAnsi="Calibri" w:cs="Times New Roman" w:hint="eastAsia" w:eastAsia="宋体"/>
          <w:kern w:val="2"/>
          <w:sz w:val="28"/>
          <w:szCs w:val="28"/>
        </w:rPr>
        <w:t>或安全策略影响。不要在未确认网络可达性前将连接失败判定为软件功能故障。</w:t>
      </w:r>
    </w:p>
    <w:p>
      <w:pPr>
        <w:pStyle w:val="Heading2"/>
        <w:pageBreakBefore w:val="0"/>
        <w:ind w:hanging="0" w:start="0"/>
        <w:rPr>
          <w:rFonts w:ascii="Cambria" w:hAnsi="Cambria" w:cs="Times New Roman" w:hint="eastAsia"/>
          <w:highlight w:val="none"/>
        </w:rPr>
      </w:pPr>
      <w:r>
        <w:rPr>
          <w:rFonts w:cs="Times New Roman" w:hint="eastAsia"/>
        </w:rPr>
        <w:t>3.6策略评估与异常处理</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优化过程以综合代价为依据。数据识别与样本画像给出候选参数，再综合安全传输速率、压缩与解压耗时、排队和重试代价比较方案。当前策略仍可用且估计收益不足切换阈值时，可保持原策略以避免反复抖动。常见情况见表。</w:t>
      </w:r>
    </w:p>
    <w:tbl>
      <w:tblPr>
        <w:tblW w:w="8522" w:type="dxa"/>
        <w:jc w:val="center"/>
        <w:tblInd w:w="0" w:type="dxa"/>
        <w:tblLayout w:type="fixed"/>
        <w:tblCellMar>
          <w:top w:w="0" w:type="dxa"/>
          <w:start w:w="108" w:type="dxa"/>
          <w:bottom w:w="0" w:type="dxa"/>
          <w:end w:w="108" w:type="dxa"/>
        </w:tblCellMar>
      </w:tblPr>
      <w:tblGrid>
        <w:gridCol w:w="1599"/>
        <w:gridCol w:w="1078"/>
        <w:gridCol w:w="3724"/>
        <w:gridCol w:w="2121"/>
      </w:tblGrid>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情况</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表现</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判断依据</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操作建议</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自动评估</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参数可能改变</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文件特征、画像与链路变化触发重新比较</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先核对数据与控制模式。</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收益不足</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保持当前策略</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估计收益未达到默认3%切换阈值</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以实际任务结果验证收益。</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弱网或断线</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等待、缓存或重试</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链路与接收端状态变化</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恢复连接，检查日志及结果。</w:t>
            </w:r>
          </w:p>
        </w:tc>
      </w:tr>
    </w:tbl>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任务失败并耗尽重试时，界面提示检查链路并人工补传。应保留源文件，检查接收服务、磁盘、地址、网络和日志，再判断是否重新提交。不要通过反复点击开始、重置或修改参数来代替错误定位。</w:t>
      </w:r>
    </w:p>
    <w:p>
      <w:pPr>
        <w:pStyle w:val="Heading2"/>
        <w:pageBreakBefore w:val="0"/>
        <w:ind w:hanging="0" w:start="0"/>
        <w:rPr>
          <w:rFonts w:ascii="Cambria" w:hAnsi="Cambria" w:cs="Times New Roman" w:hint="eastAsia"/>
          <w:highlight w:val="none"/>
          <w:lang w:eastAsia="en-US"/>
        </w:rPr>
      </w:pPr>
      <w:r>
        <w:rPr>
          <w:rFonts w:cs="Times New Roman" w:hint="eastAsia"/>
          <w:lang w:eastAsia="en-US"/>
        </w:rPr>
        <w:t>3.7</w:t>
      </w:r>
      <w:r>
        <w:rPr>
          <w:rFonts w:ascii="Cambria" w:hAnsi="Cambria" w:cs="Times New Roman" w:hint="eastAsia"/>
          <w:lang w:eastAsia="en-US"/>
        </w:rPr>
        <w:t>运行数据与日志查看</w:t>
      </w:r>
    </w:p>
    <w:tbl>
      <w:tblPr>
        <w:tblW w:w="8522" w:type="dxa"/>
        <w:jc w:val="center"/>
        <w:tblInd w:w="0" w:type="dxa"/>
        <w:tblLayout w:type="fixed"/>
        <w:tblCellMar>
          <w:top w:w="0" w:type="dxa"/>
          <w:start w:w="108" w:type="dxa"/>
          <w:bottom w:w="0" w:type="dxa"/>
          <w:end w:w="108" w:type="dxa"/>
        </w:tblCellMar>
      </w:tblPr>
      <w:tblGrid>
        <w:gridCol w:w="4550"/>
        <w:gridCol w:w="3972"/>
      </w:tblGrid>
      <w:tr>
        <w:trPr/>
        <w:tc>
          <w:tcPr>
            <w:tcW w:w="455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目录</w:t>
            </w:r>
          </w:p>
        </w:tc>
        <w:tc>
          <w:tcPr>
            <w:tcW w:w="3972"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runtime/adaptive/uploads</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运行时上传文件。</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发送端文件查看缓存或相关输出。</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runtime/adaptive/receiver-received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接收服务实际写入的接收文件目录。</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runtime/adaptive/history</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后端任务历史等运行数据。</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runtime/adaptive/*.log</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网关、后端、接收端日志。</w:t>
            </w:r>
          </w:p>
        </w:tc>
      </w:tr>
    </w:tbl>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运行数据不包含在原始交付包中，可能在运行过程中逐步生成。请按实际业务要求备份重要接收文件和日志。清理前确认没有正在执行的任务，并避免误删需要保留的历史数据。</w:t>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r>
    </w:p>
    <w:p>
      <w:pPr>
        <w:pStyle w:val="Normal"/>
        <w:keepNext w:val="false"/>
        <w:keepLines w:val="false"/>
        <w:pageBreakBefore w:val="0"/>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日志中记录了每次任务的提交、执行、重试与完成过程，以及异常发生时的详细信息。当界面提示异常而无法直接判断原因时，可打开日志按时间查找对应记录，作为故障定位依据。</w:t>
      </w:r>
    </w:p>
    <w:p>
      <w:pPr>
        <w:pStyle w:val="Normal"/>
        <w:pageBreakBefore w:val="0"/>
        <w:jc w:val="center"/>
        <w:rPr>
          <w:rFonts w:ascii="宋体" w:hAnsi="宋体" w:eastAsia="宋体" w:cs="宋体" w:hint="eastAsia"/>
          <w:kern w:val="2"/>
          <w:sz w:val="28"/>
          <w:szCs w:val="28"/>
          <w:highlight w:val="none"/>
        </w:rPr>
      </w:pPr>
      <w:r>
        <w:rPr>
          <w:rFonts w:eastAsia="宋体" w:cs="宋体" w:hint="eastAsia" w:ascii="宋体" w:hAnsi="宋体"/>
          <w:kern w:val="2"/>
          <w:sz w:val="28"/>
          <w:szCs w:val="28"/>
        </w:rPr>
      </w:r>
    </w:p>
    <w:sectPr>
      <w:headerReference w:type="default" r:id="rId24"/>
      <w:headerReference w:type="first" r:id="rId25"/>
      <w:footerReference w:type="default" r:id="rId26"/>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Cambria">
    <w:charset w:val="86"/>
    <w:family w:val="auto"/>
    <w:pitch w:val="default"/>
  </w:font>
  <w:font w:name="Symbol">
    <w:charset w:val="02"/>
    <w:family w:val="roman"/>
    <w:pitch w:val="default"/>
  </w:font>
  <w:font w:name="宋体">
    <w:charset w:val="86"/>
    <w:family w:val="auto"/>
    <w:pitch w:val="default"/>
  </w:font>
  <w:font w:name="Courier New">
    <w:charset w:val="01"/>
    <w:family w:val="modern"/>
    <w:pitch w:val="default"/>
  </w:font>
  <w:font w:name="Liberation Sans">
    <w:altName w:val="Arial"/>
    <w:charset w:val="01"/>
    <w:family w:val="swiss"/>
    <w:pitch w:val="variable"/>
  </w:font>
  <w:font w:name="Arial">
    <w:charset w:val="00"/>
    <w:family w:val="swiss"/>
    <w:pitch w:val="default"/>
  </w:font>
  <w:font w:name="Cambria">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5" behindDoc="1" locked="0" layoutInCell="0" allowOverlap="1">
              <wp:simplePos x="0" y="0"/>
              <wp:positionH relativeFrom="margin">
                <wp:align>center</wp:align>
              </wp:positionH>
              <wp:positionV relativeFrom="paragraph">
                <wp:posOffset>635</wp:posOffset>
              </wp:positionV>
              <wp:extent cx="117475" cy="140970"/>
              <wp:effectExtent l="0" t="0" r="0" b="0"/>
              <wp:wrapNone/>
              <wp:docPr id="23" name="Frame3"/>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运行监测数据自适应压缩传输控制决策与优化系统</w:t>
    </w:r>
    <w:r>
      <w:rPr>
        <w:rFonts w:hint="eastAsia"/>
      </w:rPr>
      <w:t>V1.0</w:t>
    </w:r>
    <w:r>
      <mc:AlternateContent>
        <mc:Choice Requires="wps">
          <w:drawing>
            <wp:anchor distT="0" distB="0" distL="114935" distR="0" simplePos="0" relativeHeight="22" behindDoc="1" locked="0" layoutInCell="0" allowOverlap="1">
              <wp:simplePos x="0" y="0"/>
              <wp:positionH relativeFrom="margin">
                <wp:align>right</wp:align>
              </wp:positionH>
              <wp:positionV relativeFrom="paragraph">
                <wp:posOffset>635</wp:posOffset>
              </wp:positionV>
              <wp:extent cx="59690" cy="163195"/>
              <wp:effectExtent l="0" t="0" r="0" b="0"/>
              <wp:wrapNone/>
              <wp:docPr id="1" name="Frame1"/>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运行监测数据自适应压缩传输控制决策与优化系统</w:t>
    </w:r>
    <w:r>
      <w:rPr>
        <w:rFonts w:hint="eastAsia"/>
      </w:rPr>
      <w:t>V1.0</w:t>
    </w:r>
    <w:r>
      <mc:AlternateContent>
        <mc:Choice Requires="wps">
          <w:drawing>
            <wp:anchor distT="0" distB="0" distL="114935" distR="0" simplePos="0" relativeHeight="47" behindDoc="1" locked="0" layoutInCell="0" allowOverlap="1">
              <wp:simplePos x="0" y="0"/>
              <wp:positionH relativeFrom="margin">
                <wp:align>right</wp:align>
              </wp:positionH>
              <wp:positionV relativeFrom="paragraph">
                <wp:posOffset>635</wp:posOffset>
              </wp:positionV>
              <wp:extent cx="59690" cy="163195"/>
              <wp:effectExtent l="0" t="0" r="0" b="0"/>
              <wp:wrapNone/>
              <wp:docPr id="2" name="Frame2"/>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运行监测数据自适应压缩传输控制决策与优化系统</w:t>
    </w:r>
    <w:r>
      <w:rPr>
        <w:rFonts w:hint="eastAsia"/>
      </w:rPr>
      <w:t>V1.0</w:t>
    </w:r>
    <w:r>
      <mc:AlternateContent>
        <mc:Choice Requires="wps">
          <w:drawing>
            <wp:anchor distT="0" distB="0" distL="114935" distR="0" simplePos="0" relativeHeight="70" behindDoc="1" locked="0" layoutInCell="0" allowOverlap="1">
              <wp:simplePos x="0" y="0"/>
              <wp:positionH relativeFrom="margin">
                <wp:align>right</wp:align>
              </wp:positionH>
              <wp:positionV relativeFrom="paragraph">
                <wp:posOffset>635</wp:posOffset>
              </wp:positionV>
              <wp:extent cx="117475" cy="163195"/>
              <wp:effectExtent l="0" t="0" r="0" b="0"/>
              <wp:wrapNone/>
              <wp:docPr id="22" name="Frame4"/>
              <a:graphic xmlns:a="http://schemas.openxmlformats.org/drawingml/2006/main">
                <a:graphicData uri="http://schemas.microsoft.com/office/word/2010/wordprocessingShape">
                  <wps:wsp>
                    <wps:cNvSpPr txBox="1"/>
                    <wps:spPr>
                      <a:xfrm>
                        <a:off x="0" y="0"/>
                        <a:ext cx="117475"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2.85pt;mso-wrap-distance-left:9.05pt;mso-wrap-distance-right:0pt;mso-wrap-distance-top:0pt;mso-wrap-distance-bottom:0pt;margin-top:0pt;mso-position-vertical-relative:text;margin-left:406.05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3"/>
      <w:numFmt w:val="decimal"/>
      <w:lvlText w:val="%1."/>
      <w:lvlJc w:val="start"/>
      <w:pPr>
        <w:tabs>
          <w:tab w:val="num" w:pos="0"/>
        </w:tabs>
        <w:ind w:start="0" w:hanging="0"/>
      </w:pPr>
    </w:lvl>
  </w:abstractNum>
  <w:abstractNum w:abstractNumId="5">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7"/>
  <w:defaultTabStop w:val="420"/>
  <w:autoHyphenation w:val="true"/>
  <w:hyphenationZone w:val="0"/>
  <w:compat>
    <w:doNotExpandShiftReturn/>
    <w:adjustLineHeightInTable/>
    <w:compatSetting w:name="compatibilityMode" w:uri="http://schemas.microsoft.com/office/word" w:val="11"/>
  </w:compat>
  <w:docVars>
    <w:docVar w:name="commondata" w:val="eyJoZGlkIjoiNjFmYWJlZTc1OGMxMjA4NTM0MDU5MzQ1ODNiYjFhNT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Cambria" w:cs="Calibri"/>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Cambria"/>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Symbol" w:hAnsi="Symbol" w:cs="Symbol"/>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 w:cs="Cambria"/>
      <w:b/>
      <w:bCs/>
      <w:sz w:val="32"/>
      <w:szCs w:val="32"/>
    </w:rPr>
  </w:style>
  <w:style w:type="character" w:styleId="3">
    <w:name w:val="标题 3 字符"/>
    <w:qFormat/>
    <w:rPr>
      <w:b/>
      <w:bCs/>
      <w:sz w:val="32"/>
      <w:szCs w:val="32"/>
    </w:rPr>
  </w:style>
  <w:style w:type="character" w:styleId="Style12">
    <w:name w:val="日期 字符"/>
    <w:basedOn w:val="Style11"/>
    <w:qFormat/>
    <w:rPr/>
  </w:style>
  <w:style w:type="character" w:styleId="Style13">
    <w:name w:val="批注框文本 字符"/>
    <w:qFormat/>
    <w:rPr>
      <w:sz w:val="18"/>
      <w:szCs w:val="18"/>
    </w:rPr>
  </w:style>
  <w:style w:type="character" w:styleId="Style14">
    <w:name w:val="页脚 字符"/>
    <w:qFormat/>
    <w:rPr>
      <w:sz w:val="18"/>
      <w:szCs w:val="18"/>
    </w:rPr>
  </w:style>
  <w:style w:type="character" w:styleId="Style15">
    <w:name w:val="页眉 字符"/>
    <w:qFormat/>
    <w:rPr>
      <w:sz w:val="18"/>
      <w:szCs w:val="18"/>
    </w:rPr>
  </w:style>
  <w:style w:type="character" w:styleId="Strong">
    <w:name w:val="Strong"/>
    <w:basedOn w:val="Style11"/>
    <w:qFormat/>
    <w:rPr>
      <w:b/>
    </w:rPr>
  </w:style>
  <w:style w:type="character" w:styleId="Hyperlink">
    <w:name w:val="Hyperlink"/>
    <w:rPr>
      <w:rFonts w:ascii="宋体" w:hAnsi="宋体" w:eastAsia="宋体" w:cs="宋体" w:hint="eastAsia"/>
      <w:color w:val="000000"/>
      <w:sz w:val="18"/>
      <w:szCs w:val="18"/>
      <w:u w:val="none"/>
    </w:rPr>
  </w:style>
  <w:style w:type="character" w:styleId="HTML">
    <w:name w:val="HTML 代码"/>
    <w:basedOn w:val="Style11"/>
    <w:qFormat/>
    <w:rPr>
      <w:rFonts w:ascii="Courier New" w:hAnsi="Courier New" w:cs="Courier New"/>
      <w:sz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6">
    <w:name w:val="列表编号"/>
    <w:basedOn w:val="Normal"/>
    <w:qFormat/>
    <w:pPr>
      <w:keepNext w:val="false"/>
      <w:keepLines w:val="false"/>
      <w:widowControl/>
      <w:numPr>
        <w:ilvl w:val="0"/>
        <w:numId w:val="5"/>
      </w:numPr>
      <w:tabs>
        <w:tab w:val="clear" w:pos="420"/>
        <w:tab w:val="left" w:pos="360" w:leader="none"/>
      </w:tabs>
      <w:spacing w:lineRule="auto" w:line="300" w:before="0" w:after="100"/>
      <w:ind w:hanging="0" w:start="0" w:end="0"/>
      <w:contextualSpacing/>
      <w:jc w:val="start"/>
    </w:pPr>
    <w:rPr>
      <w:rFonts w:ascii="宋体" w:hAnsi="宋体" w:eastAsia="宋体" w:cs="Times New Roman" w:hint="eastAsia"/>
      <w:kern w:val="0"/>
      <w:sz w:val="21"/>
      <w:szCs w:val="22"/>
      <w:lang w:bidi="ar"/>
    </w:rPr>
  </w:style>
  <w:style w:type="paragraph" w:styleId="TOC3">
    <w:name w:val="toc 3"/>
    <w:basedOn w:val="Normal"/>
    <w:next w:val="Normal"/>
    <w:pPr>
      <w:ind w:firstLineChars="0" w:firstLine="0" w:startChars="400" w:endChars="0" w:end="0"/>
    </w:pPr>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HTML1">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lineRule="auto" w:line="240" w:before="100" w:after="100"/>
      <w:ind w:hanging="0" w:start="0" w:end="0"/>
      <w:jc w:val="start"/>
    </w:pPr>
    <w:rPr>
      <w:rFonts w:ascii="Cambria" w:hAnsi="Cambria" w:eastAsia="Cambria" w:cs="Cambria"/>
      <w:kern w:val="0"/>
      <w:sz w:val="24"/>
      <w:szCs w:val="24"/>
      <w:lang w:bidi="ar"/>
    </w:rPr>
  </w:style>
  <w:style w:type="paragraph" w:styleId="TOCHeading">
    <w:name w:val="TOC Heading"/>
    <w:basedOn w:val="Heading1"/>
    <w:next w:val="Normal"/>
    <w:qFormat/>
    <w:pPr>
      <w:widowControl/>
      <w:numPr>
        <w:ilvl w:val="0"/>
        <w:numId w:val="0"/>
      </w:numPr>
      <w:spacing w:lineRule="auto" w:line="276" w:before="480" w:after="0"/>
      <w:jc w:val="start"/>
      <w:outlineLvl w:val="9"/>
    </w:pPr>
    <w:rPr>
      <w:rFonts w:ascii="Cambria" w:hAnsi="Cambria" w:eastAsia="宋体" w:cs="Cambria"/>
      <w:color w:val="365F90"/>
      <w:kern w:val="0"/>
      <w:sz w:val="28"/>
      <w:szCs w:val="28"/>
    </w:rPr>
  </w:style>
  <w:style w:type="paragraph" w:styleId="z-">
    <w:name w:val="z-窗体顶端"/>
    <w:basedOn w:val="Normal"/>
    <w:next w:val="Normal"/>
    <w:qFormat/>
    <w:pPr>
      <w:pBdr>
        <w:top w:val="single" w:sz="6" w:space="1" w:color="000000"/>
      </w:pBdr>
      <w:jc w:val="center"/>
    </w:pPr>
    <w:rPr>
      <w:rFonts w:ascii="Arial" w:hAnsi="Arial" w:eastAsia="宋体"/>
      <w:vanish/>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2015-03-07T14:32:00Z</dcterms:created>
  <dc:creator/>
  <dc:description/>
  <dc:language>en-US</dc:language>
  <cp:lastModifiedBy/>
  <cp:lastPrinted>2015-03-09T09:36:00Z</cp:lastPrinted>
  <dcterms:modified xsi:type="dcterms:W3CDTF">2026-10-29T02:42:09Z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D54C3DCDA0434A48B59ECA496D7C633C_13</vt:lpwstr>
  </property>
  <property fmtid="{D5CDD505-2E9C-101B-9397-08002B2CF9AE}" pid="3" name="KSOProductBuildVer">
    <vt:lpwstr>2052-12.1.0.29158</vt:lpwstr>
  </property>
  <property fmtid="{D5CDD505-2E9C-101B-9397-08002B2CF9AE}" pid="4" name="KSOTemplateDocerSaveRecord">
    <vt:lpwstr>eyJoZGlkIjoiYjFkODEzYWJiMTAwZjA1YTQxNjM4MDE5YjliMTFjOWMiLCJ1c2VySWQiOiIxMjQ1NTEyNTEzIn0=</vt:lpwstr>
  </property>
</Properties>
</file>