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  <w:t>计算机软件著作权登记信息采集表</w:t>
      </w:r>
    </w:p>
    <w:p>
      <w:pPr>
        <w:pStyle w:val="Normal"/>
        <w:rPr>
          <w:rFonts w:hint="eastAsia"/>
          <w:b/>
          <w:sz w:val="40"/>
          <w:szCs w:val="15"/>
        </w:rPr>
      </w:pPr>
      <w:r>
        <w:rPr>
          <w:rFonts w:hint="eastAsia"/>
          <w:b/>
          <w:sz w:val="40"/>
          <w:szCs w:val="15"/>
        </w:rPr>
      </w:r>
    </w:p>
    <w:tbl>
      <w:tblPr>
        <w:tblW w:w="9810" w:type="dxa"/>
        <w:jc w:val="start"/>
        <w:tblInd w:w="-17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9"/>
        <w:gridCol w:w="2436"/>
        <w:gridCol w:w="804"/>
        <w:gridCol w:w="1470"/>
        <w:gridCol w:w="411"/>
        <w:gridCol w:w="647"/>
        <w:gridCol w:w="614"/>
        <w:gridCol w:w="253"/>
        <w:gridCol w:w="2536"/>
      </w:tblGrid>
      <w:tr>
        <w:trPr>
          <w:trHeight w:val="920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件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信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息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软件全称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360"/>
              <w:jc w:val="start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工业网络传输状态实时感知与监测系统</w:t>
            </w:r>
          </w:p>
        </w:tc>
      </w:tr>
      <w:tr>
        <w:trPr>
          <w:trHeight w:val="61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软件简称</w:t>
            </w:r>
          </w:p>
        </w:tc>
        <w:tc>
          <w:tcPr>
            <w:tcW w:w="33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ind w:firstLineChars="800" w:startChars="0" w:start="0" w:endChars="0" w:end="0"/>
              <w:rPr>
                <w:rFonts w:eastAsia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略</w:t>
            </w:r>
          </w:p>
        </w:tc>
        <w:tc>
          <w:tcPr>
            <w:tcW w:w="8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</w:t>
            </w:r>
          </w:p>
        </w:tc>
        <w:tc>
          <w:tcPr>
            <w:tcW w:w="2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sz w:val="18"/>
                <w:szCs w:val="18"/>
              </w:rPr>
              <w:t>V1.0</w:t>
            </w:r>
          </w:p>
        </w:tc>
      </w:tr>
      <w:tr>
        <w:trPr>
          <w:trHeight w:val="6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eastAsia="宋体" w:hint="eastAsia"/>
                <w:color w:val="FF00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软件作品说明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原创    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修改（含翻译软件或合成软件，请说明）</w:t>
            </w:r>
          </w:p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</w:t>
            </w:r>
          </w:p>
        </w:tc>
      </w:tr>
      <w:tr>
        <w:trPr>
          <w:trHeight w:val="647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软件分类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sz w:val="18"/>
                <w:szCs w:val="18"/>
              </w:rPr>
              <w:t>应用软件   □嵌入式软件  □中间件  □操作系统</w:t>
            </w:r>
          </w:p>
        </w:tc>
      </w:tr>
      <w:tr>
        <w:trPr>
          <w:trHeight w:val="54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公司成立日期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1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 xml:space="preserve">年   月    日  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 </w:t>
            </w:r>
          </w:p>
        </w:tc>
      </w:tr>
      <w:tr>
        <w:trPr>
          <w:trHeight w:val="608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2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开发完成日期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年  月   日 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（</w:t>
            </w:r>
            <w:r>
              <w:rPr>
                <w:rFonts w:ascii="宋体" w:hAnsi="宋体" w:hint="eastAsia"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 xml:space="preserve">注：本日期必须在公司成立日期之后，首次发表日期之前）     </w:t>
            </w:r>
          </w:p>
        </w:tc>
      </w:tr>
      <w:tr>
        <w:trPr>
          <w:trHeight w:val="463" w:hRule="atLeast"/>
        </w:trPr>
        <w:tc>
          <w:tcPr>
            <w:tcW w:w="307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发表状态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注：发表指赠送、销售、</w:t>
            </w:r>
            <w:r>
              <w:rPr>
                <w:rFonts w:hint="eastAsia"/>
                <w:color w:val="FF6600"/>
                <w:sz w:val="16"/>
                <w:szCs w:val="16"/>
              </w:rPr>
              <w:t>产品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发布、</w:t>
            </w:r>
            <w:r>
              <w:rPr>
                <w:rFonts w:hint="eastAsia"/>
                <w:color w:val="FF6600"/>
                <w:sz w:val="16"/>
                <w:szCs w:val="16"/>
              </w:rPr>
              <w:t>网上发布、为销售而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展示等向公众提供软件。建议选择“已发表”，这样对您的权利保护最充分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  <w:tc>
          <w:tcPr>
            <w:tcW w:w="8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已发表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首次发表日期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color w:val="FF6600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  </w:t>
            </w:r>
            <w:r>
              <w:rPr>
                <w:rFonts w:ascii="宋体" w:hAnsi="宋体" w:hint="eastAsia"/>
                <w:sz w:val="18"/>
                <w:szCs w:val="18"/>
              </w:rPr>
              <w:t>年     月    日</w:t>
            </w:r>
          </w:p>
          <w:p>
            <w:pPr>
              <w:pStyle w:val="Normal"/>
              <w:spacing w:lineRule="auto" w:line="360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注：本日期必须在开发完成日期之后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68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</w:tc>
        <w:tc>
          <w:tcPr>
            <w:tcW w:w="8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首次发表地点</w:t>
            </w:r>
          </w:p>
        </w:tc>
        <w:tc>
          <w:tcPr>
            <w:tcW w:w="40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（</w:t>
            </w:r>
            <w:r>
              <w:rPr>
                <w:rFonts w:ascii="宋体" w:hAnsi="宋体" w:hint="eastAsia"/>
                <w:color w:val="FF6600"/>
                <w:sz w:val="16"/>
                <w:szCs w:val="16"/>
              </w:rPr>
              <w:t>注：此地点为城市名称</w:t>
            </w:r>
            <w:r>
              <w:rPr>
                <w:rFonts w:ascii="宋体" w:hAnsi="宋体" w:hint="eastAsia"/>
                <w:color w:val="FF6600"/>
                <w:sz w:val="18"/>
                <w:szCs w:val="18"/>
              </w:rPr>
              <w:t>）</w:t>
            </w:r>
          </w:p>
        </w:tc>
      </w:tr>
      <w:tr>
        <w:trPr>
          <w:trHeight w:val="470" w:hRule="atLeast"/>
        </w:trPr>
        <w:tc>
          <w:tcPr>
            <w:tcW w:w="307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未发表</w:t>
            </w:r>
          </w:p>
        </w:tc>
        <w:tc>
          <w:tcPr>
            <w:tcW w:w="593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未发表 </w:t>
            </w:r>
          </w:p>
        </w:tc>
      </w:tr>
      <w:tr>
        <w:trPr>
          <w:trHeight w:val="431" w:hRule="atLeast"/>
        </w:trPr>
        <w:tc>
          <w:tcPr>
            <w:tcW w:w="30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开发方式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应用软件 </w:t>
            </w:r>
            <w:r>
              <w:rPr>
                <w:sz w:val="18"/>
                <w:szCs w:val="18"/>
              </w:rPr>
              <w:t xml:space="preserve">独立开发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合作开发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 xml:space="preserve"> 委托开发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sz w:val="18"/>
                <w:szCs w:val="18"/>
              </w:rPr>
              <w:t>下达任务开发</w:t>
            </w:r>
          </w:p>
        </w:tc>
      </w:tr>
      <w:tr>
        <w:trPr>
          <w:trHeight w:val="791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著作权人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姓名或名称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公司名称或自然人姓名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统一社会代码或身份证号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城市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ind w:firstLineChars="300" w:startChars="0" w:start="0" w:endChars="0" w:end="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园区</w:t>
            </w:r>
            <w:r>
              <w:rPr>
                <w:rFonts w:hint="eastAsia"/>
                <w:sz w:val="18"/>
                <w:szCs w:val="18"/>
              </w:rPr>
              <w:t>（非必填）</w:t>
            </w:r>
          </w:p>
        </w:tc>
      </w:tr>
      <w:tr>
        <w:trPr>
          <w:trHeight w:val="442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北京</w:t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51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7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356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2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16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7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</w:tr>
      <w:tr>
        <w:trPr>
          <w:trHeight w:val="1019" w:hRule="atLeast"/>
        </w:trPr>
        <w:tc>
          <w:tcPr>
            <w:tcW w:w="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软件功能和技术特点</w:t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开发硬件环境</w:t>
            </w:r>
          </w:p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开发软件的计算机硬件或专用设备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以上；千兆以太网卡</w:t>
            </w:r>
          </w:p>
        </w:tc>
      </w:tr>
      <w:tr>
        <w:trPr>
          <w:trHeight w:val="989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/>
                <w:color w:val="FF6600"/>
                <w:sz w:val="18"/>
                <w:szCs w:val="18"/>
              </w:rPr>
            </w:pPr>
            <w:r>
              <w:rPr>
                <w:rFonts w:cs="宋体" w:ascii="宋体" w:hAnsi="宋体"/>
                <w:color w:val="FF660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运行的硬件环境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运行软件的计算机硬件或专用设备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处理器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Intel Core i5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及以上或同等性能处理器；内存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8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以上（建议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16 GB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）；硬盘可用空间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20 GB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以上；千兆以太网卡；显示器分辨率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1920×1080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</w:t>
            </w:r>
          </w:p>
        </w:tc>
      </w:tr>
      <w:tr>
        <w:trPr>
          <w:trHeight w:val="90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宋体" w:hAnsi="宋体" w:cs="宋体" w:hint="eastAsia"/>
                <w:color w:val="FF6600"/>
                <w:kern w:val="0"/>
                <w:sz w:val="18"/>
                <w:szCs w:val="18"/>
              </w:rPr>
            </w:pPr>
            <w:r>
              <w:rPr>
                <w:rFonts w:cs="宋体" w:hint="eastAsia" w:ascii="宋体" w:hAnsi="宋体"/>
                <w:color w:val="FF6600"/>
                <w:kern w:val="0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开发该软件的操作系统（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专业版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软件开发环境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开发工具（</w:t>
            </w:r>
            <w:r>
              <w:rPr>
                <w:rFonts w:hint="eastAsia"/>
                <w:color w:val="E36C09"/>
                <w:sz w:val="16"/>
                <w:szCs w:val="16"/>
              </w:rPr>
              <w:t>开发登记软件的开发环境或开发工具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JDK 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Apache Maven 3.9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Node.js 18.17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npm 9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Visual Studio Code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Git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该软件的运行平台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操作系统（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运行登记软件的操作系统及版本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Windows 10/11 64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位、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>Linux x86_64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 xml:space="preserve">（内核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lang w:eastAsia="en-US" w:bidi="ar"/>
              </w:rPr>
              <w:t xml:space="preserve">4.x </w:t>
            </w:r>
            <w:r>
              <w:rPr>
                <w:rFonts w:ascii="宋体" w:hAnsi="宋体" w:cs="Times New Roman" w:hint="eastAsia"/>
                <w:sz w:val="21"/>
                <w:szCs w:val="22"/>
                <w:lang w:eastAsia="en-US" w:bidi="ar"/>
              </w:rPr>
              <w:t>及以上）</w:t>
            </w:r>
          </w:p>
        </w:tc>
      </w:tr>
      <w:tr>
        <w:trPr>
          <w:trHeight w:val="7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软件运行支撑环境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支持软件（</w:t>
            </w:r>
            <w:r>
              <w:rPr>
                <w:rFonts w:hint="eastAsia"/>
                <w:color w:val="E36C09"/>
                <w:sz w:val="16"/>
                <w:szCs w:val="16"/>
              </w:rPr>
              <w:t>运行登记软件的支撑环境或支撑软件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eastAsia="宋体" w:cs="Times New Roman" w:hint="eastAsia"/>
                <w:sz w:val="21"/>
                <w:szCs w:val="22"/>
                <w:lang w:bidi="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JDK 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Node.js 18.17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RabbitMQ 3.9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或以上版本</w:t>
            </w:r>
            <w:r>
              <w:rPr>
                <w:rFonts w:ascii="宋体" w:hAnsi="宋体" w:cs="Times New Roman" w:hint="eastAsia"/>
                <w:sz w:val="21"/>
                <w:szCs w:val="22"/>
                <w:lang w:bidi="ar"/>
              </w:rPr>
              <w:t xml:space="preserve"> 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>Google Chrome 90+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、</w:t>
            </w:r>
            <w:r>
              <w:rPr>
                <w:rFonts w:eastAsia="宋体" w:cs="Times New Roman" w:ascii="宋体" w:hAnsi="宋体"/>
                <w:sz w:val="21"/>
                <w:szCs w:val="22"/>
                <w:lang w:eastAsia="en-US" w:bidi="ar"/>
              </w:rPr>
              <w:t xml:space="preserve">Microsoft Edge 90+ </w:t>
            </w:r>
            <w:r>
              <w:rPr>
                <w:rFonts w:ascii="宋体" w:hAnsi="宋体" w:cs="Times New Roman"/>
                <w:sz w:val="21"/>
                <w:szCs w:val="22"/>
                <w:lang w:eastAsia="en-US" w:bidi="ar"/>
              </w:rPr>
              <w:t>等主流现代浏览器</w:t>
            </w:r>
          </w:p>
        </w:tc>
      </w:tr>
      <w:tr>
        <w:trPr>
          <w:trHeight w:val="190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编程语言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100</w:t>
            </w:r>
            <w:r>
              <w:rPr>
                <w:rFonts w:hint="eastAsia"/>
                <w:sz w:val="18"/>
                <w:szCs w:val="18"/>
              </w:rPr>
              <w:t>字节）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Assembly language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C#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C++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Delphi/Object Pascal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Go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HTML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Java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JavaScript 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MATLAB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Objective-C 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PHP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PL/SQL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Perl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Python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R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Ruby  </w:t>
            </w:r>
            <w:r>
              <w:rPr>
                <w:rFonts w:cs="Segoe UI Symbol" w:hint="eastAsia" w:ascii="Segoe UI Symbol" w:hAnsi="Segoe UI Symbol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SQL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Swift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Visual Basic 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Visual Basic .Net</w:t>
            </w:r>
          </w:p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</w:rPr>
              <w:t>其他编程语言：</w:t>
            </w:r>
            <w:r>
              <w:rPr>
                <w:rFonts w:hint="eastAsia"/>
                <w:sz w:val="18"/>
                <w:szCs w:val="18"/>
              </w:rPr>
              <w:t>TypeScript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                                   </w:t>
            </w:r>
          </w:p>
        </w:tc>
      </w:tr>
      <w:tr>
        <w:trPr>
          <w:trHeight w:val="357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源程序量：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  <w:t xml:space="preserve">      </w:t>
            </w:r>
            <w:r>
              <w:rPr>
                <w:rFonts w:ascii="宋体" w:hAnsi="宋体" w:cs="Times New Roman" w:hint="eastAsia"/>
                <w:sz w:val="21"/>
                <w:szCs w:val="22"/>
                <w:u w:val="single"/>
                <w:lang w:bidi="ar"/>
              </w:rPr>
              <w:t xml:space="preserve">约 </w:t>
            </w:r>
            <w:r>
              <w:rPr>
                <w:rFonts w:eastAsia="宋体" w:cs="Times New Roman" w:hint="eastAsia" w:ascii="宋体" w:hAnsi="宋体"/>
                <w:sz w:val="21"/>
                <w:szCs w:val="22"/>
                <w:u w:val="single"/>
                <w:lang w:bidi="ar"/>
              </w:rPr>
              <w:t>7200</w:t>
            </w:r>
            <w:r>
              <w:rPr>
                <w:rFonts w:hint="eastAsia"/>
                <w:sz w:val="18"/>
                <w:szCs w:val="18"/>
                <w:u w:val="single"/>
              </w:rPr>
              <w:t xml:space="preserve">       </w:t>
            </w:r>
            <w:r>
              <w:rPr>
                <w:rFonts w:hint="eastAsia"/>
                <w:sz w:val="18"/>
                <w:szCs w:val="18"/>
              </w:rPr>
              <w:t>行</w:t>
            </w:r>
          </w:p>
        </w:tc>
      </w:tr>
      <w:tr>
        <w:trPr>
          <w:trHeight w:val="954" w:hRule="atLeast"/>
        </w:trPr>
        <w:tc>
          <w:tcPr>
            <w:tcW w:w="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  <w:u w:val="single"/>
              </w:rPr>
            </w:pPr>
            <w:r>
              <w:rPr>
                <w:rFonts w:hint="eastAsia"/>
                <w:sz w:val="18"/>
                <w:szCs w:val="18"/>
                <w:u w:val="single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开发目的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登记软件的创作目的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随着工业互联网和智能制造的快速发展，工业现场对底层网络传输的稳定性与实时性要求极高。传统的网络管理方式往往存在故障发现滞后、人工排查效率低、缺乏可视化监控手段等问题。本软件的开发目的在于，通过构建实时感知与监测平台，实现对工业网络传输状态、流量数据及节点健康度的全面、实时可视化监控。能够及时发现网络拥塞、断线等异常情况并发出预警，有效降低因网络故障导致的生产停机风险，提升工业现场网络的运维效率与可靠性，为工业生产的连续性和安全性提供有力保障。</w:t>
            </w:r>
          </w:p>
        </w:tc>
      </w:tr>
      <w:tr>
        <w:trPr>
          <w:trHeight w:val="9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面向领域 </w:t>
            </w:r>
            <w:r>
              <w:rPr>
                <w:rFonts w:hint="eastAsia"/>
                <w:sz w:val="18"/>
                <w:szCs w:val="18"/>
              </w:rPr>
              <w:t xml:space="preserve">/ </w:t>
            </w:r>
            <w:r>
              <w:rPr>
                <w:rFonts w:hint="eastAsia"/>
                <w:sz w:val="18"/>
                <w:szCs w:val="18"/>
              </w:rPr>
              <w:t>行业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5"/>
                <w:szCs w:val="15"/>
              </w:rPr>
              <w:t>软件面向或试用的行业或领域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ascii="Segoe UI" w:hAnsi="Segoe UI" w:cs="Segoe UI" w:eastAsia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  <w:t>主要面向工业制造、智能制造、工业互联网领域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 w:hint="eastAsia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6"/>
                <w:szCs w:val="16"/>
                <w:shd w:fill="FFFFFF" w:val="clear"/>
              </w:rPr>
            </w:pP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具体可应用于智慧工厂底层网络运维、自动化产线网络监控、工业物联网（</w:t>
            </w:r>
            <w:r>
              <w:rPr>
                <w:rFonts w:eastAsia="Segoe UI" w:cs="Segoe UI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IIoT</w:t>
            </w:r>
            <w:r>
              <w:rPr>
                <w:rFonts w:ascii="Segoe UI" w:hAnsi="Segoe UI" w:cs="Segoe UI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）设备状态监测、能源与电力行业的通信网络管理等场景。适用于各类需要对工业现场网络性能进行实时掌握、故障预警及快速响应的企业和机构。</w:t>
            </w:r>
          </w:p>
        </w:tc>
      </w:tr>
      <w:tr>
        <w:trPr>
          <w:trHeight w:val="1879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ascii="Segoe UI" w:hAnsi="Segoe UI" w:eastAsia="Segoe UI" w:cs="Segoe UI" w:hint="eastAsia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eastAsia="Segoe UI" w:cs="Segoe UI" w:hint="eastAsia" w:ascii="Segoe UI" w:hAnsi="Segoe UI"/>
                <w:b/>
                <w:bCs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软件的主要功能</w:t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color w:val="E36C09"/>
                <w:sz w:val="16"/>
                <w:szCs w:val="16"/>
              </w:rPr>
              <w:t>全面准备概况登记软件的主要功能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主要功能：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1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）网络传输状态实时感知。以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500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毫秒为周期持续采集链路吞吐率、往返时延、抖动、丢包率、重传次数等遥测指标，支持外部遥测注入、内置动态采样与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TCP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确认反推三种测量来源，形成连续可回溯的网络状态时序。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2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）链路质量分级评估。依据吞吐率、丢包率、时延与抖动阈值，将链路质量判分为优良、波动、拥塞、中断、恢复中五个等级，并同步给出连接状态，为下游调度提供直接可用的质量结论。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3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）工业多源数据接入。支持传感器、摄像头、日志系统等监测数据源登记与在线状态管理，支持文件、文件夹、消息队列流式传输与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API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接口回调等数据接入方式，适配工业现场多模态数据并存的实际场景。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4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）传输链路全过程可视化。以五段链路（动态压缩、分级发送、传输网络、接收端、解压缩处理）展示数据流转，实时标注每段执行状态。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5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）关键指标实时监测。展示源站数据量、压缩后数据量、平均有效吞吐率、网络吞吐率、重试次数与完整性校验结果，并同步呈现当前链路状态、平均网络延迟、丢包率与网络抖动。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6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）接收端连接与状态管理。提供接收端地址配置、建立连接与断开连接操作，实时显示远端接收机地址、通信状态、服务状态、分块个数、正在处理任务数与平均及最大响应延迟。</w:t>
            </w:r>
          </w:p>
          <w:p>
            <w:pPr>
              <w:pStyle w:val="Normal"/>
              <w:spacing w:lineRule="auto" w:line="360"/>
              <w:rPr>
                <w:rFonts w:ascii="Segoe UI" w:hAnsi="Segoe UI" w:eastAsia="Segoe UI" w:cs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7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）传输任务队列与进度跟踪。展示任务名称、调度优先级、压缩策略与完成进度，支持打开文件、打开文件夹与跳转到任务进程视图，实现从监测到处置的闭环。</w:t>
            </w:r>
          </w:p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8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）网络异常告警与提示。对连接中断、网络拥塞与丢包率升高分别产生严重、主要、警告三级告警，并给出处置建议；前端对重试耗尽等异常给出明确的人工补传提示。</w:t>
            </w:r>
          </w:p>
        </w:tc>
      </w:tr>
      <w:tr>
        <w:trPr>
          <w:trHeight w:val="1560" w:hRule="atLeast"/>
        </w:trPr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</w:tc>
        <w:tc>
          <w:tcPr>
            <w:tcW w:w="24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</w:r>
          </w:p>
          <w:p>
            <w:pPr>
              <w:pStyle w:val="Normal"/>
              <w:spacing w:lineRule="auto" w:line="36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软件的技术特点</w:t>
            </w:r>
          </w:p>
        </w:tc>
        <w:tc>
          <w:tcPr>
            <w:tcW w:w="673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hint="eastAsia"/>
                <w:sz w:val="18"/>
                <w:szCs w:val="18"/>
              </w:rPr>
            </w:pPr>
            <w:r>
              <w:rPr>
                <w:rFonts w:eastAsia="宋体"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APP </w:t>
            </w:r>
            <w:r>
              <w:rPr>
                <w:rFonts w:hint="eastAsia" w:ascii="宋体" w:hAnsi="宋体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游戏软件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 教育软件 </w:t>
            </w:r>
            <w:r>
              <w:rPr>
                <w:rFonts w:ascii="Segoe UI Symbol" w:hAnsi="Segoe UI Symbol" w:cs="Segoe UI Symbol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金融软件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医疗软件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地理信息软件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云计算软件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信息安全软件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大数据软件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人工智能软件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VR</w:t>
            </w:r>
            <w:r>
              <w:rPr>
                <w:rFonts w:hint="eastAsia"/>
                <w:sz w:val="18"/>
                <w:szCs w:val="18"/>
              </w:rPr>
              <w:t xml:space="preserve">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5G</w:t>
            </w:r>
            <w:r>
              <w:rPr>
                <w:rFonts w:hint="eastAsia"/>
                <w:sz w:val="18"/>
                <w:szCs w:val="18"/>
              </w:rPr>
              <w:t xml:space="preserve">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 xml:space="preserve">小程序 </w:t>
            </w:r>
            <w:r>
              <w:rPr>
                <w:rFonts w:ascii="宋体" w:hAnsi="宋体" w:hint="eastAsia"/>
                <w:sz w:val="18"/>
                <w:szCs w:val="18"/>
              </w:rPr>
              <w:t>☑</w:t>
            </w:r>
            <w:r>
              <w:rPr>
                <w:rFonts w:hint="eastAsia"/>
                <w:sz w:val="18"/>
                <w:szCs w:val="18"/>
              </w:rPr>
              <w:t xml:space="preserve">物联网软件 </w:t>
            </w:r>
            <w:r>
              <w:rPr>
                <w:rFonts w:ascii="宋体" w:hAnsi="宋体" w:hint="eastAsia"/>
                <w:sz w:val="18"/>
                <w:szCs w:val="18"/>
              </w:rPr>
              <w:t>□</w:t>
            </w:r>
            <w:r>
              <w:rPr>
                <w:rFonts w:hint="eastAsia"/>
                <w:sz w:val="18"/>
                <w:szCs w:val="18"/>
              </w:rPr>
              <w:t>智慧城市软件</w:t>
            </w:r>
          </w:p>
          <w:p>
            <w:pPr>
              <w:pStyle w:val="Normal"/>
              <w:spacing w:lineRule="auto" w:line="360"/>
              <w:rPr>
                <w:rFonts w:ascii="Verdana" w:hAnsi="Verdana" w:cs="Verdana" w:hint="eastAsia"/>
                <w:b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Verdana" w:hAnsi="Verdana" w:cs="Verdana" w:eastAsia="Verdana"/>
                <w:b/>
                <w:color w:val="000000"/>
                <w:sz w:val="18"/>
                <w:szCs w:val="18"/>
                <w:shd w:fill="FFFFFF" w:val="clear"/>
              </w:rPr>
              <w:t>技术特点</w:t>
            </w:r>
            <w:r>
              <w:rPr>
                <w:rFonts w:ascii="Verdana" w:hAnsi="Verdana" w:cs="Verdana" w:hint="eastAsia"/>
                <w:b/>
                <w:color w:val="000000"/>
                <w:sz w:val="18"/>
                <w:szCs w:val="18"/>
                <w:shd w:fill="FFFFFF" w:val="clear"/>
              </w:rPr>
              <w:t>：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多来源网络状态采样与数据新鲜度管理。 系统通过定时任务按默认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500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毫秒间隔更新网络状态样本，支持接收外部遥测数据，并根据样本更新时间进行优先级选择：当外部遥测数据距接收时间不足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3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秒时，优先采用该数据；外部数据失效后，根据运行配置切换至内置模拟采样或空闲默认样本。同时，系统可根据内部传输任务的吞吐率、往返时延、重试次数及任务队列状态生成传输反馈样本，为网络状态展示和后续策略计算提供数据依据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ind w:firstLineChars="0" w:firstLine="0" w:startChars="0" w:start="0" w:endChars="0" w:end="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基于滑动时间窗口的速率统计与保守估计。 系统采用并发双端队列保存网络状态历史样本，默认历史容量为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7200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点，并支持通过配置调整容量。系统按照样本时间戳提取最近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1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分钟、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5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分钟和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1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小时的有效吞吐率数据，计算相应时间窗口的平均值，并计算最近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1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分钟吞吐率的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P20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分位数。在此基础上，结合最低回退速率约束和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1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分钟平均值的折减结果，得到用于后续处理的保守速率估计，从而降低瞬时高值对速率判断的影响。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ind w:firstLineChars="0" w:firstLine="0" w:startChars="0" w:start="0" w:endChars="0" w:end="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基于指数平滑的往返时延变化分析。 系统在处理传输反馈样本时，计算相邻往返时延之间的绝对差值，并使用指数平滑方式更新抖动指标。实现中采用当前时延变化量系数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0.25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、历史平滑值系数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0.75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的计算方式，以减弱单次时延变化对抖动结果的影响，为网络状态分级和传输策略分析提供参考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ind w:firstLineChars="0" w:firstLine="0" w:startChars="0" w:start="0" w:endChars="0" w:end="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基于状态变化、告警去重与冷却时间的告警管理。 系统以约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2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秒为默认周期检查网络状态，并在满足相应条件时生成网络中断、网络拥塞或高丢包告警。告警服务以告警来源、告警类型和任务标识构成去重键；对于已有的同类未关闭告警，避免重复创建开启态记录，并设置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60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秒的同键告警冷却时间。此外，网络质量监测模块还根据网络质量状态变化进行触发判断。该机制能够减少持续异常情况下的重复告警。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360"/>
              <w:ind w:firstLineChars="0" w:firstLine="0" w:startChars="0" w:start="0" w:endChars="0" w:end="0"/>
              <w:rPr>
                <w:rFonts w:ascii="Segoe UI" w:hAnsi="Segoe UI" w:eastAsia="Segoe UI" w:cs="Segoe UI" w:hint="eastAsia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基于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SHA-256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摘要与字节比较的数据完整性校验。 系统在后端传输任务处理流程中，对数据分块执行压缩和解压恢复，并分别计算原始数据与恢复数据的 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 xml:space="preserve">SHA-256 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摘要，同时进行字节级一致性比较。当恢复结果与原始数据不一致或校验未通过时，任务处理流程将进入异常处理或重试逻辑。</w:t>
            </w:r>
          </w:p>
          <w:p>
            <w:pPr>
              <w:pStyle w:val="Normal"/>
              <w:spacing w:lineRule="auto" w:line="360"/>
              <w:rPr>
                <w:rFonts w:ascii="Verdana" w:hAnsi="Verdana" w:cs="Verdana" w:hint="eastAsia"/>
                <w:b/>
                <w:color w:val="000000"/>
                <w:sz w:val="18"/>
                <w:szCs w:val="18"/>
                <w:shd w:fill="FFFFFF" w:val="clear"/>
              </w:rPr>
            </w:pP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（</w:t>
            </w:r>
            <w:r>
              <w:rPr>
                <w:rFonts w:eastAsia="Segoe UI" w:cs="Segoe UI" w:hint="eastAsia" w:ascii="Segoe UI" w:hAnsi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7</w:t>
            </w:r>
            <w:r>
              <w:rPr>
                <w:rFonts w:ascii="Segoe UI" w:hAnsi="Segoe UI" w:cs="Segoe UI" w:hint="eastAsia" w:eastAsia="Segoe UI"/>
                <w:i w:val="false"/>
                <w:iCs w:val="false"/>
                <w:caps w:val="false"/>
                <w:smallCaps w:val="false"/>
                <w:color w:val="0F1115"/>
                <w:spacing w:val="0"/>
                <w:sz w:val="18"/>
                <w:szCs w:val="18"/>
                <w:shd w:fill="FFFFFF" w:val="clear"/>
              </w:rPr>
              <w:t>）基于吞吐率、时延、抖动和丢包率的网络质量分级。 系统依据网络连接状态及多项网络指标，将链路质量划分为良好、波动、拥塞、中断和恢复中等状态。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</w:r>
    </w:p>
    <w:p>
      <w:pPr>
        <w:pStyle w:val="Normal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</w:r>
    </w:p>
    <w:sectPr>
      <w:headerReference w:type="default" r:id="rId2"/>
      <w:footerReference w:type="default" r:id="rId3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Segoe UI Symbol">
    <w:charset w:val="00"/>
    <w:family w:val="swiss"/>
    <w:pitch w:val="default"/>
  </w:font>
  <w:font w:name="Segoe UI">
    <w:charset w:val="00"/>
    <w:family w:val="auto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" w:hAnsi="宋体" w:eastAsia="宋体" w:cs="宋体" w:hint="eastAsia"/>
      <w:b/>
      <w:kern w:val="0"/>
      <w:sz w:val="27"/>
      <w:szCs w:val="27"/>
      <w:lang w:bidi="ar"/>
    </w:rPr>
  </w:style>
  <w:style w:type="character" w:styleId="Style13">
    <w:name w:val="默认段落字体"/>
    <w:qFormat/>
    <w:rPr/>
  </w:style>
  <w:style w:type="character" w:styleId="Style14">
    <w:name w:val="批注引用"/>
    <w:qFormat/>
    <w:rPr>
      <w:sz w:val="21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文字"/>
    <w:basedOn w:val="Normal"/>
    <w:qFormat/>
    <w:pPr>
      <w:jc w:val="start"/>
    </w:pPr>
    <w:rPr/>
  </w:style>
  <w:style w:type="paragraph" w:styleId="Style16">
    <w:name w:val="文本块"/>
    <w:basedOn w:val="Normal"/>
    <w:qFormat/>
    <w:pPr>
      <w:ind w:hanging="0" w:start="113" w:end="113"/>
      <w:jc w:val="center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320" w:leader="none"/>
        <w:tab w:val="right" w:pos="8640" w:leader="none"/>
      </w:tabs>
      <w:autoSpaceDE w:val="false"/>
      <w:jc w:val="start"/>
      <w:textAlignment w:val="baseline"/>
    </w:pPr>
    <w:rPr>
      <w:kern w:val="0"/>
      <w:sz w:val="20"/>
      <w:lang w:val="en-US" w:eastAsia="en-US"/>
    </w:rPr>
  </w:style>
  <w:style w:type="paragraph" w:styleId="Style18">
    <w:name w:val="列出段落"/>
    <w:basedOn w:val="Normal"/>
    <w:qFormat/>
    <w:pPr>
      <w:ind w:firstLineChars="200" w:startChars="0" w:start="0" w:endChars="0" w:end="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31200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2009-12-17T02:48:00Z</dcterms:created>
  <dc:creator>Administrator</dc:creator>
  <dc:description/>
  <dc:language>en-US</dc:language>
  <cp:lastModifiedBy>WPS_1684138053</cp:lastModifiedBy>
  <dcterms:modified xsi:type="dcterms:W3CDTF">2026-10-29T02:41:45Z</dcterms:modified>
  <cp:revision>6</cp:revision>
  <dc:subject/>
  <dc:title>                                                  受理号                           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EBF8259D13984BFB9606264452EF6482_13</vt:lpwstr>
  </property>
  <property fmtid="{D5CDD505-2E9C-101B-9397-08002B2CF9AE}" pid="3" name="KSOProductBuildVer">
    <vt:lpwstr>2052-12.1.0.29158</vt:lpwstr>
  </property>
  <property fmtid="{D5CDD505-2E9C-101B-9397-08002B2CF9AE}" pid="4" name="KSOTemplateDocerSaveRecord">
    <vt:lpwstr>eyJoZGlkIjoiNjc1OTQ4NGZiNGY2MmI0MjZiZWE4MzIxYzQ2NjFiMjkiLCJ1c2VySWQiOiIxNDk2MTIwNzM0In0=</vt:lpwstr>
  </property>
</Properties>
</file>