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/>
              <w:jc w:val="start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工业网络数据传输智能诊断与预测系统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ind w:firstLineChars="800" w:startChars="0" w:start="0" w:endChars="0" w:end="0"/>
              <w:rPr>
                <w:rFonts w:eastAsia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略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V1.0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原创    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修改（含翻译软件或合成软件，请说明）</w:t>
            </w:r>
          </w:p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z w:val="18"/>
                <w:szCs w:val="18"/>
              </w:rPr>
              <w:t>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年   月    日  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 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年  月   日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（</w:t>
            </w: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 xml:space="preserve">注：本日期必须在公司成立日期之后，首次发表日期之前）     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</w:t>
            </w:r>
            <w:r>
              <w:rPr>
                <w:rFonts w:ascii="宋体" w:hAnsi="宋体" w:hint="eastAsia"/>
                <w:sz w:val="18"/>
                <w:szCs w:val="18"/>
              </w:rPr>
              <w:t>年     月    日</w:t>
            </w:r>
          </w:p>
          <w:p>
            <w:pPr>
              <w:pStyle w:val="Normal"/>
              <w:spacing w:lineRule="auto" w: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注：本日期必须在开发完成日期之后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注：此地点为城市名称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未发表 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应用软件 </w:t>
            </w:r>
            <w:r>
              <w:rPr>
                <w:sz w:val="18"/>
                <w:szCs w:val="18"/>
              </w:rPr>
              <w:t xml:space="preserve">独立开发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合作开发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委托开发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>下达任务开发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北京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以上；千兆以太网卡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以上（建议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16 GB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）；硬盘可用空间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20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以上；千兆以太网卡；显示器分辨率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1920×1080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专业版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JDK 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Apache Maven 3.9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Node.js 18.17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npm 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Visual Studio Code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Git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10/11 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Linux x86_64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（内核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4.x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及以上）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eastAsia="宋体" w:cs="Times New Roman" w:hint="eastAsia"/>
                <w:sz w:val="21"/>
                <w:szCs w:val="22"/>
                <w:lang w:bidi="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JDK 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Node.js 18.17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RabbitMQ 3.9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</w:t>
            </w:r>
            <w:r>
              <w:rPr>
                <w:rFonts w:ascii="宋体" w:hAnsi="宋体" w:cs="Times New Roman" w:hint="eastAsia"/>
                <w:sz w:val="21"/>
                <w:szCs w:val="22"/>
                <w:lang w:bidi="ar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>Google Chrome 90+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Microsoft Edge 90+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等主流现代浏览器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□Assembly language  □C  □C#  □C++  □Delphi/Object Pascal □Go  ☑HTML  ☑Java  ☑JavaScript   □MATLAB □Objective-C   □PHP  □PL/SQL  □ Perl  ☑Python  □R  □Ruby  □SQL  □Swift □Visual Basic  □Visual Basic .Net</w:t>
              <w:br/>
              <w:t xml:space="preserve">其他编程语言：TypeScript                                          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14601       行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面向工业网络传输过程中速率波动、未来趋势难以判断和故障排查缺少依据的问题，构建网络速率预测与指标辅助诊断平台。软件通过展示实际、预测和安全速率曲线，以及模型健康、预测贴合度、趋势一致率和任务链路指标，帮助运维人员识别预测偏差、传输状态变化与可能的网络异常。结合数据接入、任务执行和接收核验，形成可回溯的分析依据，为工业监测数据的传输安排与人工诊断提供参考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ascii="Segoe UI" w:hAnsi="Segoe UI" w:cs="Segoe UI" w:eastAsia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  <w:t>主要面向工业制造、工业互联网、工业物联网及通信运维领域。</w:t>
              <w:br/>
              <w:t>适用于设备运行监测数据传输、产线网络维护、能源与电力通信、边缘数据汇聚等场景中的网络速率趋势分析、预测健康检查和传输异常辅助排查。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主要功能：</w:t>
              <w:br/>
              <w:t>（1）监测数据接入与传输控制。支持文件、文件夹、消息队列和API数据接入，提供自动或手动压缩配置、任务优先级、开始、暂停和重置等操作。</w:t>
              <w:br/>
              <w:t>（2）网络时序采样。获取吞吐率、时延、抖动、丢包及任务反馈，支持外部遥测和内置动态采样，形成供模型预测与对比使用的历史序列。</w:t>
              <w:br/>
              <w:t>（3）网络速率预测对比。采用紧凑LSTM模型及回退预测器生成速率结果，展示实际、预测和安全速率随时间变化的曲线，并提供点位提示信息。</w:t>
              <w:br/>
              <w:t>（4）模型与预测健康展示。显示当前预测模型及健康状态，依据滚动误差、危险高估比例和样本数判断是否进入降级或冷却状态。</w:t>
              <w:br/>
              <w:t>（5）预测贴合与趋势诊断。展示速率贴合度和趋势一致率，辅助观察数值偏差与变化方向是否一致，结合采样来源和任务状态理解指标。</w:t>
              <w:br/>
              <w:t>（6）完成任务统计展示。显示平均分片时延、平均传输速率与分片抖动，明确其来自已完成任务；尚无有效统计时显示等待值或占位符。</w:t>
              <w:br/>
              <w:t>（7）实时链路与任务指标展示。显示网络延迟、丢包率、网络抖动、有效吞吐、网络吞吐、重试、校验、进度和帧数等指标，辅助定位异常发生阶段。</w:t>
              <w:br/>
              <w:t>（8）任务结果与接收核验。通过详细传输页及接收监控页查看任务记录、恢复文件和目录，并在效果页核对时延与传输结论。诊断以指标辅助分析为主，不包含故障根因自动分类。</w:t>
            </w:r>
          </w:p>
        </w:tc>
      </w:tr>
      <w:tr>
        <w:trPr>
          <w:trHeight w:val="1560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hint="eastAsia" w:ascii="宋体" w:hAnsi="宋体"/>
                <w:sz w:val="18"/>
                <w:szCs w:val="18"/>
              </w:rPr>
              <w:t>□APP □游戏软件 □ 教育软件 □金融软件 □医疗软件 □地理信息软件 □云计算软件 □信息安全软件 □大数据软件 ☑人工智能软件 □VR软件 □5G软件 □小程序 ☑物联网软件 □智慧城市软件</w:t>
              <w:br/>
              <w:t>技术特点：</w:t>
              <w:br/>
              <w:t>（1）单系统入口与分层实现。前端使用Vue 3、TypeScript及ECharts，Java实现速率模型、遥测和反馈服务，Node网关组装预测对比和任务指标。工程固定为本系统主视图，并随附运行所需公共模块。</w:t>
              <w:br/>
              <w:t>（2）紧凑LSTM与回退预测。加载现有模型参数，对网络速率时序进行预测；样本、模型或健康状态不满足条件时使用现有回退预测逻辑。界面显示当前实际采用的模型，避免将模型名称与始终可用的准确性保证混同。</w:t>
              <w:br/>
              <w:t>（3）滚动反馈与安全速率修正。根据实际与预测速率之比更新修正因子，默认平滑系数为0.18；结合丢包、抖动、数据新鲜度和保守上限生成安全速率，并限制其向上变化幅度。预测曲线、安全速率与实际观测分别展示。</w:t>
              <w:br/>
              <w:t>（4）基于样本和误差的健康控制。默认健康窗口为240个样本，至少30个有效样本后判定；MAPE超过35%或危险高估比例超过35%时触发降级，默认冷却时间为60秒。阈值来自当前配置，运维调整后以部署配置为准。</w:t>
              <w:br/>
              <w:t>（5）预测与传输统计分层展示。前端按秒读取预测与完成任务数据，通过公共发送控制组件获取链路快照；界面对完成任务统计和链路实时指标作来源标记，未完成统计不以构造数据填充。贴合度与趋势一致率用于辅助评估，不替代独立测量。</w:t>
              <w:br/>
              <w:t>（6）传输核验与异常辅助诊断。复用分块压缩、接收恢复、SHA-256和字节比较，并综合重试、校验、丢包和进度识别排查方向。未接外部遥测时使用内置动态采样，部分耗时带有建模因素，当前未实现工业故障根因自动分类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Segoe UI">
    <w:charset w:val="00"/>
    <w:family w:val="auto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/>
  <dc:description/>
  <dc:language>en-US</dc:language>
  <cp:lastModifiedBy/>
  <dcterms:modified xsi:type="dcterms:W3CDTF">2026-10-29T02:41:45Z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EBF8259D13984BFB9606264452EF6482_13</vt:lpwstr>
  </property>
  <property fmtid="{D5CDD505-2E9C-101B-9397-08002B2CF9AE}" pid="3" name="KSOProductBuildVer">
    <vt:lpwstr>2052-12.1.0.29158</vt:lpwstr>
  </property>
  <property fmtid="{D5CDD505-2E9C-101B-9397-08002B2CF9AE}" pid="4" name="KSOTemplateDocerSaveRecord">
    <vt:lpwstr>eyJoZGlkIjoiNjc1OTQ4NGZiNGY2MmI0MjZiZWE4MzIxYzQ2NjFiMjkiLCJ1c2VySWQiOiIxNDk2MTIwNzM0In0=</vt:lpwstr>
  </property>
</Properties>
</file>