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453B8">
      <w:pPr>
        <w:jc w:val="center"/>
      </w:pPr>
    </w:p>
    <w:p w14:paraId="508B3CD9">
      <w:pPr>
        <w:jc w:val="center"/>
      </w:pPr>
    </w:p>
    <w:p w14:paraId="2622F62F">
      <w:pPr>
        <w:jc w:val="center"/>
      </w:pPr>
    </w:p>
    <w:p w14:paraId="775C6788">
      <w:pPr>
        <w:jc w:val="center"/>
      </w:pPr>
    </w:p>
    <w:p w14:paraId="21F41FCC">
      <w:pPr>
        <w:jc w:val="center"/>
      </w:pPr>
    </w:p>
    <w:p w14:paraId="5016325C">
      <w:pPr>
        <w:jc w:val="center"/>
      </w:pPr>
      <w:r>
        <w:drawing>
          <wp:inline distT="0" distB="0" distL="114300" distR="114300">
            <wp:extent cx="2550795" cy="2517140"/>
            <wp:effectExtent l="0" t="0" r="952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t="364" r="390"/>
                    <a:stretch>
                      <a:fillRect/>
                    </a:stretch>
                  </pic:blipFill>
                  <pic:spPr>
                    <a:xfrm>
                      <a:off x="0" y="0"/>
                      <a:ext cx="2550795" cy="2517140"/>
                    </a:xfrm>
                    <a:prstGeom prst="rect">
                      <a:avLst/>
                    </a:prstGeom>
                    <a:noFill/>
                    <a:ln>
                      <a:noFill/>
                    </a:ln>
                  </pic:spPr>
                </pic:pic>
              </a:graphicData>
            </a:graphic>
          </wp:inline>
        </w:drawing>
      </w:r>
    </w:p>
    <w:p w14:paraId="0C075510">
      <w:pPr>
        <w:jc w:val="center"/>
        <w:rPr>
          <w:sz w:val="44"/>
          <w:szCs w:val="44"/>
        </w:rPr>
      </w:pPr>
    </w:p>
    <w:p w14:paraId="24FC5A6D">
      <w:pPr>
        <w:jc w:val="center"/>
        <w:rPr>
          <w:rStyle w:val="10"/>
          <w:rFonts w:hint="default" w:ascii="Times New Roman" w:hAnsi="Times New Roman" w:cs="Times New Roman"/>
          <w:sz w:val="24"/>
          <w:szCs w:val="28"/>
        </w:rPr>
      </w:pPr>
      <w:r>
        <w:rPr>
          <w:rStyle w:val="10"/>
          <w:rFonts w:hint="default" w:ascii="Times New Roman" w:hAnsi="Times New Roman" w:cs="Times New Roman"/>
          <w:sz w:val="24"/>
          <w:szCs w:val="28"/>
        </w:rPr>
        <w:t>SHANDONG HENGCHI CRYSTALLITE NEW MATERIALS CO., LTD.</w:t>
      </w:r>
    </w:p>
    <w:p w14:paraId="5680FCA9">
      <w:pPr>
        <w:jc w:val="center"/>
        <w:rPr>
          <w:rFonts w:hint="default" w:ascii="Times New Roman" w:hAnsi="Times New Roman" w:cs="Times New Roman"/>
          <w:b/>
          <w:bCs/>
          <w:sz w:val="44"/>
          <w:szCs w:val="44"/>
        </w:rPr>
      </w:pPr>
      <w:r>
        <w:rPr>
          <w:rFonts w:hint="default" w:ascii="Times New Roman" w:hAnsi="Times New Roman" w:cs="Times New Roman"/>
          <w:sz w:val="24"/>
          <w:szCs w:val="28"/>
        </w:rPr>
        <w:br w:type="textWrapping"/>
      </w:r>
    </w:p>
    <w:p w14:paraId="396B8DAE">
      <w:pPr>
        <w:jc w:val="center"/>
        <w:rPr>
          <w:rFonts w:hint="default" w:ascii="Times New Roman" w:hAnsi="Times New Roman" w:cs="Times New Roman"/>
          <w:sz w:val="30"/>
          <w:szCs w:val="30"/>
        </w:rPr>
      </w:pPr>
      <w:r>
        <w:rPr>
          <w:rStyle w:val="11"/>
          <w:rFonts w:hint="default" w:ascii="Times New Roman" w:hAnsi="Times New Roman" w:cs="Times New Roman"/>
        </w:rPr>
        <w:t>Driven by Technology, Committed to Quality</w:t>
      </w:r>
    </w:p>
    <w:p w14:paraId="442A3419">
      <w:pPr>
        <w:rPr>
          <w:rFonts w:hint="default" w:ascii="Times New Roman" w:hAnsi="Times New Roman" w:cs="Times New Roman"/>
        </w:rPr>
      </w:pPr>
    </w:p>
    <w:p w14:paraId="745D7734">
      <w:pPr>
        <w:rPr>
          <w:rFonts w:hint="default" w:ascii="Times New Roman" w:hAnsi="Times New Roman" w:cs="Times New Roman"/>
          <w:b/>
          <w:bCs/>
          <w:sz w:val="44"/>
          <w:szCs w:val="44"/>
        </w:rPr>
      </w:pPr>
    </w:p>
    <w:p w14:paraId="3EADFD13">
      <w:pPr>
        <w:rPr>
          <w:rFonts w:hint="default" w:ascii="Times New Roman" w:hAnsi="Times New Roman" w:cs="Times New Roman"/>
          <w:b/>
          <w:bCs/>
          <w:sz w:val="44"/>
          <w:szCs w:val="44"/>
        </w:rPr>
      </w:pPr>
    </w:p>
    <w:p w14:paraId="49AD9457">
      <w:pPr>
        <w:rPr>
          <w:rFonts w:hint="default" w:ascii="Times New Roman" w:hAnsi="Times New Roman" w:cs="Times New Roman"/>
          <w:b/>
          <w:bCs/>
          <w:sz w:val="44"/>
          <w:szCs w:val="44"/>
        </w:rPr>
      </w:pPr>
    </w:p>
    <w:p w14:paraId="524A1B52">
      <w:pPr>
        <w:jc w:val="center"/>
        <w:rPr>
          <w:rFonts w:hint="default" w:ascii="Times New Roman" w:hAnsi="Times New Roman" w:cs="Times New Roman"/>
          <w:b/>
          <w:bCs/>
          <w:sz w:val="44"/>
          <w:szCs w:val="44"/>
        </w:rPr>
      </w:pPr>
    </w:p>
    <w:p w14:paraId="39BADE20">
      <w:pPr>
        <w:ind w:left="2200" w:hanging="1054" w:hangingChars="500"/>
        <w:jc w:val="center"/>
        <w:rPr>
          <w:rFonts w:hint="default" w:ascii="Times New Roman" w:hAnsi="Times New Roman" w:cs="Times New Roman"/>
        </w:rPr>
      </w:pPr>
      <w:r>
        <w:rPr>
          <w:rStyle w:val="10"/>
          <w:rFonts w:hint="default" w:ascii="Times New Roman" w:hAnsi="Times New Roman" w:cs="Times New Roman"/>
        </w:rPr>
        <w:t>Company Address:</w:t>
      </w:r>
      <w:r>
        <w:rPr>
          <w:rFonts w:hint="default" w:ascii="Times New Roman" w:hAnsi="Times New Roman" w:cs="Times New Roman"/>
        </w:rPr>
        <w:br w:type="textWrapping"/>
      </w:r>
      <w:r>
        <w:rPr>
          <w:rFonts w:hint="default" w:ascii="Times New Roman" w:hAnsi="Times New Roman" w:cs="Times New Roman"/>
        </w:rPr>
        <w:t>Southeast Corner of the Intersection of Chuangye Avenue and Changjiang Road, Zhangdian District, Zibo City, Shandong Province, China</w:t>
      </w:r>
    </w:p>
    <w:p w14:paraId="56547022"/>
    <w:p w14:paraId="0B2A5F97">
      <w:pPr>
        <w:bidi w:val="0"/>
        <w:rPr>
          <w:rFonts w:asciiTheme="minorHAnsi" w:hAnsiTheme="minorHAnsi" w:eastAsiaTheme="minorEastAsia" w:cstheme="minorBidi"/>
          <w:kern w:val="2"/>
          <w:sz w:val="21"/>
          <w:szCs w:val="22"/>
          <w:lang w:val="en-US" w:eastAsia="zh-CN" w:bidi="ar-SA"/>
        </w:rPr>
      </w:pPr>
    </w:p>
    <w:p w14:paraId="03BF5034">
      <w:pPr>
        <w:bidi w:val="0"/>
        <w:rPr>
          <w:lang w:val="en-US" w:eastAsia="zh-CN"/>
        </w:rPr>
      </w:pPr>
    </w:p>
    <w:p w14:paraId="29600C88">
      <w:pPr>
        <w:bidi w:val="0"/>
        <w:rPr>
          <w:lang w:val="en-US" w:eastAsia="zh-CN"/>
        </w:rPr>
      </w:pPr>
    </w:p>
    <w:p w14:paraId="0EA1F30A">
      <w:pPr>
        <w:bidi w:val="0"/>
        <w:rPr>
          <w:lang w:val="en-US" w:eastAsia="zh-CN"/>
        </w:rPr>
      </w:pPr>
    </w:p>
    <w:p w14:paraId="35442E61">
      <w:pPr>
        <w:bidi w:val="0"/>
        <w:rPr>
          <w:lang w:val="en-US" w:eastAsia="zh-CN"/>
        </w:rPr>
      </w:pPr>
    </w:p>
    <w:p w14:paraId="455D746C">
      <w:pPr>
        <w:bidi w:val="0"/>
        <w:ind w:firstLine="325" w:firstLineChars="0"/>
        <w:jc w:val="left"/>
        <w:rPr>
          <w:lang w:val="en-US" w:eastAsia="zh-CN"/>
        </w:rPr>
        <w:sectPr>
          <w:footerReference r:id="rId3" w:type="default"/>
          <w:pgSz w:w="11906" w:h="16838"/>
          <w:pgMar w:top="1440" w:right="1800" w:bottom="1440" w:left="1800" w:header="851" w:footer="992" w:gutter="0"/>
          <w:cols w:space="425" w:num="1"/>
          <w:docGrid w:type="lines" w:linePitch="312" w:charSpace="0"/>
        </w:sectPr>
      </w:pPr>
    </w:p>
    <w:p w14:paraId="79FFBABC">
      <w:pPr>
        <w:pStyle w:val="2"/>
        <w:keepNext w:val="0"/>
        <w:keepLines w:val="0"/>
        <w:widowControl/>
        <w:suppressLineNumbers w:val="0"/>
        <w:jc w:val="center"/>
        <w:rPr>
          <w:rFonts w:hint="default" w:ascii="Times New Roman" w:hAnsi="Times New Roman" w:cs="Times New Roman"/>
          <w:sz w:val="28"/>
          <w:szCs w:val="28"/>
        </w:rPr>
      </w:pPr>
      <w:r>
        <w:rPr>
          <w:rStyle w:val="10"/>
          <w:rFonts w:hint="default" w:ascii="Times New Roman" w:hAnsi="Times New Roman" w:cs="Times New Roman"/>
          <w:b/>
        </w:rPr>
        <w:t>Brief Introduction</w:t>
      </w:r>
    </w:p>
    <w:p w14:paraId="0F42471D">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Shandong HENGCHI CRYSTALLITE New Materials Co., Ltd. is a high-</w:t>
      </w:r>
      <w:bookmarkStart w:id="0" w:name="_GoBack"/>
      <w:bookmarkEnd w:id="0"/>
      <w:r>
        <w:rPr>
          <w:rFonts w:hint="default" w:ascii="Times New Roman" w:hAnsi="Times New Roman" w:cs="Times New Roman"/>
        </w:rPr>
        <w:t xml:space="preserve">tech enterprise specializing in the production of </w:t>
      </w:r>
      <w:r>
        <w:rPr>
          <w:rFonts w:hint="eastAsia" w:ascii="Times New Roman" w:hAnsi="Times New Roman" w:cs="Times New Roman"/>
          <w:lang w:eastAsia="zh-CN"/>
        </w:rPr>
        <w:t>Pesudo-boehmite</w:t>
      </w:r>
      <w:r>
        <w:rPr>
          <w:rFonts w:hint="default" w:ascii="Times New Roman" w:hAnsi="Times New Roman" w:cs="Times New Roman"/>
        </w:rPr>
        <w:t xml:space="preserve"> (aluminum hydroxide gel) and various types of alumina-based catalyst carriers, utilizing a proprietary continuous decomposition process based on the carbonization method. The company has been certified under the ISO 9001 Quality Management System.</w:t>
      </w:r>
    </w:p>
    <w:p w14:paraId="1F167B58">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Products are manufactured using independently developed equipment for continuous decomposition via carbonization, ensuring stable quality, large specific surface area, and high activity. These products are primarily used in petroleum and coal chemical catalysts, high-end ceramics, semiconductors, electronics, and new energy sectors.Equipped with a comprehensive testing center and a professional R&amp;D team, the company has, through years of development, passed evaluations by multiple materials research institutes and received widespread acclaim from customers. It is a certified supplier to Sinopec and its Catalyst Division.</w:t>
      </w:r>
    </w:p>
    <w:p w14:paraId="6E5DD98A">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Adhering to the principle of “Customer Needs Are Our Priority,” the company continuously enhances collaboration with leading universities and research institutes, striving for constant improvement and innovation. Tailored high-tech catalyst carriers with customized chemical compositions, physical and chemical properties, and shapes can be developed and manufactured upon request.</w:t>
      </w:r>
    </w:p>
    <w:p w14:paraId="721EDB9E">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Shandong HENGCHI CRYSTALLITE sincerely welcomes collaboration from all sectors to create a better future together.</w:t>
      </w:r>
    </w:p>
    <w:p w14:paraId="1BC9E1A7">
      <w:pPr>
        <w:bidi w:val="0"/>
        <w:jc w:val="left"/>
        <w:rPr>
          <w:lang w:val="en-US" w:eastAsia="zh-CN"/>
        </w:rPr>
      </w:pPr>
    </w:p>
    <w:p w14:paraId="5D9FD6AE">
      <w:pPr>
        <w:bidi w:val="0"/>
        <w:rPr>
          <w:rFonts w:asciiTheme="minorHAnsi" w:hAnsiTheme="minorHAnsi" w:eastAsiaTheme="minorEastAsia" w:cstheme="minorBidi"/>
          <w:kern w:val="2"/>
          <w:sz w:val="21"/>
          <w:szCs w:val="22"/>
          <w:lang w:val="en-US" w:eastAsia="zh-CN" w:bidi="ar-SA"/>
        </w:rPr>
      </w:pPr>
    </w:p>
    <w:p w14:paraId="0402657D">
      <w:pPr>
        <w:bidi w:val="0"/>
        <w:rPr>
          <w:lang w:val="en-US" w:eastAsia="zh-CN"/>
        </w:rPr>
      </w:pPr>
    </w:p>
    <w:p w14:paraId="547B4094">
      <w:pPr>
        <w:bidi w:val="0"/>
        <w:rPr>
          <w:lang w:val="en-US" w:eastAsia="zh-CN"/>
        </w:rPr>
      </w:pPr>
    </w:p>
    <w:p w14:paraId="05D1804F">
      <w:pPr>
        <w:bidi w:val="0"/>
        <w:rPr>
          <w:lang w:val="en-US" w:eastAsia="zh-CN"/>
        </w:rPr>
      </w:pPr>
    </w:p>
    <w:p w14:paraId="66E86EC8">
      <w:pPr>
        <w:bidi w:val="0"/>
        <w:rPr>
          <w:lang w:val="en-US" w:eastAsia="zh-CN"/>
        </w:rPr>
      </w:pPr>
    </w:p>
    <w:p w14:paraId="241BE3B5">
      <w:pPr>
        <w:bidi w:val="0"/>
        <w:rPr>
          <w:lang w:val="en-US" w:eastAsia="zh-CN"/>
        </w:rPr>
      </w:pPr>
    </w:p>
    <w:p w14:paraId="4CF704C6">
      <w:pPr>
        <w:bidi w:val="0"/>
        <w:rPr>
          <w:lang w:val="en-US" w:eastAsia="zh-CN"/>
        </w:rPr>
      </w:pPr>
    </w:p>
    <w:p w14:paraId="5C880F66">
      <w:pPr>
        <w:bidi w:val="0"/>
        <w:rPr>
          <w:lang w:val="en-US" w:eastAsia="zh-CN"/>
        </w:rPr>
      </w:pPr>
    </w:p>
    <w:p w14:paraId="3CA1C137">
      <w:pPr>
        <w:bidi w:val="0"/>
        <w:rPr>
          <w:lang w:val="en-US" w:eastAsia="zh-CN"/>
        </w:rPr>
      </w:pPr>
    </w:p>
    <w:p w14:paraId="7D2C1DE0">
      <w:pPr>
        <w:bidi w:val="0"/>
        <w:rPr>
          <w:lang w:val="en-US" w:eastAsia="zh-CN"/>
        </w:rPr>
      </w:pPr>
    </w:p>
    <w:p w14:paraId="240D1DFA">
      <w:pPr>
        <w:bidi w:val="0"/>
        <w:rPr>
          <w:lang w:val="en-US" w:eastAsia="zh-CN"/>
        </w:rPr>
      </w:pPr>
    </w:p>
    <w:p w14:paraId="36EAC8BD">
      <w:pPr>
        <w:bidi w:val="0"/>
        <w:rPr>
          <w:lang w:val="en-US" w:eastAsia="zh-CN"/>
        </w:rPr>
      </w:pPr>
    </w:p>
    <w:p w14:paraId="0CBEC9BA">
      <w:pPr>
        <w:bidi w:val="0"/>
        <w:rPr>
          <w:lang w:val="en-US" w:eastAsia="zh-CN"/>
        </w:rPr>
      </w:pPr>
    </w:p>
    <w:p w14:paraId="4C2CC4E5">
      <w:pPr>
        <w:bidi w:val="0"/>
        <w:rPr>
          <w:lang w:val="en-US" w:eastAsia="zh-CN"/>
        </w:rPr>
      </w:pPr>
    </w:p>
    <w:p w14:paraId="30C05412">
      <w:pPr>
        <w:bidi w:val="0"/>
        <w:rPr>
          <w:lang w:val="en-US" w:eastAsia="zh-CN"/>
        </w:rPr>
      </w:pPr>
    </w:p>
    <w:p w14:paraId="1BA2B354">
      <w:pPr>
        <w:bidi w:val="0"/>
        <w:rPr>
          <w:lang w:val="en-US" w:eastAsia="zh-CN"/>
        </w:rPr>
      </w:pPr>
    </w:p>
    <w:p w14:paraId="02C8313C">
      <w:pPr>
        <w:bidi w:val="0"/>
        <w:jc w:val="left"/>
        <w:rPr>
          <w:lang w:val="en-US" w:eastAsia="zh-CN"/>
        </w:rPr>
        <w:sectPr>
          <w:pgSz w:w="11906" w:h="16838"/>
          <w:pgMar w:top="1440" w:right="1800" w:bottom="1440" w:left="1800" w:header="851" w:footer="992" w:gutter="0"/>
          <w:cols w:space="425" w:num="1"/>
          <w:docGrid w:type="lines" w:linePitch="312" w:charSpace="0"/>
        </w:sectPr>
      </w:pPr>
    </w:p>
    <w:p w14:paraId="18A00265">
      <w:pPr>
        <w:jc w:val="center"/>
        <w:rPr>
          <w:rFonts w:ascii="微软雅黑" w:hAnsi="微软雅黑" w:eastAsia="微软雅黑" w:cs="微软雅黑"/>
          <w:b/>
          <w:bCs/>
          <w:sz w:val="32"/>
          <w:szCs w:val="40"/>
        </w:rPr>
      </w:pPr>
    </w:p>
    <w:p w14:paraId="4C5F00E2">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Corporate Philosophy</w:t>
      </w:r>
    </w:p>
    <w:p w14:paraId="13BCBE29">
      <w:pPr>
        <w:pStyle w:val="6"/>
        <w:keepNext w:val="0"/>
        <w:keepLines w:val="0"/>
        <w:widowControl/>
        <w:suppressLineNumbers w:val="0"/>
        <w:spacing w:before="0" w:beforeAutospacing="1" w:after="0" w:afterAutospacing="1"/>
        <w:ind w:left="0" w:right="0"/>
        <w:jc w:val="center"/>
      </w:pPr>
      <w:r>
        <w:rPr>
          <w:rFonts w:hint="default" w:ascii="Times New Roman" w:hAnsi="Times New Roman" w:cs="Times New Roman"/>
        </w:rPr>
        <w:t>Technology as the Core, Quality as the Lifeline</w:t>
      </w:r>
    </w:p>
    <w:p w14:paraId="6585FF51"/>
    <w:p w14:paraId="7430074C"/>
    <w:p w14:paraId="3A8BF533"/>
    <w:p w14:paraId="1B503352">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Brand Identity</w:t>
      </w:r>
    </w:p>
    <w:p w14:paraId="74C10746">
      <w:pPr>
        <w:jc w:val="center"/>
        <w:rPr>
          <w:rFonts w:hint="default" w:ascii="Times New Roman" w:hAnsi="Times New Roman" w:cs="Times New Roman"/>
          <w:sz w:val="32"/>
        </w:rPr>
      </w:pPr>
      <w:r>
        <w:rPr>
          <w:rFonts w:hint="default" w:ascii="Times New Roman" w:hAnsi="Times New Roman" w:cs="Times New Roman"/>
        </w:rPr>
        <w:t>Technology · Quality · Responsibility</w:t>
      </w:r>
    </w:p>
    <w:p w14:paraId="098C23B2">
      <w:pPr>
        <w:jc w:val="center"/>
        <w:rPr>
          <w:rFonts w:hint="default" w:ascii="Times New Roman" w:hAnsi="Times New Roman" w:cs="Times New Roman"/>
          <w:sz w:val="32"/>
        </w:rPr>
      </w:pPr>
    </w:p>
    <w:p w14:paraId="402E83E2">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Corporate Culture</w:t>
      </w:r>
    </w:p>
    <w:p w14:paraId="5956EF81">
      <w:pPr>
        <w:jc w:val="center"/>
        <w:rPr>
          <w:rFonts w:hint="default" w:ascii="Times New Roman" w:hAnsi="Times New Roman" w:cs="Times New Roman"/>
          <w:sz w:val="32"/>
        </w:rPr>
      </w:pPr>
      <w:r>
        <w:rPr>
          <w:rFonts w:hint="default" w:ascii="Times New Roman" w:hAnsi="Times New Roman" w:cs="Times New Roman"/>
        </w:rPr>
        <w:t>Rigor · Collaboration · Innovation</w:t>
      </w:r>
    </w:p>
    <w:p w14:paraId="1EB4190C">
      <w:pPr>
        <w:rPr>
          <w:sz w:val="32"/>
        </w:rPr>
      </w:pPr>
    </w:p>
    <w:p w14:paraId="5905D354">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Core Values</w:t>
      </w:r>
    </w:p>
    <w:p w14:paraId="75ABE74C">
      <w:pPr>
        <w:pStyle w:val="6"/>
        <w:keepNext w:val="0"/>
        <w:keepLines w:val="0"/>
        <w:widowControl/>
        <w:suppressLineNumbers w:val="0"/>
        <w:spacing w:before="0" w:beforeAutospacing="1" w:after="0" w:afterAutospacing="1"/>
        <w:ind w:left="0" w:right="0"/>
        <w:jc w:val="center"/>
        <w:rPr>
          <w:rFonts w:hint="default" w:ascii="Times New Roman" w:hAnsi="Times New Roman" w:cs="Times New Roman"/>
        </w:rPr>
      </w:pPr>
      <w:r>
        <w:rPr>
          <w:rFonts w:hint="default" w:ascii="Times New Roman" w:hAnsi="Times New Roman" w:cs="Times New Roman"/>
        </w:rPr>
        <w:t>Integrity as the Foundation</w:t>
      </w:r>
      <w:r>
        <w:rPr>
          <w:rFonts w:hint="default" w:ascii="Times New Roman" w:hAnsi="Times New Roman" w:cs="Times New Roman"/>
        </w:rPr>
        <w:br w:type="textWrapping"/>
      </w:r>
      <w:r>
        <w:rPr>
          <w:rFonts w:hint="default" w:ascii="Times New Roman" w:hAnsi="Times New Roman" w:cs="Times New Roman"/>
        </w:rPr>
        <w:t>Customer-Centric Service</w:t>
      </w:r>
      <w:r>
        <w:rPr>
          <w:rFonts w:hint="default" w:ascii="Times New Roman" w:hAnsi="Times New Roman" w:cs="Times New Roman"/>
        </w:rPr>
        <w:br w:type="textWrapping"/>
      </w:r>
      <w:r>
        <w:rPr>
          <w:rFonts w:hint="default" w:ascii="Times New Roman" w:hAnsi="Times New Roman" w:cs="Times New Roman"/>
        </w:rPr>
        <w:t>Pursuit of Innovation and Excellence</w:t>
      </w:r>
      <w:r>
        <w:rPr>
          <w:rFonts w:hint="default" w:ascii="Times New Roman" w:hAnsi="Times New Roman" w:cs="Times New Roman"/>
        </w:rPr>
        <w:br w:type="textWrapping"/>
      </w:r>
      <w:r>
        <w:rPr>
          <w:rFonts w:hint="default" w:ascii="Times New Roman" w:hAnsi="Times New Roman" w:cs="Times New Roman"/>
        </w:rPr>
        <w:t>Commitment to Responsibility</w:t>
      </w:r>
    </w:p>
    <w:p w14:paraId="36020326">
      <w:pPr>
        <w:rPr>
          <w:sz w:val="32"/>
        </w:rPr>
      </w:pPr>
    </w:p>
    <w:p w14:paraId="2CF52219"/>
    <w:p w14:paraId="3166EB7B"/>
    <w:p w14:paraId="23DB7F4A"/>
    <w:p w14:paraId="774F754A"/>
    <w:p w14:paraId="0259192F"/>
    <w:p w14:paraId="27DB7BF6">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Contact Us</w:t>
      </w:r>
    </w:p>
    <w:p w14:paraId="6BFAC6BA">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0"/>
          <w:rFonts w:hint="default" w:ascii="Times New Roman" w:hAnsi="Times New Roman" w:cs="Times New Roman"/>
        </w:rPr>
        <w:t>General Manager:</w:t>
      </w:r>
      <w:r>
        <w:rPr>
          <w:rFonts w:hint="default" w:ascii="Times New Roman" w:hAnsi="Times New Roman" w:cs="Times New Roman"/>
        </w:rPr>
        <w:t xml:space="preserve"> Mr. Deng Jianke – 18366302378</w:t>
      </w:r>
      <w:r>
        <w:rPr>
          <w:rFonts w:hint="default" w:ascii="Times New Roman" w:hAnsi="Times New Roman" w:cs="Times New Roman"/>
        </w:rPr>
        <w:br w:type="textWrapping"/>
      </w:r>
      <w:r>
        <w:rPr>
          <w:rStyle w:val="10"/>
          <w:rFonts w:hint="default" w:ascii="Times New Roman" w:hAnsi="Times New Roman" w:cs="Times New Roman"/>
        </w:rPr>
        <w:t>Sales Director:</w:t>
      </w:r>
      <w:r>
        <w:rPr>
          <w:rFonts w:hint="default" w:ascii="Times New Roman" w:hAnsi="Times New Roman" w:cs="Times New Roman"/>
        </w:rPr>
        <w:t xml:space="preserve"> Mr. Liu Boshuai – 15698053326 (same number on WeChat)</w:t>
      </w:r>
      <w:r>
        <w:rPr>
          <w:rFonts w:hint="default" w:ascii="Times New Roman" w:hAnsi="Times New Roman" w:cs="Times New Roman"/>
        </w:rPr>
        <w:br w:type="textWrapping"/>
      </w:r>
      <w:r>
        <w:rPr>
          <w:rStyle w:val="10"/>
          <w:rFonts w:hint="default" w:ascii="Times New Roman" w:hAnsi="Times New Roman" w:cs="Times New Roman"/>
        </w:rPr>
        <w:t>Email:</w:t>
      </w:r>
      <w:r>
        <w:rPr>
          <w:rFonts w:hint="default" w:ascii="Times New Roman" w:hAnsi="Times New Roman" w:cs="Times New Roman"/>
        </w:rPr>
        <w:t xml:space="preserve"> shield0de@126.com</w:t>
      </w:r>
    </w:p>
    <w:p w14:paraId="1F0FC936">
      <w:pPr>
        <w:bidi w:val="0"/>
        <w:jc w:val="left"/>
        <w:rPr>
          <w:lang w:val="en-US" w:eastAsia="zh-CN"/>
        </w:rPr>
      </w:pPr>
    </w:p>
    <w:p w14:paraId="1A41BCE5">
      <w:pPr>
        <w:bidi w:val="0"/>
        <w:jc w:val="left"/>
        <w:rPr>
          <w:lang w:val="en-US" w:eastAsia="zh-CN"/>
        </w:rPr>
      </w:pPr>
    </w:p>
    <w:p w14:paraId="0A37FAC9">
      <w:pPr>
        <w:pStyle w:val="2"/>
        <w:keepNext w:val="0"/>
        <w:keepLines w:val="0"/>
        <w:widowControl/>
        <w:suppressLineNumbers w:val="0"/>
        <w:jc w:val="center"/>
        <w:rPr>
          <w:rFonts w:hint="eastAsia" w:ascii="Times New Roman" w:hAnsi="Times New Roman" w:eastAsia="宋体" w:cs="Times New Roman"/>
          <w:lang w:eastAsia="zh-CN"/>
        </w:rPr>
      </w:pPr>
      <w:r>
        <w:rPr>
          <w:rStyle w:val="10"/>
          <w:rFonts w:hint="default" w:ascii="Times New Roman" w:hAnsi="Times New Roman" w:cs="Times New Roman"/>
          <w:b/>
        </w:rPr>
        <w:t xml:space="preserve">General Macroporous </w:t>
      </w:r>
      <w:r>
        <w:rPr>
          <w:rStyle w:val="10"/>
          <w:rFonts w:hint="eastAsia" w:ascii="Times New Roman" w:hAnsi="Times New Roman" w:cs="Times New Roman"/>
          <w:b/>
          <w:lang w:eastAsia="zh-CN"/>
        </w:rPr>
        <w:t>Pesudo-boehmite</w:t>
      </w:r>
    </w:p>
    <w:p w14:paraId="72EADE14">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 Product Properties</w:t>
      </w:r>
    </w:p>
    <w:p w14:paraId="5570D4BC">
      <w:pPr>
        <w:pStyle w:val="6"/>
        <w:keepNext w:val="0"/>
        <w:keepLines w:val="0"/>
        <w:widowControl/>
        <w:suppressLineNumbers w:val="0"/>
        <w:rPr>
          <w:rFonts w:hint="default" w:ascii="Times New Roman" w:hAnsi="Times New Roman" w:cs="Times New Roman"/>
          <w:color w:val="333333"/>
          <w:kern w:val="0"/>
          <w:sz w:val="24"/>
          <w:szCs w:val="24"/>
          <w:shd w:val="clear" w:color="auto" w:fill="FFFFFF"/>
          <w:lang w:bidi="ar"/>
        </w:rPr>
      </w:pPr>
      <w:r>
        <w:rPr>
          <w:rFonts w:hint="eastAsia" w:ascii="Times New Roman" w:hAnsi="Times New Roman" w:cs="Times New Roman"/>
          <w:lang w:eastAsia="zh-CN"/>
        </w:rPr>
        <w:t>Pesudo-boehmite</w:t>
      </w:r>
      <w:r>
        <w:rPr>
          <w:rFonts w:hint="default" w:ascii="Times New Roman" w:hAnsi="Times New Roman" w:cs="Times New Roman"/>
        </w:rPr>
        <w:t xml:space="preserve">, also known as aluminum hydroxide gel, mono-hydrated alumina, or pseudo-monohydrate soft alumina, has the molecular formula Al₂O₃·H₂O. General </w:t>
      </w:r>
      <w:r>
        <w:rPr>
          <w:rFonts w:hint="eastAsia" w:ascii="Times New Roman" w:hAnsi="Times New Roman" w:cs="Times New Roman"/>
          <w:lang w:eastAsia="zh-CN"/>
        </w:rPr>
        <w:t>Pesudo-boehmite</w:t>
      </w:r>
      <w:r>
        <w:rPr>
          <w:rFonts w:hint="default" w:ascii="Times New Roman" w:hAnsi="Times New Roman" w:cs="Times New Roman"/>
        </w:rPr>
        <w:t xml:space="preserve"> refers to products with SiO₂, Na₂O, and Fe₂O₃ content equal to or greater than 0.005%. It is non-toxic, odorless, and tasteless, and appears as a fine powder.</w:t>
      </w:r>
    </w:p>
    <w:p w14:paraId="1BB2A53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 Main Applications</w:t>
      </w:r>
    </w:p>
    <w:p w14:paraId="0F7194D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product series is characterized by stable quality and excellent physicochemical properties. It is widely used in various fields, including hydroprocessing catalysts for petroleum distillates, cracking catalysts (e.g., for gasoline hydro-upgrading), and catalysts in the refining and chemical industries.</w:t>
      </w:r>
    </w:p>
    <w:tbl>
      <w:tblPr>
        <w:tblStyle w:val="8"/>
        <w:tblpPr w:leftFromText="180" w:rightFromText="180" w:vertAnchor="page" w:horzAnchor="page" w:tblpX="743" w:tblpY="7011"/>
        <w:tblW w:w="10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992"/>
        <w:gridCol w:w="992"/>
        <w:gridCol w:w="851"/>
        <w:gridCol w:w="992"/>
        <w:gridCol w:w="992"/>
        <w:gridCol w:w="992"/>
        <w:gridCol w:w="851"/>
        <w:gridCol w:w="850"/>
        <w:gridCol w:w="993"/>
      </w:tblGrid>
      <w:tr w14:paraId="1C46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3CE60FDE">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Product Name</w:t>
            </w:r>
          </w:p>
        </w:tc>
        <w:tc>
          <w:tcPr>
            <w:tcW w:w="992" w:type="dxa"/>
            <w:vAlign w:val="center"/>
          </w:tcPr>
          <w:p w14:paraId="7F169DE5">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Grade</w:t>
            </w:r>
          </w:p>
        </w:tc>
        <w:tc>
          <w:tcPr>
            <w:tcW w:w="992" w:type="dxa"/>
            <w:vAlign w:val="center"/>
          </w:tcPr>
          <w:p w14:paraId="68F95600">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CaO (%)</w:t>
            </w:r>
          </w:p>
        </w:tc>
        <w:tc>
          <w:tcPr>
            <w:tcW w:w="851" w:type="dxa"/>
            <w:vAlign w:val="center"/>
          </w:tcPr>
          <w:p w14:paraId="45F3BE21">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SiO₂ (%)</w:t>
            </w:r>
          </w:p>
        </w:tc>
        <w:tc>
          <w:tcPr>
            <w:tcW w:w="992" w:type="dxa"/>
            <w:vAlign w:val="center"/>
          </w:tcPr>
          <w:p w14:paraId="61172A71">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Fe₂O₃ (%)</w:t>
            </w:r>
          </w:p>
        </w:tc>
        <w:tc>
          <w:tcPr>
            <w:tcW w:w="992" w:type="dxa"/>
            <w:vAlign w:val="center"/>
          </w:tcPr>
          <w:p w14:paraId="2E0D1A8B">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Na₂O (%)</w:t>
            </w:r>
          </w:p>
        </w:tc>
        <w:tc>
          <w:tcPr>
            <w:tcW w:w="992" w:type="dxa"/>
            <w:vAlign w:val="center"/>
          </w:tcPr>
          <w:p w14:paraId="08D3B583">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Specific Surface Area (m²/g)</w:t>
            </w:r>
          </w:p>
        </w:tc>
        <w:tc>
          <w:tcPr>
            <w:tcW w:w="851" w:type="dxa"/>
            <w:vAlign w:val="center"/>
          </w:tcPr>
          <w:p w14:paraId="789CE962">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Pore Volume (ml/g)</w:t>
            </w:r>
          </w:p>
        </w:tc>
        <w:tc>
          <w:tcPr>
            <w:tcW w:w="850" w:type="dxa"/>
            <w:vAlign w:val="center"/>
          </w:tcPr>
          <w:p w14:paraId="19A5A4D2">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Dry Basis (%)</w:t>
            </w:r>
          </w:p>
        </w:tc>
        <w:tc>
          <w:tcPr>
            <w:tcW w:w="993" w:type="dxa"/>
            <w:vAlign w:val="center"/>
          </w:tcPr>
          <w:p w14:paraId="6D3EAA6A">
            <w:pPr>
              <w:keepNext w:val="0"/>
              <w:keepLines w:val="0"/>
              <w:widowControl/>
              <w:suppressLineNumbers w:val="0"/>
              <w:jc w:val="center"/>
              <w:rPr>
                <w:rFonts w:hint="default" w:ascii="Times New Roman" w:hAnsi="Times New Roman" w:cs="Times New Roman"/>
                <w:b w:val="0"/>
                <w:bCs w:val="0"/>
                <w:sz w:val="15"/>
                <w:szCs w:val="15"/>
              </w:rPr>
            </w:pPr>
            <w:r>
              <w:rPr>
                <w:rFonts w:hint="default" w:ascii="Times New Roman" w:hAnsi="Times New Roman" w:eastAsia="宋体" w:cs="Times New Roman"/>
                <w:b w:val="0"/>
                <w:bCs w:val="0"/>
                <w:kern w:val="0"/>
                <w:sz w:val="15"/>
                <w:szCs w:val="15"/>
                <w:lang w:val="en-US" w:eastAsia="zh-CN" w:bidi="ar"/>
              </w:rPr>
              <w:t>Gel Volume (%)</w:t>
            </w:r>
          </w:p>
        </w:tc>
      </w:tr>
      <w:tr w14:paraId="7F3E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0002C426">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Silicon-Free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72365E6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CP-1</w:t>
            </w:r>
          </w:p>
        </w:tc>
        <w:tc>
          <w:tcPr>
            <w:tcW w:w="992" w:type="dxa"/>
          </w:tcPr>
          <w:p w14:paraId="520A3D6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6895EA6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992" w:type="dxa"/>
          </w:tcPr>
          <w:p w14:paraId="3F5702E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7CE875B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0F1ADAE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280-300</w:t>
            </w:r>
          </w:p>
        </w:tc>
        <w:tc>
          <w:tcPr>
            <w:tcW w:w="851" w:type="dxa"/>
          </w:tcPr>
          <w:p w14:paraId="5BBA94A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w:t>
            </w:r>
          </w:p>
        </w:tc>
        <w:tc>
          <w:tcPr>
            <w:tcW w:w="850" w:type="dxa"/>
          </w:tcPr>
          <w:p w14:paraId="0D5F903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1D431CA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20-30</w:t>
            </w:r>
          </w:p>
        </w:tc>
      </w:tr>
      <w:tr w14:paraId="7E6F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77F1B9AA">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Silicon-Free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7681AED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CP-2</w:t>
            </w:r>
          </w:p>
        </w:tc>
        <w:tc>
          <w:tcPr>
            <w:tcW w:w="992" w:type="dxa"/>
          </w:tcPr>
          <w:p w14:paraId="69BF404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31E4A2E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992" w:type="dxa"/>
          </w:tcPr>
          <w:p w14:paraId="314D123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23ECC70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7A9F4A9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851" w:type="dxa"/>
          </w:tcPr>
          <w:p w14:paraId="214C983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850" w:type="dxa"/>
          </w:tcPr>
          <w:p w14:paraId="47D605D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34D5843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5-20</w:t>
            </w:r>
          </w:p>
        </w:tc>
      </w:tr>
      <w:tr w14:paraId="1C2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5C2DC321">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Silicon-Free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08D1F4C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CP-3</w:t>
            </w:r>
          </w:p>
        </w:tc>
        <w:tc>
          <w:tcPr>
            <w:tcW w:w="992" w:type="dxa"/>
          </w:tcPr>
          <w:p w14:paraId="7DECB51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7408A9C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992" w:type="dxa"/>
          </w:tcPr>
          <w:p w14:paraId="0585C97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02AFC84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029B353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851" w:type="dxa"/>
          </w:tcPr>
          <w:p w14:paraId="41CE7D3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850" w:type="dxa"/>
          </w:tcPr>
          <w:p w14:paraId="3F0BACB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5F2BF7C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20-30</w:t>
            </w:r>
          </w:p>
        </w:tc>
      </w:tr>
      <w:tr w14:paraId="2DEB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5FAB6A69">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Silicon-Free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7EDC4FE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CP-4</w:t>
            </w:r>
          </w:p>
        </w:tc>
        <w:tc>
          <w:tcPr>
            <w:tcW w:w="992" w:type="dxa"/>
          </w:tcPr>
          <w:p w14:paraId="374FE79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643A053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992" w:type="dxa"/>
          </w:tcPr>
          <w:p w14:paraId="6DFE3C2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4A28519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3BB7DD7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851" w:type="dxa"/>
          </w:tcPr>
          <w:p w14:paraId="2CCB9C5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850" w:type="dxa"/>
          </w:tcPr>
          <w:p w14:paraId="31CFD08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0CCB47B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30-40</w:t>
            </w:r>
          </w:p>
        </w:tc>
      </w:tr>
      <w:tr w14:paraId="0808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2302EFBF">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High-Silica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2EDD7B9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CP-S-1</w:t>
            </w:r>
          </w:p>
        </w:tc>
        <w:tc>
          <w:tcPr>
            <w:tcW w:w="992" w:type="dxa"/>
          </w:tcPr>
          <w:p w14:paraId="11BC083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3FF6735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0-2</w:t>
            </w:r>
          </w:p>
        </w:tc>
        <w:tc>
          <w:tcPr>
            <w:tcW w:w="992" w:type="dxa"/>
          </w:tcPr>
          <w:p w14:paraId="46B9F19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6B01C37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2B73CD7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≥360</w:t>
            </w:r>
          </w:p>
        </w:tc>
        <w:tc>
          <w:tcPr>
            <w:tcW w:w="851" w:type="dxa"/>
          </w:tcPr>
          <w:p w14:paraId="33D2240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w:t>
            </w:r>
          </w:p>
        </w:tc>
        <w:tc>
          <w:tcPr>
            <w:tcW w:w="850" w:type="dxa"/>
          </w:tcPr>
          <w:p w14:paraId="20FB20A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65B2DA9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r>
      <w:tr w14:paraId="35F3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2" w:type="dxa"/>
            <w:vAlign w:val="center"/>
          </w:tcPr>
          <w:p w14:paraId="19FB5662">
            <w:pPr>
              <w:keepNext w:val="0"/>
              <w:keepLines w:val="0"/>
              <w:widowControl/>
              <w:suppressLineNumbers w:val="0"/>
              <w:jc w:val="left"/>
              <w:rPr>
                <w:rFonts w:cs="Times New Roman" w:asciiTheme="minorEastAsia" w:hAnsiTheme="minorEastAsia"/>
                <w:szCs w:val="21"/>
              </w:rPr>
            </w:pPr>
            <w:r>
              <w:rPr>
                <w:rFonts w:hint="default" w:ascii="Times New Roman" w:hAnsi="Times New Roman" w:eastAsia="宋体" w:cs="Times New Roman"/>
                <w:kern w:val="0"/>
                <w:sz w:val="15"/>
                <w:szCs w:val="15"/>
                <w:lang w:val="en-US" w:eastAsia="zh-CN" w:bidi="ar"/>
              </w:rPr>
              <w:t xml:space="preserve">High-Silica Macroporous </w:t>
            </w:r>
            <w:r>
              <w:rPr>
                <w:rFonts w:hint="eastAsia" w:ascii="Times New Roman" w:hAnsi="Times New Roman" w:eastAsia="宋体" w:cs="Times New Roman"/>
                <w:kern w:val="0"/>
                <w:sz w:val="15"/>
                <w:szCs w:val="15"/>
                <w:lang w:val="en-US" w:eastAsia="zh-CN" w:bidi="ar"/>
              </w:rPr>
              <w:t>Pesudo-boehmite</w:t>
            </w:r>
          </w:p>
        </w:tc>
        <w:tc>
          <w:tcPr>
            <w:tcW w:w="992" w:type="dxa"/>
          </w:tcPr>
          <w:p w14:paraId="3398623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CP-S-2</w:t>
            </w:r>
          </w:p>
        </w:tc>
        <w:tc>
          <w:tcPr>
            <w:tcW w:w="992" w:type="dxa"/>
          </w:tcPr>
          <w:p w14:paraId="6FD7E62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≤0.02</w:t>
            </w:r>
          </w:p>
        </w:tc>
        <w:tc>
          <w:tcPr>
            <w:tcW w:w="851" w:type="dxa"/>
          </w:tcPr>
          <w:p w14:paraId="40B6B3F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2-4</w:t>
            </w:r>
          </w:p>
        </w:tc>
        <w:tc>
          <w:tcPr>
            <w:tcW w:w="992" w:type="dxa"/>
          </w:tcPr>
          <w:p w14:paraId="1241C1E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≤0.01</w:t>
            </w:r>
          </w:p>
        </w:tc>
        <w:tc>
          <w:tcPr>
            <w:tcW w:w="992" w:type="dxa"/>
          </w:tcPr>
          <w:p w14:paraId="5F07B24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≤0.05</w:t>
            </w:r>
          </w:p>
        </w:tc>
        <w:tc>
          <w:tcPr>
            <w:tcW w:w="992" w:type="dxa"/>
          </w:tcPr>
          <w:p w14:paraId="74F8E8F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≥380</w:t>
            </w:r>
          </w:p>
        </w:tc>
        <w:tc>
          <w:tcPr>
            <w:tcW w:w="851" w:type="dxa"/>
          </w:tcPr>
          <w:p w14:paraId="03EF568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w:t>
            </w:r>
          </w:p>
        </w:tc>
        <w:tc>
          <w:tcPr>
            <w:tcW w:w="850" w:type="dxa"/>
          </w:tcPr>
          <w:p w14:paraId="118EA28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3" w:type="dxa"/>
          </w:tcPr>
          <w:p w14:paraId="623195F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r>
    </w:tbl>
    <w:p w14:paraId="1F91835E">
      <w:pPr>
        <w:bidi w:val="0"/>
        <w:jc w:val="left"/>
        <w:rPr>
          <w:lang w:val="en-US" w:eastAsia="zh-CN"/>
        </w:rPr>
      </w:pPr>
    </w:p>
    <w:p w14:paraId="31B60DB1">
      <w:pPr>
        <w:bidi w:val="0"/>
        <w:jc w:val="left"/>
        <w:rPr>
          <w:lang w:val="en-US" w:eastAsia="zh-CN"/>
        </w:rPr>
      </w:pPr>
    </w:p>
    <w:p w14:paraId="14AC61C9">
      <w:pPr>
        <w:bidi w:val="0"/>
        <w:jc w:val="left"/>
        <w:rPr>
          <w:rFonts w:hint="default" w:ascii="Times New Roman" w:hAnsi="Times New Roman" w:cs="Times New Roman"/>
        </w:rPr>
      </w:pPr>
      <w:r>
        <w:rPr>
          <w:rStyle w:val="10"/>
          <w:rFonts w:hint="default" w:ascii="Times New Roman" w:hAnsi="Times New Roman" w:cs="Times New Roman"/>
        </w:rPr>
        <w:t>Note:</w:t>
      </w:r>
      <w:r>
        <w:rPr>
          <w:rFonts w:hint="default" w:ascii="Times New Roman" w:hAnsi="Times New Roman" w:cs="Times New Roman"/>
        </w:rPr>
        <w:t xml:space="preserve"> Specifications can be adjusted according to customer requirements.</w:t>
      </w:r>
    </w:p>
    <w:p w14:paraId="4EF08B23">
      <w:pPr>
        <w:bidi w:val="0"/>
        <w:rPr>
          <w:rFonts w:hint="default" w:asciiTheme="minorHAnsi" w:hAnsiTheme="minorHAnsi" w:eastAsiaTheme="minorEastAsia" w:cstheme="minorBidi"/>
          <w:kern w:val="2"/>
          <w:sz w:val="21"/>
          <w:szCs w:val="22"/>
          <w:lang w:val="en-US" w:eastAsia="zh-CN" w:bidi="ar-SA"/>
        </w:rPr>
      </w:pPr>
    </w:p>
    <w:p w14:paraId="6BAD0F7D">
      <w:pPr>
        <w:bidi w:val="0"/>
        <w:rPr>
          <w:rFonts w:hint="default"/>
          <w:lang w:val="en-US" w:eastAsia="zh-CN"/>
        </w:rPr>
      </w:pPr>
    </w:p>
    <w:p w14:paraId="4AC2B25F">
      <w:pPr>
        <w:bidi w:val="0"/>
        <w:rPr>
          <w:rFonts w:hint="default"/>
          <w:lang w:val="en-US" w:eastAsia="zh-CN"/>
        </w:rPr>
      </w:pPr>
    </w:p>
    <w:p w14:paraId="40956726">
      <w:pPr>
        <w:bidi w:val="0"/>
        <w:rPr>
          <w:rFonts w:hint="default"/>
          <w:lang w:val="en-US" w:eastAsia="zh-CN"/>
        </w:rPr>
      </w:pPr>
    </w:p>
    <w:p w14:paraId="0FAE8724">
      <w:pPr>
        <w:bidi w:val="0"/>
        <w:rPr>
          <w:rFonts w:hint="default"/>
          <w:lang w:val="en-US" w:eastAsia="zh-CN"/>
        </w:rPr>
      </w:pPr>
    </w:p>
    <w:p w14:paraId="75799296">
      <w:pPr>
        <w:bidi w:val="0"/>
        <w:rPr>
          <w:rFonts w:hint="default"/>
          <w:lang w:val="en-US" w:eastAsia="zh-CN"/>
        </w:rPr>
      </w:pPr>
    </w:p>
    <w:p w14:paraId="077F3CA1">
      <w:pPr>
        <w:bidi w:val="0"/>
        <w:rPr>
          <w:rFonts w:hint="default"/>
          <w:lang w:val="en-US" w:eastAsia="zh-CN"/>
        </w:rPr>
      </w:pPr>
    </w:p>
    <w:p w14:paraId="6CB36FAB">
      <w:pPr>
        <w:bidi w:val="0"/>
        <w:rPr>
          <w:rFonts w:hint="default"/>
          <w:lang w:val="en-US" w:eastAsia="zh-CN"/>
        </w:rPr>
      </w:pPr>
    </w:p>
    <w:p w14:paraId="781EC231">
      <w:pPr>
        <w:bidi w:val="0"/>
        <w:rPr>
          <w:rFonts w:hint="default"/>
          <w:lang w:val="en-US" w:eastAsia="zh-CN"/>
        </w:rPr>
      </w:pPr>
    </w:p>
    <w:p w14:paraId="4F21F928">
      <w:pPr>
        <w:pStyle w:val="2"/>
        <w:keepNext w:val="0"/>
        <w:keepLines w:val="0"/>
        <w:widowControl/>
        <w:suppressLineNumbers w:val="0"/>
        <w:jc w:val="center"/>
        <w:rPr>
          <w:rFonts w:hint="eastAsia" w:ascii="Times New Roman" w:hAnsi="Times New Roman" w:eastAsia="宋体" w:cs="Times New Roman"/>
          <w:lang w:eastAsia="zh-CN"/>
        </w:rPr>
      </w:pPr>
      <w:r>
        <w:rPr>
          <w:rStyle w:val="10"/>
          <w:rFonts w:hint="default" w:ascii="Times New Roman" w:hAnsi="Times New Roman" w:cs="Times New Roman"/>
          <w:b/>
        </w:rPr>
        <w:t xml:space="preserve">High-Purity Macroporous </w:t>
      </w:r>
      <w:r>
        <w:rPr>
          <w:rStyle w:val="10"/>
          <w:rFonts w:hint="eastAsia" w:ascii="Times New Roman" w:hAnsi="Times New Roman" w:cs="Times New Roman"/>
          <w:b/>
          <w:lang w:eastAsia="zh-CN"/>
        </w:rPr>
        <w:t>Pesudo-boehmite</w:t>
      </w:r>
    </w:p>
    <w:p w14:paraId="73CA1312">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rPr>
        <w:t>I. Product Properties</w:t>
      </w:r>
    </w:p>
    <w:p w14:paraId="5D575D37">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High-purity </w:t>
      </w:r>
      <w:r>
        <w:rPr>
          <w:rFonts w:hint="eastAsia" w:ascii="Times New Roman" w:hAnsi="Times New Roman" w:cs="Times New Roman"/>
          <w:lang w:eastAsia="zh-CN"/>
        </w:rPr>
        <w:t>Pesudo-boehmite</w:t>
      </w:r>
      <w:r>
        <w:rPr>
          <w:rFonts w:hint="default" w:ascii="Times New Roman" w:hAnsi="Times New Roman" w:cs="Times New Roman"/>
        </w:rPr>
        <w:t xml:space="preserve"> is produced by further purifying general </w:t>
      </w:r>
      <w:r>
        <w:rPr>
          <w:rFonts w:hint="eastAsia" w:ascii="Times New Roman" w:hAnsi="Times New Roman" w:cs="Times New Roman"/>
          <w:lang w:eastAsia="zh-CN"/>
        </w:rPr>
        <w:t>Pesudo-boehmite</w:t>
      </w:r>
      <w:r>
        <w:rPr>
          <w:rFonts w:hint="default" w:ascii="Times New Roman" w:hAnsi="Times New Roman" w:cs="Times New Roman"/>
        </w:rPr>
        <w:t>. The contents of SiO₂, Na₂O, Fe₂O₃, and CaO are all ≤0.005% (50 ppm). Manufactured via a continuous carbonization decomposition process, this product contains no sulfate ions. It features a large pore volume and high specific surface area.</w:t>
      </w:r>
    </w:p>
    <w:p w14:paraId="313FBAC6">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rPr>
        <w:t>II. Main Applications</w:t>
      </w:r>
    </w:p>
    <w:p w14:paraId="02D264BC">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This product is primarily used as a catalyst carrier in the petroleum, chemical, and environmental protection industries. It is also applied in adsorption and separation processes, high-end ceramics, the electronics industry, polishing, papermaking and coatings, as well as new energy and battery sectors.</w:t>
      </w:r>
    </w:p>
    <w:p w14:paraId="0A9F7D76">
      <w:pPr>
        <w:pStyle w:val="2"/>
        <w:keepNext w:val="0"/>
        <w:keepLines w:val="0"/>
        <w:widowControl/>
        <w:suppressLineNumbers w:val="0"/>
        <w:jc w:val="center"/>
        <w:rPr>
          <w:rStyle w:val="10"/>
          <w:rFonts w:hint="default" w:ascii="Times New Roman" w:hAnsi="Times New Roman" w:cs="Times New Roman"/>
          <w:b/>
        </w:rPr>
      </w:pPr>
      <w:r>
        <w:rPr>
          <w:rStyle w:val="10"/>
          <w:rFonts w:hint="default" w:ascii="Times New Roman" w:hAnsi="Times New Roman" w:cs="Times New Roman"/>
          <w:b/>
        </w:rPr>
        <w:t xml:space="preserve">Technical Specifications – High-Purity Macroporous </w:t>
      </w:r>
      <w:r>
        <w:rPr>
          <w:rStyle w:val="10"/>
          <w:rFonts w:hint="eastAsia" w:ascii="Times New Roman" w:hAnsi="Times New Roman" w:cs="Times New Roman"/>
          <w:b/>
          <w:lang w:eastAsia="zh-CN"/>
        </w:rPr>
        <w:t>Pesudo-boehmite</w:t>
      </w:r>
      <w:r>
        <w:rPr>
          <w:rStyle w:val="10"/>
          <w:rFonts w:hint="default" w:ascii="Times New Roman" w:hAnsi="Times New Roman" w:cs="Times New Roman"/>
          <w:b/>
        </w:rPr>
        <w:t xml:space="preserve"> (HP) Series</w:t>
      </w:r>
    </w:p>
    <w:p w14:paraId="394BE75E">
      <w:pPr>
        <w:bidi w:val="0"/>
        <w:rPr>
          <w:rFonts w:hint="default"/>
          <w:lang w:val="en-US" w:eastAsia="zh-CN"/>
        </w:rPr>
      </w:pPr>
    </w:p>
    <w:p w14:paraId="14BED9CA">
      <w:pPr>
        <w:bidi w:val="0"/>
        <w:rPr>
          <w:rFonts w:hint="default"/>
          <w:lang w:val="en-US" w:eastAsia="zh-CN"/>
        </w:rPr>
      </w:pPr>
    </w:p>
    <w:tbl>
      <w:tblPr>
        <w:tblStyle w:val="8"/>
        <w:tblpPr w:leftFromText="180" w:rightFromText="180" w:vertAnchor="text" w:horzAnchor="page" w:tblpXSpec="center" w:tblpY="239"/>
        <w:tblOverlap w:val="never"/>
        <w:tblW w:w="10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991"/>
        <w:gridCol w:w="992"/>
        <w:gridCol w:w="851"/>
        <w:gridCol w:w="850"/>
        <w:gridCol w:w="851"/>
        <w:gridCol w:w="992"/>
        <w:gridCol w:w="992"/>
        <w:gridCol w:w="993"/>
        <w:gridCol w:w="992"/>
      </w:tblGrid>
      <w:tr w14:paraId="6102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57BA414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Product Name</w:t>
            </w:r>
          </w:p>
        </w:tc>
        <w:tc>
          <w:tcPr>
            <w:tcW w:w="991" w:type="dxa"/>
            <w:vAlign w:val="center"/>
          </w:tcPr>
          <w:p w14:paraId="7DA81DD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w:t>
            </w:r>
          </w:p>
        </w:tc>
        <w:tc>
          <w:tcPr>
            <w:tcW w:w="992" w:type="dxa"/>
            <w:vAlign w:val="center"/>
          </w:tcPr>
          <w:p w14:paraId="313F2BF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CaO (ppm)</w:t>
            </w:r>
          </w:p>
        </w:tc>
        <w:tc>
          <w:tcPr>
            <w:tcW w:w="851" w:type="dxa"/>
            <w:vAlign w:val="center"/>
          </w:tcPr>
          <w:p w14:paraId="05BE795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SiO₂ (ppm) / (%)</w:t>
            </w:r>
          </w:p>
        </w:tc>
        <w:tc>
          <w:tcPr>
            <w:tcW w:w="850" w:type="dxa"/>
            <w:vAlign w:val="center"/>
          </w:tcPr>
          <w:p w14:paraId="1DFF873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Fe₂O₃ (ppm)</w:t>
            </w:r>
          </w:p>
        </w:tc>
        <w:tc>
          <w:tcPr>
            <w:tcW w:w="851" w:type="dxa"/>
            <w:vAlign w:val="center"/>
          </w:tcPr>
          <w:p w14:paraId="0D3CF8E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Na₂O (ppm)</w:t>
            </w:r>
          </w:p>
        </w:tc>
        <w:tc>
          <w:tcPr>
            <w:tcW w:w="992" w:type="dxa"/>
            <w:vAlign w:val="center"/>
          </w:tcPr>
          <w:p w14:paraId="35C4BD7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 (m²/g)</w:t>
            </w:r>
          </w:p>
        </w:tc>
        <w:tc>
          <w:tcPr>
            <w:tcW w:w="992" w:type="dxa"/>
            <w:vAlign w:val="center"/>
          </w:tcPr>
          <w:p w14:paraId="4354379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Volume (ml/g)</w:t>
            </w:r>
          </w:p>
        </w:tc>
        <w:tc>
          <w:tcPr>
            <w:tcW w:w="993" w:type="dxa"/>
            <w:vAlign w:val="center"/>
          </w:tcPr>
          <w:p w14:paraId="7CA6D56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Dry Basis (%)</w:t>
            </w:r>
          </w:p>
        </w:tc>
        <w:tc>
          <w:tcPr>
            <w:tcW w:w="992" w:type="dxa"/>
            <w:vAlign w:val="center"/>
          </w:tcPr>
          <w:p w14:paraId="02370E7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Gel Volume (%)</w:t>
            </w:r>
          </w:p>
        </w:tc>
      </w:tr>
      <w:tr w14:paraId="7C35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447D218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 xml:space="preserve">High-Purity Macroporous </w:t>
            </w:r>
            <w:r>
              <w:rPr>
                <w:rFonts w:hint="eastAsia" w:ascii="Times New Roman" w:hAnsi="Times New Roman" w:eastAsia="宋体" w:cs="Times New Roman"/>
                <w:kern w:val="0"/>
                <w:sz w:val="15"/>
                <w:szCs w:val="15"/>
                <w:lang w:val="en-US" w:eastAsia="zh-CN" w:bidi="ar"/>
              </w:rPr>
              <w:t>Pesudo-boehmite</w:t>
            </w:r>
          </w:p>
        </w:tc>
        <w:tc>
          <w:tcPr>
            <w:tcW w:w="991" w:type="dxa"/>
            <w:vAlign w:val="center"/>
          </w:tcPr>
          <w:p w14:paraId="02FD6BA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HP-1</w:t>
            </w:r>
          </w:p>
        </w:tc>
        <w:tc>
          <w:tcPr>
            <w:tcW w:w="992" w:type="dxa"/>
            <w:vAlign w:val="center"/>
          </w:tcPr>
          <w:p w14:paraId="5293146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1882184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0" w:type="dxa"/>
            <w:vAlign w:val="center"/>
          </w:tcPr>
          <w:p w14:paraId="4639AE9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7B02817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992" w:type="dxa"/>
            <w:vAlign w:val="center"/>
          </w:tcPr>
          <w:p w14:paraId="3A1B3EE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992" w:type="dxa"/>
            <w:vAlign w:val="center"/>
          </w:tcPr>
          <w:p w14:paraId="63DCAEB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993" w:type="dxa"/>
            <w:vAlign w:val="center"/>
          </w:tcPr>
          <w:p w14:paraId="06AEDD2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2" w:type="dxa"/>
            <w:vAlign w:val="center"/>
          </w:tcPr>
          <w:p w14:paraId="5251117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20–30</w:t>
            </w:r>
          </w:p>
        </w:tc>
      </w:tr>
      <w:tr w14:paraId="1D48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0819246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 xml:space="preserve">High-Purity Macroporous </w:t>
            </w:r>
            <w:r>
              <w:rPr>
                <w:rFonts w:hint="eastAsia" w:ascii="Times New Roman" w:hAnsi="Times New Roman" w:eastAsia="宋体" w:cs="Times New Roman"/>
                <w:kern w:val="0"/>
                <w:sz w:val="15"/>
                <w:szCs w:val="15"/>
                <w:lang w:val="en-US" w:eastAsia="zh-CN" w:bidi="ar"/>
              </w:rPr>
              <w:t>Pesudo-boehmite</w:t>
            </w:r>
          </w:p>
        </w:tc>
        <w:tc>
          <w:tcPr>
            <w:tcW w:w="991" w:type="dxa"/>
            <w:vAlign w:val="center"/>
          </w:tcPr>
          <w:p w14:paraId="561C683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HP-2</w:t>
            </w:r>
          </w:p>
        </w:tc>
        <w:tc>
          <w:tcPr>
            <w:tcW w:w="992" w:type="dxa"/>
            <w:vAlign w:val="center"/>
          </w:tcPr>
          <w:p w14:paraId="5A0B8F8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1DFA250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0" w:type="dxa"/>
            <w:vAlign w:val="center"/>
          </w:tcPr>
          <w:p w14:paraId="35364F4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59550A2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992" w:type="dxa"/>
            <w:vAlign w:val="center"/>
          </w:tcPr>
          <w:p w14:paraId="545CAB5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992" w:type="dxa"/>
            <w:vAlign w:val="center"/>
          </w:tcPr>
          <w:p w14:paraId="5ADC3E0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993" w:type="dxa"/>
            <w:vAlign w:val="center"/>
          </w:tcPr>
          <w:p w14:paraId="39804AE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2" w:type="dxa"/>
            <w:vAlign w:val="center"/>
          </w:tcPr>
          <w:p w14:paraId="7F0B1CA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30–40</w:t>
            </w:r>
          </w:p>
        </w:tc>
      </w:tr>
      <w:tr w14:paraId="2564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0EF4B80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 xml:space="preserve">High-Purity Macroporous </w:t>
            </w:r>
            <w:r>
              <w:rPr>
                <w:rFonts w:hint="eastAsia" w:ascii="Times New Roman" w:hAnsi="Times New Roman" w:eastAsia="宋体" w:cs="Times New Roman"/>
                <w:kern w:val="0"/>
                <w:sz w:val="15"/>
                <w:szCs w:val="15"/>
                <w:lang w:val="en-US" w:eastAsia="zh-CN" w:bidi="ar"/>
              </w:rPr>
              <w:t>Pesudo-boehmite</w:t>
            </w:r>
          </w:p>
        </w:tc>
        <w:tc>
          <w:tcPr>
            <w:tcW w:w="991" w:type="dxa"/>
            <w:vAlign w:val="center"/>
          </w:tcPr>
          <w:p w14:paraId="6C4B074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HP-3</w:t>
            </w:r>
          </w:p>
        </w:tc>
        <w:tc>
          <w:tcPr>
            <w:tcW w:w="992" w:type="dxa"/>
            <w:vAlign w:val="center"/>
          </w:tcPr>
          <w:p w14:paraId="666DFCC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610D089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0" w:type="dxa"/>
            <w:vAlign w:val="center"/>
          </w:tcPr>
          <w:p w14:paraId="2629F34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0A3AD93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992" w:type="dxa"/>
            <w:vAlign w:val="center"/>
          </w:tcPr>
          <w:p w14:paraId="7D26184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≥300</w:t>
            </w:r>
          </w:p>
        </w:tc>
        <w:tc>
          <w:tcPr>
            <w:tcW w:w="992" w:type="dxa"/>
            <w:vAlign w:val="center"/>
          </w:tcPr>
          <w:p w14:paraId="48151B4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993" w:type="dxa"/>
            <w:vAlign w:val="center"/>
          </w:tcPr>
          <w:p w14:paraId="54B676C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2" w:type="dxa"/>
            <w:vAlign w:val="center"/>
          </w:tcPr>
          <w:p w14:paraId="607E126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40–55</w:t>
            </w:r>
          </w:p>
        </w:tc>
      </w:tr>
      <w:tr w14:paraId="3202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4AC5BED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 xml:space="preserve">High-Silica High-Purity Macroporous </w:t>
            </w:r>
            <w:r>
              <w:rPr>
                <w:rFonts w:hint="eastAsia" w:ascii="Times New Roman" w:hAnsi="Times New Roman" w:eastAsia="宋体" w:cs="Times New Roman"/>
                <w:kern w:val="0"/>
                <w:sz w:val="15"/>
                <w:szCs w:val="15"/>
                <w:lang w:val="en-US" w:eastAsia="zh-CN" w:bidi="ar"/>
              </w:rPr>
              <w:t>Pesudo-boehmite</w:t>
            </w:r>
          </w:p>
        </w:tc>
        <w:tc>
          <w:tcPr>
            <w:tcW w:w="991" w:type="dxa"/>
            <w:vAlign w:val="center"/>
          </w:tcPr>
          <w:p w14:paraId="461DCE2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HP-S-1</w:t>
            </w:r>
          </w:p>
        </w:tc>
        <w:tc>
          <w:tcPr>
            <w:tcW w:w="992" w:type="dxa"/>
            <w:vAlign w:val="center"/>
          </w:tcPr>
          <w:p w14:paraId="49AF947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0F5F976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0–2%</w:t>
            </w:r>
          </w:p>
        </w:tc>
        <w:tc>
          <w:tcPr>
            <w:tcW w:w="850" w:type="dxa"/>
            <w:vAlign w:val="center"/>
          </w:tcPr>
          <w:p w14:paraId="39CC5E8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1BC5285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992" w:type="dxa"/>
            <w:vAlign w:val="center"/>
          </w:tcPr>
          <w:p w14:paraId="0D8404D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≥360</w:t>
            </w:r>
          </w:p>
        </w:tc>
        <w:tc>
          <w:tcPr>
            <w:tcW w:w="992" w:type="dxa"/>
            <w:vAlign w:val="center"/>
          </w:tcPr>
          <w:p w14:paraId="73C4D13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≥1.1</w:t>
            </w:r>
          </w:p>
        </w:tc>
        <w:tc>
          <w:tcPr>
            <w:tcW w:w="993" w:type="dxa"/>
            <w:vAlign w:val="center"/>
          </w:tcPr>
          <w:p w14:paraId="278C208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2" w:type="dxa"/>
            <w:vAlign w:val="center"/>
          </w:tcPr>
          <w:p w14:paraId="303BDD9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r>
      <w:tr w14:paraId="347F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128" w:type="dxa"/>
            <w:vAlign w:val="center"/>
          </w:tcPr>
          <w:p w14:paraId="2898C8F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 xml:space="preserve">High-Silica High-Purity Macroporous </w:t>
            </w:r>
            <w:r>
              <w:rPr>
                <w:rFonts w:hint="eastAsia" w:ascii="Times New Roman" w:hAnsi="Times New Roman" w:eastAsia="宋体" w:cs="Times New Roman"/>
                <w:kern w:val="0"/>
                <w:sz w:val="15"/>
                <w:szCs w:val="15"/>
                <w:lang w:val="en-US" w:eastAsia="zh-CN" w:bidi="ar"/>
              </w:rPr>
              <w:t>Pesudo-boehmite</w:t>
            </w:r>
          </w:p>
        </w:tc>
        <w:tc>
          <w:tcPr>
            <w:tcW w:w="991" w:type="dxa"/>
            <w:vAlign w:val="center"/>
          </w:tcPr>
          <w:p w14:paraId="370D088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HP-S-2</w:t>
            </w:r>
          </w:p>
        </w:tc>
        <w:tc>
          <w:tcPr>
            <w:tcW w:w="992" w:type="dxa"/>
            <w:vAlign w:val="center"/>
          </w:tcPr>
          <w:p w14:paraId="140E875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3CFDC7A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2–4%</w:t>
            </w:r>
          </w:p>
        </w:tc>
        <w:tc>
          <w:tcPr>
            <w:tcW w:w="850" w:type="dxa"/>
            <w:vAlign w:val="center"/>
          </w:tcPr>
          <w:p w14:paraId="28E9DC0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851" w:type="dxa"/>
            <w:vAlign w:val="center"/>
          </w:tcPr>
          <w:p w14:paraId="4C0E546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992" w:type="dxa"/>
            <w:vAlign w:val="center"/>
          </w:tcPr>
          <w:p w14:paraId="2907500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≥380</w:t>
            </w:r>
          </w:p>
        </w:tc>
        <w:tc>
          <w:tcPr>
            <w:tcW w:w="992" w:type="dxa"/>
            <w:vAlign w:val="center"/>
          </w:tcPr>
          <w:p w14:paraId="708ADA2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w:t>
            </w:r>
          </w:p>
        </w:tc>
        <w:tc>
          <w:tcPr>
            <w:tcW w:w="993" w:type="dxa"/>
            <w:vAlign w:val="center"/>
          </w:tcPr>
          <w:p w14:paraId="6614E39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70±2</w:t>
            </w:r>
          </w:p>
        </w:tc>
        <w:tc>
          <w:tcPr>
            <w:tcW w:w="992" w:type="dxa"/>
            <w:vAlign w:val="center"/>
          </w:tcPr>
          <w:p w14:paraId="4476C30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r>
    </w:tbl>
    <w:p w14:paraId="5323C39A">
      <w:pPr>
        <w:bidi w:val="0"/>
        <w:jc w:val="left"/>
        <w:rPr>
          <w:rFonts w:hint="default"/>
          <w:lang w:val="en-US" w:eastAsia="zh-CN"/>
        </w:rPr>
      </w:pPr>
    </w:p>
    <w:p w14:paraId="33711526">
      <w:pPr>
        <w:bidi w:val="0"/>
        <w:jc w:val="left"/>
        <w:rPr>
          <w:rFonts w:hint="default" w:ascii="Times New Roman" w:hAnsi="Times New Roman" w:eastAsia="宋体" w:cs="Times New Roman"/>
          <w:sz w:val="24"/>
          <w:szCs w:val="24"/>
        </w:rPr>
      </w:pPr>
      <w:r>
        <w:rPr>
          <w:rStyle w:val="10"/>
          <w:rFonts w:hint="default" w:ascii="Times New Roman" w:hAnsi="Times New Roman" w:eastAsia="宋体" w:cs="Times New Roman"/>
          <w:sz w:val="24"/>
          <w:szCs w:val="24"/>
        </w:rPr>
        <w:t>Note:</w:t>
      </w:r>
      <w:r>
        <w:rPr>
          <w:rFonts w:hint="default" w:ascii="Times New Roman" w:hAnsi="Times New Roman" w:eastAsia="宋体" w:cs="Times New Roman"/>
          <w:sz w:val="24"/>
          <w:szCs w:val="24"/>
        </w:rPr>
        <w:t xml:space="preserve"> Specifications can be customized according to user requirements.</w:t>
      </w:r>
    </w:p>
    <w:p w14:paraId="286BD35F">
      <w:pPr>
        <w:bidi w:val="0"/>
        <w:rPr>
          <w:rFonts w:hint="default" w:asciiTheme="minorHAnsi" w:hAnsiTheme="minorHAnsi" w:eastAsiaTheme="minorEastAsia" w:cstheme="minorBidi"/>
          <w:kern w:val="2"/>
          <w:sz w:val="21"/>
          <w:szCs w:val="22"/>
          <w:lang w:val="en-US" w:eastAsia="zh-CN" w:bidi="ar-SA"/>
        </w:rPr>
      </w:pPr>
    </w:p>
    <w:p w14:paraId="32D0DED5">
      <w:pPr>
        <w:bidi w:val="0"/>
        <w:rPr>
          <w:rFonts w:hint="default"/>
          <w:lang w:val="en-US" w:eastAsia="zh-CN"/>
        </w:rPr>
      </w:pPr>
    </w:p>
    <w:p w14:paraId="3943B26F">
      <w:pPr>
        <w:bidi w:val="0"/>
        <w:rPr>
          <w:rFonts w:hint="default"/>
          <w:lang w:val="en-US" w:eastAsia="zh-CN"/>
        </w:rPr>
      </w:pPr>
    </w:p>
    <w:p w14:paraId="674F7273">
      <w:pPr>
        <w:bidi w:val="0"/>
        <w:rPr>
          <w:rFonts w:hint="default"/>
          <w:lang w:val="en-US" w:eastAsia="zh-CN"/>
        </w:rPr>
      </w:pPr>
    </w:p>
    <w:p w14:paraId="5F1AC748">
      <w:pPr>
        <w:bidi w:val="0"/>
        <w:rPr>
          <w:rFonts w:hint="default"/>
          <w:lang w:val="en-US" w:eastAsia="zh-CN"/>
        </w:rPr>
      </w:pPr>
    </w:p>
    <w:p w14:paraId="3A37866E">
      <w:pPr>
        <w:bidi w:val="0"/>
        <w:rPr>
          <w:rFonts w:hint="default"/>
          <w:lang w:val="en-US" w:eastAsia="zh-CN"/>
        </w:rPr>
      </w:pPr>
    </w:p>
    <w:p w14:paraId="4A2D46E5">
      <w:pPr>
        <w:bidi w:val="0"/>
        <w:jc w:val="left"/>
        <w:rPr>
          <w:rFonts w:hint="default"/>
          <w:lang w:val="en-US" w:eastAsia="zh-CN"/>
        </w:rPr>
        <w:sectPr>
          <w:pgSz w:w="11906" w:h="16838"/>
          <w:pgMar w:top="1440" w:right="1800" w:bottom="1440" w:left="1800" w:header="851" w:footer="992" w:gutter="0"/>
          <w:cols w:space="425" w:num="1"/>
          <w:docGrid w:type="lines" w:linePitch="312" w:charSpace="0"/>
        </w:sectPr>
      </w:pPr>
    </w:p>
    <w:p w14:paraId="2E5ABDDC">
      <w:pPr>
        <w:jc w:val="center"/>
        <w:rPr>
          <w:rStyle w:val="10"/>
          <w:rFonts w:hint="default" w:ascii="Times New Roman" w:hAnsi="Times New Roman" w:cs="Times New Roman"/>
          <w:b/>
        </w:rPr>
      </w:pPr>
      <w:r>
        <w:rPr>
          <w:rFonts w:hint="default" w:ascii="Times New Roman" w:hAnsi="Times New Roman" w:eastAsia="微软雅黑" w:cs="Times New Roman"/>
          <w:b/>
          <w:bCs/>
          <w:sz w:val="32"/>
          <w:szCs w:val="40"/>
        </w:rPr>
        <w:t>β - Al（OH）₃</w:t>
      </w:r>
    </w:p>
    <w:p w14:paraId="3D758CAA">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 Product Properties</w:t>
      </w:r>
    </w:p>
    <w:p w14:paraId="40FF78E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β-Al(OH)₃ is a specialized aluminum-based material featuring a unique hexagonal layered structure. It is composed of aluminum-oxygen octahedral sheets (Al–O–Al) linked via hydrogen bonds to form a two-dimensional layered framework. The crystal phase purity exceeds 95%. The interlayer contains exchangeable Na⁺ and K⁺ ions, making it suitable for applications such as heavy metal adsorption and as a catalyst support. The product exhibits excellent thermal stability, making it well-suited for high-temperature catalytic reactions.</w:t>
      </w:r>
    </w:p>
    <w:p w14:paraId="5B49E8AC">
      <w:pPr>
        <w:bidi w:val="0"/>
        <w:jc w:val="left"/>
        <w:rPr>
          <w:rFonts w:hint="default"/>
          <w:lang w:val="en-US" w:eastAsia="zh-CN"/>
        </w:rPr>
      </w:pPr>
    </w:p>
    <w:p w14:paraId="40458558">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 Main Applications</w:t>
      </w:r>
    </w:p>
    <w:p w14:paraId="6EB519F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Hydrodesulfurization catalysts</w:t>
      </w:r>
    </w:p>
    <w:p w14:paraId="415BDA4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Heavy metal removal</w:t>
      </w:r>
    </w:p>
    <w:p w14:paraId="229E878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Lithium battery separator coatings</w:t>
      </w:r>
    </w:p>
    <w:p w14:paraId="45845D9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Structural ceramics</w:t>
      </w:r>
    </w:p>
    <w:p w14:paraId="02B8CE1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Bioceramics</w:t>
      </w:r>
    </w:p>
    <w:p w14:paraId="7987D016">
      <w:pPr>
        <w:bidi w:val="0"/>
        <w:jc w:val="left"/>
        <w:rPr>
          <w:rFonts w:hint="default" w:asciiTheme="minorHAnsi" w:hAnsiTheme="minorHAnsi" w:eastAsiaTheme="minorEastAsia" w:cstheme="minorBidi"/>
          <w:kern w:val="2"/>
          <w:sz w:val="21"/>
          <w:szCs w:val="22"/>
          <w:lang w:val="en-US" w:eastAsia="zh-CN" w:bidi="ar-SA"/>
        </w:rPr>
      </w:pPr>
    </w:p>
    <w:p w14:paraId="787FC3FA">
      <w:pPr>
        <w:pStyle w:val="2"/>
        <w:keepNext w:val="0"/>
        <w:keepLines w:val="0"/>
        <w:widowControl/>
        <w:suppressLineNumbers w:val="0"/>
        <w:jc w:val="center"/>
        <w:rPr>
          <w:rFonts w:hint="default" w:ascii="Times New Roman" w:hAnsi="Times New Roman" w:cs="Times New Roman" w:eastAsiaTheme="majorEastAsia"/>
          <w:sz w:val="32"/>
          <w:szCs w:val="32"/>
        </w:rPr>
      </w:pPr>
      <w:r>
        <w:rPr>
          <w:rStyle w:val="10"/>
          <w:rFonts w:hint="default" w:ascii="Times New Roman" w:hAnsi="Times New Roman" w:cs="Times New Roman"/>
          <w:b/>
        </w:rPr>
        <w:t>Technical Specifications of β-Al(OH)₃</w:t>
      </w:r>
    </w:p>
    <w:p w14:paraId="0FE7402D"/>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1"/>
        <w:gridCol w:w="806"/>
        <w:gridCol w:w="723"/>
        <w:gridCol w:w="879"/>
        <w:gridCol w:w="851"/>
        <w:gridCol w:w="755"/>
        <w:gridCol w:w="1229"/>
        <w:gridCol w:w="648"/>
        <w:gridCol w:w="841"/>
      </w:tblGrid>
      <w:tr w14:paraId="3DAF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1131" w:type="dxa"/>
            <w:vAlign w:val="center"/>
          </w:tcPr>
          <w:p w14:paraId="4D068C1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Product Name</w:t>
            </w:r>
          </w:p>
        </w:tc>
        <w:tc>
          <w:tcPr>
            <w:tcW w:w="806" w:type="dxa"/>
            <w:vAlign w:val="center"/>
          </w:tcPr>
          <w:p w14:paraId="0E40E3F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w:t>
            </w:r>
          </w:p>
        </w:tc>
        <w:tc>
          <w:tcPr>
            <w:tcW w:w="723" w:type="dxa"/>
            <w:vAlign w:val="center"/>
          </w:tcPr>
          <w:p w14:paraId="187DC60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SiO₂ (%)</w:t>
            </w:r>
          </w:p>
        </w:tc>
        <w:tc>
          <w:tcPr>
            <w:tcW w:w="879" w:type="dxa"/>
            <w:vAlign w:val="center"/>
          </w:tcPr>
          <w:p w14:paraId="5D47008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CaO (ppm)</w:t>
            </w:r>
          </w:p>
        </w:tc>
        <w:tc>
          <w:tcPr>
            <w:tcW w:w="851" w:type="dxa"/>
            <w:vAlign w:val="center"/>
          </w:tcPr>
          <w:p w14:paraId="2B8DAE4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Fe₂O₃ (%)</w:t>
            </w:r>
          </w:p>
        </w:tc>
        <w:tc>
          <w:tcPr>
            <w:tcW w:w="755" w:type="dxa"/>
            <w:vAlign w:val="center"/>
          </w:tcPr>
          <w:p w14:paraId="047121D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Na₂O (%)</w:t>
            </w:r>
          </w:p>
        </w:tc>
        <w:tc>
          <w:tcPr>
            <w:tcW w:w="1229" w:type="dxa"/>
            <w:vAlign w:val="center"/>
          </w:tcPr>
          <w:p w14:paraId="2231838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 (m²/g)</w:t>
            </w:r>
          </w:p>
        </w:tc>
        <w:tc>
          <w:tcPr>
            <w:tcW w:w="648" w:type="dxa"/>
            <w:vAlign w:val="center"/>
          </w:tcPr>
          <w:p w14:paraId="65EC08E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Bulk Density</w:t>
            </w:r>
          </w:p>
        </w:tc>
        <w:tc>
          <w:tcPr>
            <w:tcW w:w="841" w:type="dxa"/>
            <w:vAlign w:val="center"/>
          </w:tcPr>
          <w:p w14:paraId="66222F5A">
            <w:pPr>
              <w:keepNext w:val="0"/>
              <w:keepLines w:val="0"/>
              <w:widowControl/>
              <w:suppressLineNumbers w:val="0"/>
              <w:jc w:val="left"/>
              <w:rPr>
                <w:rFonts w:hint="eastAsia"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D50 (μm)</w:t>
            </w:r>
          </w:p>
        </w:tc>
      </w:tr>
      <w:tr w14:paraId="050A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1131" w:type="dxa"/>
            <w:vAlign w:val="center"/>
          </w:tcPr>
          <w:p w14:paraId="3F79B58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β-Al(OH)₃</w:t>
            </w:r>
          </w:p>
        </w:tc>
        <w:tc>
          <w:tcPr>
            <w:tcW w:w="806" w:type="dxa"/>
            <w:vAlign w:val="center"/>
          </w:tcPr>
          <w:p w14:paraId="4EE7173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BL-01</w:t>
            </w:r>
          </w:p>
        </w:tc>
        <w:tc>
          <w:tcPr>
            <w:tcW w:w="723" w:type="dxa"/>
            <w:vAlign w:val="center"/>
          </w:tcPr>
          <w:p w14:paraId="361215B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0.15</w:t>
            </w:r>
          </w:p>
        </w:tc>
        <w:tc>
          <w:tcPr>
            <w:tcW w:w="879" w:type="dxa"/>
            <w:vAlign w:val="center"/>
          </w:tcPr>
          <w:p w14:paraId="6023A53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≤1500</w:t>
            </w:r>
          </w:p>
        </w:tc>
        <w:tc>
          <w:tcPr>
            <w:tcW w:w="851" w:type="dxa"/>
            <w:vAlign w:val="center"/>
          </w:tcPr>
          <w:p w14:paraId="28A4A42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0.06</w:t>
            </w:r>
          </w:p>
        </w:tc>
        <w:tc>
          <w:tcPr>
            <w:tcW w:w="755" w:type="dxa"/>
            <w:vAlign w:val="center"/>
          </w:tcPr>
          <w:p w14:paraId="5B8BC82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0.3</w:t>
            </w:r>
          </w:p>
        </w:tc>
        <w:tc>
          <w:tcPr>
            <w:tcW w:w="1229" w:type="dxa"/>
            <w:vAlign w:val="center"/>
          </w:tcPr>
          <w:p w14:paraId="5988631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≥350</w:t>
            </w:r>
          </w:p>
        </w:tc>
        <w:tc>
          <w:tcPr>
            <w:tcW w:w="648" w:type="dxa"/>
            <w:vAlign w:val="center"/>
          </w:tcPr>
          <w:p w14:paraId="5D13DEC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0.88</w:t>
            </w:r>
          </w:p>
        </w:tc>
        <w:tc>
          <w:tcPr>
            <w:tcW w:w="841" w:type="dxa"/>
            <w:vAlign w:val="center"/>
          </w:tcPr>
          <w:p w14:paraId="62893F7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20–30</w:t>
            </w:r>
          </w:p>
        </w:tc>
      </w:tr>
      <w:tr w14:paraId="728B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1131" w:type="dxa"/>
            <w:vAlign w:val="center"/>
          </w:tcPr>
          <w:p w14:paraId="444E60D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β-Al(OH)₃</w:t>
            </w:r>
          </w:p>
        </w:tc>
        <w:tc>
          <w:tcPr>
            <w:tcW w:w="806" w:type="dxa"/>
            <w:vAlign w:val="center"/>
          </w:tcPr>
          <w:p w14:paraId="22B8D1C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BL-02</w:t>
            </w:r>
          </w:p>
        </w:tc>
        <w:tc>
          <w:tcPr>
            <w:tcW w:w="723" w:type="dxa"/>
            <w:vAlign w:val="center"/>
          </w:tcPr>
          <w:p w14:paraId="1DAC7CE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c>
          <w:tcPr>
            <w:tcW w:w="879" w:type="dxa"/>
            <w:vAlign w:val="center"/>
          </w:tcPr>
          <w:p w14:paraId="42B8F59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c>
          <w:tcPr>
            <w:tcW w:w="851" w:type="dxa"/>
            <w:vAlign w:val="center"/>
          </w:tcPr>
          <w:p w14:paraId="3AD58E9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c>
          <w:tcPr>
            <w:tcW w:w="755" w:type="dxa"/>
            <w:vAlign w:val="center"/>
          </w:tcPr>
          <w:p w14:paraId="6D78D19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c>
          <w:tcPr>
            <w:tcW w:w="1229" w:type="dxa"/>
            <w:vAlign w:val="center"/>
          </w:tcPr>
          <w:p w14:paraId="1599E20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≥460</w:t>
            </w:r>
          </w:p>
        </w:tc>
        <w:tc>
          <w:tcPr>
            <w:tcW w:w="648" w:type="dxa"/>
            <w:vAlign w:val="center"/>
          </w:tcPr>
          <w:p w14:paraId="15B92D6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0.67</w:t>
            </w:r>
          </w:p>
        </w:tc>
        <w:tc>
          <w:tcPr>
            <w:tcW w:w="841" w:type="dxa"/>
            <w:vAlign w:val="center"/>
          </w:tcPr>
          <w:p w14:paraId="16E19B5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p>
        </w:tc>
      </w:tr>
    </w:tbl>
    <w:p w14:paraId="782D3003">
      <w:pPr>
        <w:bidi w:val="0"/>
        <w:rPr>
          <w:rFonts w:hint="default" w:asciiTheme="minorHAnsi" w:hAnsiTheme="minorHAnsi" w:eastAsiaTheme="minorEastAsia" w:cstheme="minorBidi"/>
          <w:kern w:val="2"/>
          <w:sz w:val="21"/>
          <w:szCs w:val="22"/>
          <w:lang w:val="en-US" w:eastAsia="zh-CN" w:bidi="ar-SA"/>
        </w:rPr>
      </w:pPr>
    </w:p>
    <w:p w14:paraId="58C49064">
      <w:pPr>
        <w:bidi w:val="0"/>
        <w:jc w:val="left"/>
        <w:rPr>
          <w:rFonts w:hint="default"/>
          <w:lang w:val="en-US" w:eastAsia="zh-CN"/>
        </w:rPr>
      </w:pPr>
    </w:p>
    <w:p w14:paraId="4DDEA7F5">
      <w:pPr>
        <w:bidi w:val="0"/>
        <w:rPr>
          <w:rFonts w:hint="default" w:asciiTheme="minorHAnsi" w:hAnsiTheme="minorHAnsi" w:eastAsiaTheme="minorEastAsia" w:cstheme="minorBidi"/>
          <w:kern w:val="2"/>
          <w:sz w:val="21"/>
          <w:szCs w:val="22"/>
          <w:lang w:val="en-US" w:eastAsia="zh-CN" w:bidi="ar-SA"/>
        </w:rPr>
      </w:pPr>
    </w:p>
    <w:p w14:paraId="7E77B98A">
      <w:pPr>
        <w:bidi w:val="0"/>
        <w:rPr>
          <w:rFonts w:hint="default"/>
          <w:lang w:val="en-US" w:eastAsia="zh-CN"/>
        </w:rPr>
      </w:pPr>
    </w:p>
    <w:p w14:paraId="66171E30">
      <w:pPr>
        <w:bidi w:val="0"/>
        <w:rPr>
          <w:rFonts w:hint="default"/>
          <w:lang w:val="en-US" w:eastAsia="zh-CN"/>
        </w:rPr>
      </w:pPr>
    </w:p>
    <w:p w14:paraId="3FACD0DC">
      <w:pPr>
        <w:bidi w:val="0"/>
        <w:rPr>
          <w:rFonts w:hint="default"/>
          <w:lang w:val="en-US" w:eastAsia="zh-CN"/>
        </w:rPr>
      </w:pPr>
    </w:p>
    <w:p w14:paraId="627436D4">
      <w:pPr>
        <w:bidi w:val="0"/>
        <w:rPr>
          <w:rFonts w:hint="default"/>
          <w:lang w:val="en-US" w:eastAsia="zh-CN"/>
        </w:rPr>
      </w:pPr>
    </w:p>
    <w:p w14:paraId="1B507449">
      <w:pPr>
        <w:bidi w:val="0"/>
        <w:rPr>
          <w:rFonts w:hint="default"/>
          <w:lang w:val="en-US" w:eastAsia="zh-CN"/>
        </w:rPr>
      </w:pPr>
    </w:p>
    <w:p w14:paraId="411854A1">
      <w:pPr>
        <w:bidi w:val="0"/>
        <w:jc w:val="left"/>
        <w:rPr>
          <w:rFonts w:hint="default"/>
          <w:lang w:val="en-US" w:eastAsia="zh-CN"/>
        </w:rPr>
        <w:sectPr>
          <w:pgSz w:w="11906" w:h="16838"/>
          <w:pgMar w:top="1440" w:right="1800" w:bottom="1440" w:left="1800" w:header="851" w:footer="992" w:gutter="0"/>
          <w:cols w:space="425" w:num="1"/>
          <w:docGrid w:type="lines" w:linePitch="312" w:charSpace="0"/>
        </w:sectPr>
      </w:pPr>
    </w:p>
    <w:p w14:paraId="5395475F">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LB Powder (Substitute for SB Powder)</w:t>
      </w:r>
    </w:p>
    <w:p w14:paraId="33B03D94">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 Product Properties</w:t>
      </w:r>
    </w:p>
    <w:p w14:paraId="04F4F56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LB Powder is an independently developed and processed product by the company, designed to serve as a substitute for imported SB Powder. It features excellent binding performance and rapid, clear acid solubility. The product has been tested and evaluated by several catalyst manufacturing companies.</w:t>
      </w:r>
    </w:p>
    <w:p w14:paraId="5301E97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 Main Applications</w:t>
      </w:r>
    </w:p>
    <w:p w14:paraId="14C2A13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Hydrotreating catalysts, environmental protection catalysts, lithium battery separator coatings, MLCC dielectric layers, structural ceramics, bioceramics, CVD coatings, photovoltaic silver paste, among others.</w:t>
      </w:r>
    </w:p>
    <w:p w14:paraId="2959A576">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Technical Specifications of LB Powder</w:t>
      </w:r>
    </w:p>
    <w:p w14:paraId="5203198E">
      <w:pPr>
        <w:bidi w:val="0"/>
        <w:jc w:val="left"/>
        <w:rPr>
          <w:rFonts w:hint="default"/>
          <w:lang w:val="en-US" w:eastAsia="zh-CN"/>
        </w:rPr>
      </w:pPr>
    </w:p>
    <w:tbl>
      <w:tblPr>
        <w:tblStyle w:val="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6"/>
        <w:gridCol w:w="959"/>
        <w:gridCol w:w="968"/>
        <w:gridCol w:w="968"/>
        <w:gridCol w:w="973"/>
        <w:gridCol w:w="972"/>
        <w:gridCol w:w="1035"/>
        <w:gridCol w:w="1134"/>
        <w:gridCol w:w="964"/>
      </w:tblGrid>
      <w:tr w14:paraId="51C3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1066" w:type="dxa"/>
            <w:vAlign w:val="center"/>
          </w:tcPr>
          <w:p w14:paraId="1DC32D5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Product Name</w:t>
            </w:r>
          </w:p>
        </w:tc>
        <w:tc>
          <w:tcPr>
            <w:tcW w:w="959" w:type="dxa"/>
            <w:vAlign w:val="center"/>
          </w:tcPr>
          <w:p w14:paraId="372CC50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w:t>
            </w:r>
          </w:p>
        </w:tc>
        <w:tc>
          <w:tcPr>
            <w:tcW w:w="968" w:type="dxa"/>
            <w:vAlign w:val="center"/>
          </w:tcPr>
          <w:p w14:paraId="280E23D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CaO (ppm)</w:t>
            </w:r>
          </w:p>
        </w:tc>
        <w:tc>
          <w:tcPr>
            <w:tcW w:w="968" w:type="dxa"/>
            <w:vAlign w:val="center"/>
          </w:tcPr>
          <w:p w14:paraId="5CFF15C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SiO₂ (ppm)</w:t>
            </w:r>
          </w:p>
        </w:tc>
        <w:tc>
          <w:tcPr>
            <w:tcW w:w="973" w:type="dxa"/>
            <w:vAlign w:val="center"/>
          </w:tcPr>
          <w:p w14:paraId="115FEE3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Fe₂O₃ (ppm)</w:t>
            </w:r>
          </w:p>
        </w:tc>
        <w:tc>
          <w:tcPr>
            <w:tcW w:w="972" w:type="dxa"/>
            <w:vAlign w:val="center"/>
          </w:tcPr>
          <w:p w14:paraId="0BD98CD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Na₂O (ppm)</w:t>
            </w:r>
          </w:p>
        </w:tc>
        <w:tc>
          <w:tcPr>
            <w:tcW w:w="1035" w:type="dxa"/>
            <w:vAlign w:val="center"/>
          </w:tcPr>
          <w:p w14:paraId="12798C3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 (m²/g)</w:t>
            </w:r>
          </w:p>
        </w:tc>
        <w:tc>
          <w:tcPr>
            <w:tcW w:w="1134" w:type="dxa"/>
            <w:vAlign w:val="center"/>
          </w:tcPr>
          <w:p w14:paraId="1FBFA46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Volume (ml/g)</w:t>
            </w:r>
          </w:p>
        </w:tc>
        <w:tc>
          <w:tcPr>
            <w:tcW w:w="964" w:type="dxa"/>
            <w:vAlign w:val="center"/>
          </w:tcPr>
          <w:p w14:paraId="73A3CA1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Gel Volume (%)</w:t>
            </w:r>
          </w:p>
        </w:tc>
      </w:tr>
      <w:tr w14:paraId="7D76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066" w:type="dxa"/>
          </w:tcPr>
          <w:p w14:paraId="2BBD1BE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CAC2C4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LB Powder</w:t>
            </w:r>
          </w:p>
        </w:tc>
        <w:tc>
          <w:tcPr>
            <w:tcW w:w="959" w:type="dxa"/>
          </w:tcPr>
          <w:p w14:paraId="3F30B51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05945B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LB-01</w:t>
            </w:r>
          </w:p>
        </w:tc>
        <w:tc>
          <w:tcPr>
            <w:tcW w:w="968" w:type="dxa"/>
          </w:tcPr>
          <w:p w14:paraId="58A840C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792C13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50</w:t>
            </w:r>
          </w:p>
        </w:tc>
        <w:tc>
          <w:tcPr>
            <w:tcW w:w="968" w:type="dxa"/>
          </w:tcPr>
          <w:p w14:paraId="2158E63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422EFC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50</w:t>
            </w:r>
          </w:p>
        </w:tc>
        <w:tc>
          <w:tcPr>
            <w:tcW w:w="973" w:type="dxa"/>
          </w:tcPr>
          <w:p w14:paraId="691FEEA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56BBCA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50</w:t>
            </w:r>
          </w:p>
        </w:tc>
        <w:tc>
          <w:tcPr>
            <w:tcW w:w="972" w:type="dxa"/>
          </w:tcPr>
          <w:p w14:paraId="6921F85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1D6B06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50</w:t>
            </w:r>
          </w:p>
        </w:tc>
        <w:tc>
          <w:tcPr>
            <w:tcW w:w="1035" w:type="dxa"/>
          </w:tcPr>
          <w:p w14:paraId="1653FE4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3CB157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250-280</w:t>
            </w:r>
          </w:p>
        </w:tc>
        <w:tc>
          <w:tcPr>
            <w:tcW w:w="1134" w:type="dxa"/>
          </w:tcPr>
          <w:p w14:paraId="48ABA46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8D4B9E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w:t>
            </w:r>
            <w:r>
              <w:rPr>
                <w:rFonts w:hint="default" w:ascii="Times New Roman" w:hAnsi="Times New Roman" w:eastAsia="宋体" w:cs="Times New Roman"/>
                <w:kern w:val="0"/>
                <w:sz w:val="15"/>
                <w:szCs w:val="15"/>
                <w:lang w:val="el-GR" w:eastAsia="zh-CN" w:bidi="ar"/>
              </w:rPr>
              <w:t>.</w:t>
            </w:r>
            <w:r>
              <w:rPr>
                <w:rFonts w:hint="eastAsia" w:ascii="Times New Roman" w:hAnsi="Times New Roman" w:eastAsia="宋体" w:cs="Times New Roman"/>
                <w:kern w:val="0"/>
                <w:sz w:val="15"/>
                <w:szCs w:val="15"/>
                <w:lang w:val="el-GR" w:eastAsia="zh-CN" w:bidi="ar"/>
              </w:rPr>
              <w:t>5-0</w:t>
            </w:r>
            <w:r>
              <w:rPr>
                <w:rFonts w:hint="default" w:ascii="Times New Roman" w:hAnsi="Times New Roman" w:eastAsia="宋体" w:cs="Times New Roman"/>
                <w:kern w:val="0"/>
                <w:sz w:val="15"/>
                <w:szCs w:val="15"/>
                <w:lang w:val="en-US" w:eastAsia="zh-CN" w:bidi="ar"/>
              </w:rPr>
              <w:t>.55</w:t>
            </w:r>
          </w:p>
        </w:tc>
        <w:tc>
          <w:tcPr>
            <w:tcW w:w="964" w:type="dxa"/>
          </w:tcPr>
          <w:p w14:paraId="7F691CD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EB93B7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99</w:t>
            </w:r>
          </w:p>
        </w:tc>
      </w:tr>
    </w:tbl>
    <w:p w14:paraId="6EF68B80">
      <w:pPr>
        <w:bidi w:val="0"/>
        <w:jc w:val="left"/>
        <w:rPr>
          <w:rFonts w:hint="default" w:asciiTheme="minorHAnsi" w:hAnsiTheme="minorHAnsi" w:eastAsiaTheme="minorEastAsia" w:cstheme="minorBidi"/>
          <w:kern w:val="2"/>
          <w:sz w:val="21"/>
          <w:szCs w:val="22"/>
          <w:lang w:val="en-US" w:eastAsia="zh-CN" w:bidi="ar-SA"/>
        </w:rPr>
      </w:pPr>
    </w:p>
    <w:p w14:paraId="30992C45">
      <w:pPr>
        <w:bidi w:val="0"/>
        <w:rPr>
          <w:rFonts w:hint="default" w:asciiTheme="minorHAnsi" w:hAnsiTheme="minorHAnsi" w:eastAsiaTheme="minorEastAsia" w:cstheme="minorBidi"/>
          <w:kern w:val="2"/>
          <w:sz w:val="21"/>
          <w:szCs w:val="22"/>
          <w:lang w:val="en-US" w:eastAsia="zh-CN" w:bidi="ar-SA"/>
        </w:rPr>
      </w:pPr>
    </w:p>
    <w:p w14:paraId="5FC1235A">
      <w:pPr>
        <w:bidi w:val="0"/>
        <w:rPr>
          <w:rFonts w:hint="default"/>
          <w:lang w:val="en-US" w:eastAsia="zh-CN"/>
        </w:rPr>
      </w:pPr>
    </w:p>
    <w:p w14:paraId="3FBA0B12">
      <w:pPr>
        <w:bidi w:val="0"/>
        <w:rPr>
          <w:rFonts w:hint="default"/>
          <w:lang w:val="en-US" w:eastAsia="zh-CN"/>
        </w:rPr>
      </w:pPr>
    </w:p>
    <w:p w14:paraId="770AB2FA">
      <w:pPr>
        <w:bidi w:val="0"/>
        <w:rPr>
          <w:rFonts w:hint="default"/>
          <w:lang w:val="en-US" w:eastAsia="zh-CN"/>
        </w:rPr>
      </w:pPr>
    </w:p>
    <w:p w14:paraId="03A7215F">
      <w:pPr>
        <w:bidi w:val="0"/>
        <w:rPr>
          <w:rFonts w:hint="default"/>
          <w:lang w:val="en-US" w:eastAsia="zh-CN"/>
        </w:rPr>
      </w:pPr>
    </w:p>
    <w:p w14:paraId="5B5DD988">
      <w:pPr>
        <w:bidi w:val="0"/>
        <w:rPr>
          <w:rFonts w:hint="default"/>
          <w:lang w:val="en-US" w:eastAsia="zh-CN"/>
        </w:rPr>
      </w:pPr>
    </w:p>
    <w:p w14:paraId="11C4D053">
      <w:pPr>
        <w:bidi w:val="0"/>
        <w:rPr>
          <w:rFonts w:hint="default"/>
          <w:lang w:val="en-US" w:eastAsia="zh-CN"/>
        </w:rPr>
      </w:pPr>
    </w:p>
    <w:p w14:paraId="00757499">
      <w:pPr>
        <w:bidi w:val="0"/>
        <w:rPr>
          <w:rFonts w:hint="default"/>
          <w:lang w:val="en-US" w:eastAsia="zh-CN"/>
        </w:rPr>
      </w:pPr>
    </w:p>
    <w:p w14:paraId="308A92FE">
      <w:pPr>
        <w:bidi w:val="0"/>
        <w:rPr>
          <w:rFonts w:hint="default"/>
          <w:lang w:val="en-US" w:eastAsia="zh-CN"/>
        </w:rPr>
      </w:pPr>
    </w:p>
    <w:p w14:paraId="0BEFB42A">
      <w:pPr>
        <w:bidi w:val="0"/>
        <w:rPr>
          <w:rFonts w:hint="default"/>
          <w:lang w:val="en-US" w:eastAsia="zh-CN"/>
        </w:rPr>
      </w:pPr>
    </w:p>
    <w:p w14:paraId="670CD0B2">
      <w:pPr>
        <w:bidi w:val="0"/>
        <w:rPr>
          <w:rFonts w:hint="default"/>
          <w:lang w:val="en-US" w:eastAsia="zh-CN"/>
        </w:rPr>
      </w:pPr>
    </w:p>
    <w:p w14:paraId="2A3B2D5B">
      <w:pPr>
        <w:bidi w:val="0"/>
        <w:rPr>
          <w:rFonts w:hint="default"/>
          <w:lang w:val="en-US" w:eastAsia="zh-CN"/>
        </w:rPr>
      </w:pPr>
    </w:p>
    <w:p w14:paraId="0095445D">
      <w:pPr>
        <w:bidi w:val="0"/>
        <w:rPr>
          <w:rFonts w:hint="default"/>
          <w:lang w:val="en-US" w:eastAsia="zh-CN"/>
        </w:rPr>
      </w:pPr>
    </w:p>
    <w:p w14:paraId="49ED9842">
      <w:pPr>
        <w:bidi w:val="0"/>
        <w:rPr>
          <w:rFonts w:hint="default"/>
          <w:lang w:val="en-US" w:eastAsia="zh-CN"/>
        </w:rPr>
      </w:pPr>
    </w:p>
    <w:p w14:paraId="419AF67B">
      <w:pPr>
        <w:bidi w:val="0"/>
        <w:rPr>
          <w:rFonts w:hint="default"/>
          <w:lang w:val="en-US" w:eastAsia="zh-CN"/>
        </w:rPr>
      </w:pPr>
    </w:p>
    <w:p w14:paraId="783DFD01">
      <w:pPr>
        <w:bidi w:val="0"/>
        <w:rPr>
          <w:rFonts w:hint="default"/>
          <w:lang w:val="en-US" w:eastAsia="zh-CN"/>
        </w:rPr>
      </w:pPr>
    </w:p>
    <w:p w14:paraId="42C9C359">
      <w:pPr>
        <w:bidi w:val="0"/>
        <w:rPr>
          <w:rFonts w:hint="default"/>
          <w:lang w:val="en-US" w:eastAsia="zh-CN"/>
        </w:rPr>
      </w:pPr>
    </w:p>
    <w:p w14:paraId="61116A7F">
      <w:pPr>
        <w:bidi w:val="0"/>
        <w:jc w:val="left"/>
        <w:rPr>
          <w:rFonts w:hint="default"/>
          <w:lang w:val="en-US" w:eastAsia="zh-CN"/>
        </w:rPr>
        <w:sectPr>
          <w:pgSz w:w="11906" w:h="16838"/>
          <w:pgMar w:top="1440" w:right="1800" w:bottom="1440" w:left="1800" w:header="851" w:footer="992" w:gutter="0"/>
          <w:cols w:space="425" w:num="1"/>
          <w:docGrid w:type="lines" w:linePitch="312" w:charSpace="0"/>
        </w:sectPr>
      </w:pPr>
    </w:p>
    <w:p w14:paraId="0FC8758C">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Microcrystalline Alumina</w:t>
      </w:r>
    </w:p>
    <w:p w14:paraId="45B5D5E4">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 Product Characteristics</w:t>
      </w:r>
    </w:p>
    <w:p w14:paraId="69EDA66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α-phase microcrystalline alumina produced by the company is a high-performance alumina material characterized by a well-defined crystalline structure and unique physical properties. Its advantages include fine crystal size, high purity, controllable specific surface area, and stable physicochemical properties.</w:t>
      </w:r>
    </w:p>
    <w:p w14:paraId="27B4FE8E">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 Main Applications</w:t>
      </w:r>
    </w:p>
    <w:p w14:paraId="3A4A4C5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α-phase microcrystalline alumina can be processed into a core material for ceramic substrates used in CED and IGBT module power chips, supporting circuit integration and heat dissipation. It is also suitable for manufacturing high-end insulators, ceramic capacitors, and microwave devices, meeting the dielectric constant requirements of 5G communication materials.</w:t>
      </w:r>
    </w:p>
    <w:p w14:paraId="791B6FC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lithium battery components, it serves as a coating material for separators to enhance battery safety or as a coating modifier for cathode materials to suppress interfacial side reactions. In advanced ceramics and refractory materials, it is used to produce special ceramic bearings, sealing rings, and cutting tools. Its high hardness and wear resistance make it applicable in mechanical and aerospace industries.</w:t>
      </w:r>
    </w:p>
    <w:p w14:paraId="16F3CAF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it is used for grinding and polishing metals, glass, and stone, as well as in the production of ceramic joints and other medical ceramics.</w:t>
      </w:r>
    </w:p>
    <w:p w14:paraId="1A4BDC5D">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Technical Specifications – α-Phase Microcrystalline Alumina</w:t>
      </w:r>
    </w:p>
    <w:p w14:paraId="532ABDB7">
      <w:pPr>
        <w:bidi w:val="0"/>
        <w:jc w:val="left"/>
        <w:rPr>
          <w:rFonts w:hint="default"/>
          <w:lang w:val="en-US" w:eastAsia="zh-CN"/>
        </w:rPr>
      </w:pPr>
    </w:p>
    <w:p w14:paraId="4A81901E">
      <w:pPr>
        <w:bidi w:val="0"/>
        <w:rPr>
          <w:rFonts w:hint="default" w:asciiTheme="minorHAnsi" w:hAnsiTheme="minorHAnsi" w:eastAsiaTheme="minorEastAsia" w:cstheme="minorBidi"/>
          <w:kern w:val="2"/>
          <w:sz w:val="21"/>
          <w:szCs w:val="22"/>
          <w:lang w:val="en-US" w:eastAsia="zh-CN" w:bidi="ar-SA"/>
        </w:rPr>
      </w:pPr>
    </w:p>
    <w:tbl>
      <w:tblPr>
        <w:tblStyle w:val="8"/>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920"/>
        <w:gridCol w:w="693"/>
        <w:gridCol w:w="759"/>
        <w:gridCol w:w="722"/>
        <w:gridCol w:w="851"/>
        <w:gridCol w:w="992"/>
        <w:gridCol w:w="1276"/>
        <w:gridCol w:w="1166"/>
        <w:gridCol w:w="1102"/>
      </w:tblGrid>
      <w:tr w14:paraId="32C6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jc w:val="center"/>
        </w:trPr>
        <w:tc>
          <w:tcPr>
            <w:tcW w:w="1495" w:type="dxa"/>
            <w:vAlign w:val="center"/>
          </w:tcPr>
          <w:p w14:paraId="2EE49E2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Product Name</w:t>
            </w:r>
          </w:p>
        </w:tc>
        <w:tc>
          <w:tcPr>
            <w:tcW w:w="920" w:type="dxa"/>
            <w:vAlign w:val="center"/>
          </w:tcPr>
          <w:p w14:paraId="329F5EA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w:t>
            </w:r>
          </w:p>
        </w:tc>
        <w:tc>
          <w:tcPr>
            <w:tcW w:w="693" w:type="dxa"/>
            <w:vAlign w:val="center"/>
          </w:tcPr>
          <w:p w14:paraId="0E0338D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SiO₂ (ppm)</w:t>
            </w:r>
          </w:p>
        </w:tc>
        <w:tc>
          <w:tcPr>
            <w:tcW w:w="759" w:type="dxa"/>
            <w:vAlign w:val="center"/>
          </w:tcPr>
          <w:p w14:paraId="1C4535A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Fe₂O₃ (ppm)</w:t>
            </w:r>
          </w:p>
        </w:tc>
        <w:tc>
          <w:tcPr>
            <w:tcW w:w="722" w:type="dxa"/>
            <w:vAlign w:val="center"/>
          </w:tcPr>
          <w:p w14:paraId="4BE17BE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Na₂O (ppm)</w:t>
            </w:r>
          </w:p>
        </w:tc>
        <w:tc>
          <w:tcPr>
            <w:tcW w:w="851" w:type="dxa"/>
            <w:vAlign w:val="center"/>
          </w:tcPr>
          <w:p w14:paraId="6941C0E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CaO (ppm)</w:t>
            </w:r>
          </w:p>
        </w:tc>
        <w:tc>
          <w:tcPr>
            <w:tcW w:w="992" w:type="dxa"/>
            <w:vAlign w:val="center"/>
          </w:tcPr>
          <w:p w14:paraId="42F2AB4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MgO (ppm)</w:t>
            </w:r>
          </w:p>
        </w:tc>
        <w:tc>
          <w:tcPr>
            <w:tcW w:w="1276" w:type="dxa"/>
            <w:vAlign w:val="center"/>
          </w:tcPr>
          <w:p w14:paraId="097ACDA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Calcination Temperature (℃)</w:t>
            </w:r>
          </w:p>
        </w:tc>
        <w:tc>
          <w:tcPr>
            <w:tcW w:w="1166" w:type="dxa"/>
            <w:vAlign w:val="center"/>
          </w:tcPr>
          <w:p w14:paraId="2BAAF3D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α-Phase Content (%)</w:t>
            </w:r>
          </w:p>
        </w:tc>
        <w:tc>
          <w:tcPr>
            <w:tcW w:w="1102" w:type="dxa"/>
            <w:vAlign w:val="center"/>
          </w:tcPr>
          <w:p w14:paraId="4FE8D88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Particle Size (μm)</w:t>
            </w:r>
          </w:p>
        </w:tc>
      </w:tr>
      <w:tr w14:paraId="1659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495" w:type="dxa"/>
            <w:vAlign w:val="center"/>
          </w:tcPr>
          <w:p w14:paraId="5A26116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Microcrystalline Alumina</w:t>
            </w:r>
          </w:p>
        </w:tc>
        <w:tc>
          <w:tcPr>
            <w:tcW w:w="920" w:type="dxa"/>
            <w:vAlign w:val="center"/>
          </w:tcPr>
          <w:p w14:paraId="26BE1B5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MC-01</w:t>
            </w:r>
          </w:p>
        </w:tc>
        <w:tc>
          <w:tcPr>
            <w:tcW w:w="693" w:type="dxa"/>
            <w:vAlign w:val="center"/>
          </w:tcPr>
          <w:p w14:paraId="1B2CDEE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≤45</w:t>
            </w:r>
          </w:p>
        </w:tc>
        <w:tc>
          <w:tcPr>
            <w:tcW w:w="759" w:type="dxa"/>
            <w:vAlign w:val="center"/>
          </w:tcPr>
          <w:p w14:paraId="415DF71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≤50</w:t>
            </w:r>
          </w:p>
        </w:tc>
        <w:tc>
          <w:tcPr>
            <w:tcW w:w="722" w:type="dxa"/>
            <w:vAlign w:val="center"/>
          </w:tcPr>
          <w:p w14:paraId="47B323E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≤150</w:t>
            </w:r>
          </w:p>
        </w:tc>
        <w:tc>
          <w:tcPr>
            <w:tcW w:w="851" w:type="dxa"/>
            <w:vAlign w:val="center"/>
          </w:tcPr>
          <w:p w14:paraId="18BA5BE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≤200</w:t>
            </w:r>
          </w:p>
        </w:tc>
        <w:tc>
          <w:tcPr>
            <w:tcW w:w="992" w:type="dxa"/>
            <w:vAlign w:val="center"/>
          </w:tcPr>
          <w:p w14:paraId="0511C1D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w:t>
            </w:r>
          </w:p>
        </w:tc>
        <w:tc>
          <w:tcPr>
            <w:tcW w:w="1276" w:type="dxa"/>
            <w:vAlign w:val="center"/>
          </w:tcPr>
          <w:p w14:paraId="591F803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1230</w:t>
            </w:r>
          </w:p>
        </w:tc>
        <w:tc>
          <w:tcPr>
            <w:tcW w:w="1166" w:type="dxa"/>
            <w:vAlign w:val="center"/>
          </w:tcPr>
          <w:p w14:paraId="4483BFC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≥96</w:t>
            </w:r>
          </w:p>
        </w:tc>
        <w:tc>
          <w:tcPr>
            <w:tcW w:w="1102" w:type="dxa"/>
            <w:vAlign w:val="center"/>
          </w:tcPr>
          <w:p w14:paraId="4F887F3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0.5</w:t>
            </w:r>
          </w:p>
        </w:tc>
      </w:tr>
    </w:tbl>
    <w:p w14:paraId="6CB16F46">
      <w:pPr>
        <w:bidi w:val="0"/>
        <w:jc w:val="left"/>
        <w:rPr>
          <w:rFonts w:hint="default"/>
          <w:lang w:val="en-US" w:eastAsia="zh-CN"/>
        </w:rPr>
      </w:pPr>
    </w:p>
    <w:p w14:paraId="3371CB18">
      <w:pPr>
        <w:bidi w:val="0"/>
        <w:rPr>
          <w:rFonts w:hint="default" w:asciiTheme="minorHAnsi" w:hAnsiTheme="minorHAnsi" w:eastAsiaTheme="minorEastAsia" w:cstheme="minorBidi"/>
          <w:kern w:val="2"/>
          <w:sz w:val="21"/>
          <w:szCs w:val="22"/>
          <w:lang w:val="en-US" w:eastAsia="zh-CN" w:bidi="ar-SA"/>
        </w:rPr>
      </w:pPr>
    </w:p>
    <w:p w14:paraId="11233864">
      <w:pPr>
        <w:bidi w:val="0"/>
        <w:rPr>
          <w:rFonts w:hint="default"/>
          <w:lang w:val="en-US" w:eastAsia="zh-CN"/>
        </w:rPr>
      </w:pPr>
    </w:p>
    <w:p w14:paraId="26D1DEC5">
      <w:pPr>
        <w:bidi w:val="0"/>
        <w:rPr>
          <w:rFonts w:hint="default"/>
          <w:lang w:val="en-US" w:eastAsia="zh-CN"/>
        </w:rPr>
      </w:pPr>
    </w:p>
    <w:p w14:paraId="375C558D">
      <w:pPr>
        <w:bidi w:val="0"/>
        <w:rPr>
          <w:rFonts w:hint="default"/>
          <w:lang w:val="en-US" w:eastAsia="zh-CN"/>
        </w:rPr>
      </w:pPr>
    </w:p>
    <w:p w14:paraId="450B0980">
      <w:pPr>
        <w:bidi w:val="0"/>
        <w:rPr>
          <w:rFonts w:hint="default"/>
          <w:lang w:val="en-US" w:eastAsia="zh-CN"/>
        </w:rPr>
      </w:pPr>
    </w:p>
    <w:p w14:paraId="2ABA5812">
      <w:pPr>
        <w:bidi w:val="0"/>
        <w:rPr>
          <w:rFonts w:hint="default"/>
          <w:lang w:val="en-US" w:eastAsia="zh-CN"/>
        </w:rPr>
      </w:pPr>
    </w:p>
    <w:p w14:paraId="4DD8F0E1">
      <w:pPr>
        <w:bidi w:val="0"/>
        <w:rPr>
          <w:rFonts w:hint="default"/>
          <w:lang w:val="en-US" w:eastAsia="zh-CN"/>
        </w:rPr>
      </w:pPr>
    </w:p>
    <w:p w14:paraId="548885F2">
      <w:pPr>
        <w:bidi w:val="0"/>
        <w:jc w:val="left"/>
        <w:rPr>
          <w:rFonts w:hint="default"/>
          <w:lang w:val="en-US" w:eastAsia="zh-CN"/>
        </w:rPr>
        <w:sectPr>
          <w:pgSz w:w="11906" w:h="16838"/>
          <w:pgMar w:top="1440" w:right="1800" w:bottom="1440" w:left="1800" w:header="851" w:footer="992" w:gutter="0"/>
          <w:cols w:space="425" w:num="1"/>
          <w:docGrid w:type="lines" w:linePitch="312" w:charSpace="0"/>
        </w:sectPr>
      </w:pPr>
    </w:p>
    <w:p w14:paraId="2F69377A">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Spherical Alumina Carrier</w:t>
      </w:r>
    </w:p>
    <w:p w14:paraId="707BB45F">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rPr>
        <w:t>I. Product Applications</w:t>
      </w:r>
    </w:p>
    <w:p w14:paraId="534BACBF">
      <w:pPr>
        <w:pStyle w:val="6"/>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Catalyst Support:</w:t>
      </w:r>
      <w:r>
        <w:rPr>
          <w:rFonts w:hint="default" w:ascii="Times New Roman" w:hAnsi="Times New Roman" w:cs="Times New Roman"/>
        </w:rPr>
        <w:t xml:space="preserve"> Enhances the dispersion, stability, and activity of catalysts. Widely used in petroleum refining, exhaust gas treatment, organic synthesis, and other fields.</w:t>
      </w:r>
    </w:p>
    <w:p w14:paraId="5A3208CB">
      <w:pPr>
        <w:pStyle w:val="6"/>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Thermal Conductive Filler:</w:t>
      </w:r>
      <w:r>
        <w:rPr>
          <w:rFonts w:hint="default" w:ascii="Times New Roman" w:hAnsi="Times New Roman" w:cs="Times New Roman"/>
        </w:rPr>
        <w:t xml:space="preserve"> Applied in thermal interface materials, thermally conductive engineering plastics, and aluminum-based copper-clad laminates to improve thermal conductivity.</w:t>
      </w:r>
    </w:p>
    <w:p w14:paraId="6DF38728">
      <w:pPr>
        <w:pStyle w:val="6"/>
        <w:keepNext w:val="0"/>
        <w:keepLines w:val="0"/>
        <w:widowControl/>
        <w:suppressLineNumbers w:val="0"/>
        <w:jc w:val="both"/>
        <w:rPr>
          <w:rFonts w:hint="default" w:ascii="Times New Roman" w:hAnsi="Times New Roman" w:cs="Times New Roman"/>
        </w:rPr>
      </w:pPr>
    </w:p>
    <w:p w14:paraId="3C16664B">
      <w:pPr>
        <w:pStyle w:val="6"/>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II. Product Specifications</w:t>
      </w:r>
    </w:p>
    <w:p w14:paraId="7E9F2D39">
      <w:pPr>
        <w:pStyle w:val="6"/>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rPr>
        <w:t>(Customizable according to user requirements)</w:t>
      </w:r>
    </w:p>
    <w:p w14:paraId="2B05CA12">
      <w:pPr>
        <w:bidi w:val="0"/>
        <w:jc w:val="left"/>
        <w:rPr>
          <w:rFonts w:hint="default"/>
          <w:lang w:val="en-US" w:eastAsia="zh-CN"/>
        </w:rPr>
      </w:pPr>
    </w:p>
    <w:tbl>
      <w:tblPr>
        <w:tblStyle w:val="8"/>
        <w:tblW w:w="9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3"/>
        <w:gridCol w:w="912"/>
        <w:gridCol w:w="1248"/>
        <w:gridCol w:w="1248"/>
        <w:gridCol w:w="1249"/>
        <w:gridCol w:w="1249"/>
        <w:gridCol w:w="1810"/>
      </w:tblGrid>
      <w:tr w14:paraId="69F3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03" w:type="dxa"/>
          </w:tcPr>
          <w:p w14:paraId="24619CB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Appearance</w:t>
            </w:r>
          </w:p>
        </w:tc>
        <w:tc>
          <w:tcPr>
            <w:tcW w:w="7716" w:type="dxa"/>
            <w:gridSpan w:val="6"/>
          </w:tcPr>
          <w:p w14:paraId="563122F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Spherical</w:t>
            </w:r>
          </w:p>
        </w:tc>
      </w:tr>
      <w:tr w14:paraId="163E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303" w:type="dxa"/>
          </w:tcPr>
          <w:p w14:paraId="1AAE67F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Grades</w:t>
            </w:r>
          </w:p>
        </w:tc>
        <w:tc>
          <w:tcPr>
            <w:tcW w:w="7716" w:type="dxa"/>
            <w:gridSpan w:val="6"/>
          </w:tcPr>
          <w:p w14:paraId="73511F4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AS-01，AS-02，AS-03</w:t>
            </w:r>
          </w:p>
        </w:tc>
      </w:tr>
      <w:tr w14:paraId="2169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303" w:type="dxa"/>
            <w:vAlign w:val="center"/>
          </w:tcPr>
          <w:p w14:paraId="0C0F949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Specification Item</w:t>
            </w:r>
          </w:p>
        </w:tc>
        <w:tc>
          <w:tcPr>
            <w:tcW w:w="912" w:type="dxa"/>
          </w:tcPr>
          <w:p w14:paraId="0C5F925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52647E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Unit</w:t>
            </w:r>
          </w:p>
        </w:tc>
        <w:tc>
          <w:tcPr>
            <w:tcW w:w="6804" w:type="dxa"/>
            <w:gridSpan w:val="5"/>
          </w:tcPr>
          <w:p w14:paraId="3449E76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B41619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Technical Requirement</w:t>
            </w:r>
          </w:p>
        </w:tc>
      </w:tr>
      <w:tr w14:paraId="7D32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303" w:type="dxa"/>
            <w:vAlign w:val="center"/>
          </w:tcPr>
          <w:p w14:paraId="2DE6C81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Particle Size</w:t>
            </w:r>
          </w:p>
        </w:tc>
        <w:tc>
          <w:tcPr>
            <w:tcW w:w="912" w:type="dxa"/>
          </w:tcPr>
          <w:p w14:paraId="7C73B31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mm</w:t>
            </w:r>
          </w:p>
        </w:tc>
        <w:tc>
          <w:tcPr>
            <w:tcW w:w="1248" w:type="dxa"/>
          </w:tcPr>
          <w:p w14:paraId="54D88DB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1～2</w:t>
            </w:r>
          </w:p>
        </w:tc>
        <w:tc>
          <w:tcPr>
            <w:tcW w:w="1248" w:type="dxa"/>
          </w:tcPr>
          <w:p w14:paraId="3C68B96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2～3</w:t>
            </w:r>
          </w:p>
        </w:tc>
        <w:tc>
          <w:tcPr>
            <w:tcW w:w="1249" w:type="dxa"/>
          </w:tcPr>
          <w:p w14:paraId="5DF5C38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3～4</w:t>
            </w:r>
          </w:p>
        </w:tc>
        <w:tc>
          <w:tcPr>
            <w:tcW w:w="1249" w:type="dxa"/>
          </w:tcPr>
          <w:p w14:paraId="4B50DF5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4～6</w:t>
            </w:r>
          </w:p>
        </w:tc>
        <w:tc>
          <w:tcPr>
            <w:tcW w:w="1810" w:type="dxa"/>
          </w:tcPr>
          <w:p w14:paraId="589FBCC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15～25</w:t>
            </w:r>
          </w:p>
        </w:tc>
      </w:tr>
      <w:tr w14:paraId="73D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jc w:val="center"/>
        </w:trPr>
        <w:tc>
          <w:tcPr>
            <w:tcW w:w="1303" w:type="dxa"/>
            <w:vAlign w:val="center"/>
          </w:tcPr>
          <w:p w14:paraId="502049F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Loss on Ignition</w:t>
            </w:r>
          </w:p>
        </w:tc>
        <w:tc>
          <w:tcPr>
            <w:tcW w:w="912" w:type="dxa"/>
          </w:tcPr>
          <w:p w14:paraId="617331A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3100FC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w:t>
            </w:r>
          </w:p>
        </w:tc>
        <w:tc>
          <w:tcPr>
            <w:tcW w:w="6804" w:type="dxa"/>
            <w:gridSpan w:val="5"/>
          </w:tcPr>
          <w:p w14:paraId="3DE32DA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3590F8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6.0</w:t>
            </w:r>
          </w:p>
        </w:tc>
      </w:tr>
      <w:tr w14:paraId="498F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jc w:val="center"/>
        </w:trPr>
        <w:tc>
          <w:tcPr>
            <w:tcW w:w="1303" w:type="dxa"/>
            <w:vAlign w:val="center"/>
          </w:tcPr>
          <w:p w14:paraId="3D752A5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w:t>
            </w:r>
          </w:p>
        </w:tc>
        <w:tc>
          <w:tcPr>
            <w:tcW w:w="912" w:type="dxa"/>
          </w:tcPr>
          <w:p w14:paraId="17492B1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7C460D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m2/g</w:t>
            </w:r>
          </w:p>
        </w:tc>
        <w:tc>
          <w:tcPr>
            <w:tcW w:w="6804" w:type="dxa"/>
            <w:gridSpan w:val="5"/>
          </w:tcPr>
          <w:p w14:paraId="1526F4C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2D5EB8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150-350</w:t>
            </w:r>
          </w:p>
        </w:tc>
      </w:tr>
      <w:tr w14:paraId="26F5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303" w:type="dxa"/>
            <w:vAlign w:val="center"/>
          </w:tcPr>
          <w:p w14:paraId="6527565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Volume</w:t>
            </w:r>
          </w:p>
        </w:tc>
        <w:tc>
          <w:tcPr>
            <w:tcW w:w="912" w:type="dxa"/>
          </w:tcPr>
          <w:p w14:paraId="21A4DF6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cm3/g</w:t>
            </w:r>
          </w:p>
        </w:tc>
        <w:tc>
          <w:tcPr>
            <w:tcW w:w="6804" w:type="dxa"/>
            <w:gridSpan w:val="5"/>
          </w:tcPr>
          <w:p w14:paraId="0350BDE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0.5-0.9</w:t>
            </w:r>
          </w:p>
        </w:tc>
      </w:tr>
      <w:tr w14:paraId="5129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303" w:type="dxa"/>
            <w:vAlign w:val="center"/>
          </w:tcPr>
          <w:p w14:paraId="3B0CFE4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Bulk Density</w:t>
            </w:r>
          </w:p>
        </w:tc>
        <w:tc>
          <w:tcPr>
            <w:tcW w:w="912" w:type="dxa"/>
          </w:tcPr>
          <w:p w14:paraId="05B04DD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g/cm3</w:t>
            </w:r>
          </w:p>
        </w:tc>
        <w:tc>
          <w:tcPr>
            <w:tcW w:w="6804" w:type="dxa"/>
            <w:gridSpan w:val="5"/>
          </w:tcPr>
          <w:p w14:paraId="5B75425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0.4-0.75</w:t>
            </w:r>
          </w:p>
        </w:tc>
      </w:tr>
      <w:tr w14:paraId="6EF2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303" w:type="dxa"/>
            <w:vAlign w:val="center"/>
          </w:tcPr>
          <w:p w14:paraId="0CF3ACC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Crushing Strength</w:t>
            </w:r>
          </w:p>
        </w:tc>
        <w:tc>
          <w:tcPr>
            <w:tcW w:w="912" w:type="dxa"/>
          </w:tcPr>
          <w:p w14:paraId="76B5165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N/piece</w:t>
            </w:r>
          </w:p>
        </w:tc>
        <w:tc>
          <w:tcPr>
            <w:tcW w:w="1248" w:type="dxa"/>
          </w:tcPr>
          <w:p w14:paraId="723D6E2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25</w:t>
            </w:r>
          </w:p>
        </w:tc>
        <w:tc>
          <w:tcPr>
            <w:tcW w:w="1248" w:type="dxa"/>
          </w:tcPr>
          <w:p w14:paraId="02261CF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40</w:t>
            </w:r>
          </w:p>
        </w:tc>
        <w:tc>
          <w:tcPr>
            <w:tcW w:w="1249" w:type="dxa"/>
          </w:tcPr>
          <w:p w14:paraId="4951026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60</w:t>
            </w:r>
          </w:p>
        </w:tc>
        <w:tc>
          <w:tcPr>
            <w:tcW w:w="1249" w:type="dxa"/>
          </w:tcPr>
          <w:p w14:paraId="0AB8FA2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100</w:t>
            </w:r>
          </w:p>
        </w:tc>
        <w:tc>
          <w:tcPr>
            <w:tcW w:w="1810" w:type="dxa"/>
          </w:tcPr>
          <w:p w14:paraId="16319CC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300</w:t>
            </w:r>
          </w:p>
        </w:tc>
      </w:tr>
      <w:tr w14:paraId="5E66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303" w:type="dxa"/>
            <w:vAlign w:val="center"/>
          </w:tcPr>
          <w:p w14:paraId="081D97B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Water Absorption</w:t>
            </w:r>
          </w:p>
        </w:tc>
        <w:tc>
          <w:tcPr>
            <w:tcW w:w="912" w:type="dxa"/>
          </w:tcPr>
          <w:p w14:paraId="5DDB73D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w:t>
            </w:r>
          </w:p>
        </w:tc>
        <w:tc>
          <w:tcPr>
            <w:tcW w:w="6804" w:type="dxa"/>
            <w:gridSpan w:val="5"/>
          </w:tcPr>
          <w:p w14:paraId="30BBC63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60-150</w:t>
            </w:r>
          </w:p>
        </w:tc>
      </w:tr>
    </w:tbl>
    <w:p w14:paraId="2CAAC893">
      <w:pPr>
        <w:bidi w:val="0"/>
        <w:jc w:val="left"/>
        <w:rPr>
          <w:rFonts w:hint="default" w:asciiTheme="minorHAnsi" w:hAnsiTheme="minorHAnsi" w:eastAsiaTheme="minorEastAsia" w:cstheme="minorBidi"/>
          <w:kern w:val="2"/>
          <w:sz w:val="21"/>
          <w:szCs w:val="22"/>
          <w:lang w:val="en-US" w:eastAsia="zh-CN" w:bidi="ar-SA"/>
        </w:rPr>
      </w:pPr>
    </w:p>
    <w:p w14:paraId="7AEA9E98">
      <w:pPr>
        <w:bidi w:val="0"/>
        <w:rPr>
          <w:rFonts w:hint="default" w:asciiTheme="minorHAnsi" w:hAnsiTheme="minorHAnsi" w:eastAsiaTheme="minorEastAsia" w:cstheme="minorBidi"/>
          <w:kern w:val="2"/>
          <w:sz w:val="21"/>
          <w:szCs w:val="22"/>
          <w:lang w:val="en-US" w:eastAsia="zh-CN" w:bidi="ar-SA"/>
        </w:rPr>
      </w:pPr>
    </w:p>
    <w:tbl>
      <w:tblPr>
        <w:tblStyle w:val="8"/>
        <w:tblW w:w="52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833"/>
        <w:gridCol w:w="879"/>
        <w:gridCol w:w="984"/>
        <w:gridCol w:w="984"/>
        <w:gridCol w:w="4121"/>
      </w:tblGrid>
      <w:tr w14:paraId="1E1B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1195" w:type="dxa"/>
          </w:tcPr>
          <w:p w14:paraId="7FB9591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Appearance</w:t>
            </w:r>
          </w:p>
        </w:tc>
        <w:tc>
          <w:tcPr>
            <w:tcW w:w="7594" w:type="dxa"/>
            <w:gridSpan w:val="5"/>
          </w:tcPr>
          <w:p w14:paraId="12A5048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Spherical</w:t>
            </w:r>
          </w:p>
        </w:tc>
      </w:tr>
      <w:tr w14:paraId="5CC8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195" w:type="dxa"/>
          </w:tcPr>
          <w:p w14:paraId="458E3F5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Grades</w:t>
            </w:r>
          </w:p>
        </w:tc>
        <w:tc>
          <w:tcPr>
            <w:tcW w:w="7594" w:type="dxa"/>
            <w:gridSpan w:val="5"/>
          </w:tcPr>
          <w:p w14:paraId="506BC11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AS-04，AS-05</w:t>
            </w:r>
          </w:p>
        </w:tc>
      </w:tr>
      <w:tr w14:paraId="25F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195" w:type="dxa"/>
            <w:vAlign w:val="center"/>
          </w:tcPr>
          <w:p w14:paraId="3FB6042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Specification Item</w:t>
            </w:r>
          </w:p>
        </w:tc>
        <w:tc>
          <w:tcPr>
            <w:tcW w:w="811" w:type="dxa"/>
          </w:tcPr>
          <w:p w14:paraId="366DA91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Unit</w:t>
            </w:r>
          </w:p>
        </w:tc>
        <w:tc>
          <w:tcPr>
            <w:tcW w:w="6783" w:type="dxa"/>
            <w:gridSpan w:val="4"/>
          </w:tcPr>
          <w:p w14:paraId="6193D78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Technical Requirement</w:t>
            </w:r>
          </w:p>
        </w:tc>
      </w:tr>
      <w:tr w14:paraId="035F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jc w:val="center"/>
        </w:trPr>
        <w:tc>
          <w:tcPr>
            <w:tcW w:w="1195" w:type="dxa"/>
            <w:vAlign w:val="center"/>
          </w:tcPr>
          <w:p w14:paraId="6EAC021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Particle Size</w:t>
            </w:r>
          </w:p>
        </w:tc>
        <w:tc>
          <w:tcPr>
            <w:tcW w:w="811" w:type="dxa"/>
          </w:tcPr>
          <w:p w14:paraId="4DFE32C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AD306A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mm</w:t>
            </w:r>
          </w:p>
        </w:tc>
        <w:tc>
          <w:tcPr>
            <w:tcW w:w="933" w:type="dxa"/>
          </w:tcPr>
          <w:p w14:paraId="3038B40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F67D15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1～2</w:t>
            </w:r>
          </w:p>
        </w:tc>
        <w:tc>
          <w:tcPr>
            <w:tcW w:w="984" w:type="dxa"/>
          </w:tcPr>
          <w:p w14:paraId="5AE4774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94670B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2～3</w:t>
            </w:r>
          </w:p>
        </w:tc>
        <w:tc>
          <w:tcPr>
            <w:tcW w:w="984" w:type="dxa"/>
          </w:tcPr>
          <w:p w14:paraId="451342B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5F7CFB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3～4</w:t>
            </w:r>
          </w:p>
        </w:tc>
        <w:tc>
          <w:tcPr>
            <w:tcW w:w="3882" w:type="dxa"/>
          </w:tcPr>
          <w:p w14:paraId="7C45413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6B8ECC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Φ</w:t>
            </w:r>
            <w:r>
              <w:rPr>
                <w:rFonts w:hint="eastAsia" w:ascii="Times New Roman" w:hAnsi="Times New Roman" w:eastAsia="宋体" w:cs="Times New Roman"/>
                <w:kern w:val="0"/>
                <w:sz w:val="15"/>
                <w:szCs w:val="15"/>
                <w:lang w:val="en-US" w:eastAsia="zh-CN" w:bidi="ar"/>
              </w:rPr>
              <w:t>4～6</w:t>
            </w:r>
          </w:p>
        </w:tc>
      </w:tr>
      <w:tr w14:paraId="6856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195" w:type="dxa"/>
            <w:vAlign w:val="center"/>
          </w:tcPr>
          <w:p w14:paraId="090D832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Loss on Ignition</w:t>
            </w:r>
          </w:p>
        </w:tc>
        <w:tc>
          <w:tcPr>
            <w:tcW w:w="811" w:type="dxa"/>
          </w:tcPr>
          <w:p w14:paraId="6038390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w:t>
            </w:r>
          </w:p>
        </w:tc>
        <w:tc>
          <w:tcPr>
            <w:tcW w:w="6783" w:type="dxa"/>
            <w:gridSpan w:val="4"/>
          </w:tcPr>
          <w:p w14:paraId="1292F0D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0.5-5</w:t>
            </w:r>
          </w:p>
        </w:tc>
      </w:tr>
      <w:tr w14:paraId="42C3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1195" w:type="dxa"/>
            <w:vAlign w:val="center"/>
          </w:tcPr>
          <w:p w14:paraId="1FFEC90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w:t>
            </w:r>
          </w:p>
        </w:tc>
        <w:tc>
          <w:tcPr>
            <w:tcW w:w="811" w:type="dxa"/>
          </w:tcPr>
          <w:p w14:paraId="215E2F7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B35A47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m2/g</w:t>
            </w:r>
          </w:p>
        </w:tc>
        <w:tc>
          <w:tcPr>
            <w:tcW w:w="6783" w:type="dxa"/>
            <w:gridSpan w:val="4"/>
          </w:tcPr>
          <w:p w14:paraId="4AF94B4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174A80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150-350</w:t>
            </w:r>
          </w:p>
        </w:tc>
      </w:tr>
      <w:tr w14:paraId="6005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95" w:type="dxa"/>
            <w:vAlign w:val="center"/>
          </w:tcPr>
          <w:p w14:paraId="7D0C61E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Volume</w:t>
            </w:r>
          </w:p>
        </w:tc>
        <w:tc>
          <w:tcPr>
            <w:tcW w:w="811" w:type="dxa"/>
          </w:tcPr>
          <w:p w14:paraId="0FCD98A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cm3/g</w:t>
            </w:r>
          </w:p>
        </w:tc>
        <w:tc>
          <w:tcPr>
            <w:tcW w:w="6783" w:type="dxa"/>
            <w:gridSpan w:val="4"/>
          </w:tcPr>
          <w:p w14:paraId="5DAE7E5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0.3-0.5</w:t>
            </w:r>
          </w:p>
        </w:tc>
      </w:tr>
      <w:tr w14:paraId="113E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195" w:type="dxa"/>
            <w:vAlign w:val="center"/>
          </w:tcPr>
          <w:p w14:paraId="3477130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Bulk Density</w:t>
            </w:r>
          </w:p>
        </w:tc>
        <w:tc>
          <w:tcPr>
            <w:tcW w:w="811" w:type="dxa"/>
          </w:tcPr>
          <w:p w14:paraId="2D806C8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g/cm3</w:t>
            </w:r>
          </w:p>
        </w:tc>
        <w:tc>
          <w:tcPr>
            <w:tcW w:w="6783" w:type="dxa"/>
            <w:gridSpan w:val="4"/>
          </w:tcPr>
          <w:p w14:paraId="5A5FA29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0.4-0.75</w:t>
            </w:r>
          </w:p>
        </w:tc>
      </w:tr>
      <w:tr w14:paraId="3332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195" w:type="dxa"/>
          </w:tcPr>
          <w:p w14:paraId="248F828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Crushing Strength</w:t>
            </w:r>
          </w:p>
        </w:tc>
        <w:tc>
          <w:tcPr>
            <w:tcW w:w="811" w:type="dxa"/>
          </w:tcPr>
          <w:p w14:paraId="3D8D944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N/piece</w:t>
            </w:r>
          </w:p>
        </w:tc>
        <w:tc>
          <w:tcPr>
            <w:tcW w:w="933" w:type="dxa"/>
          </w:tcPr>
          <w:p w14:paraId="62E0B08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25</w:t>
            </w:r>
          </w:p>
        </w:tc>
        <w:tc>
          <w:tcPr>
            <w:tcW w:w="984" w:type="dxa"/>
          </w:tcPr>
          <w:p w14:paraId="523A941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40</w:t>
            </w:r>
          </w:p>
        </w:tc>
        <w:tc>
          <w:tcPr>
            <w:tcW w:w="984" w:type="dxa"/>
          </w:tcPr>
          <w:p w14:paraId="1EA4BAA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60</w:t>
            </w:r>
          </w:p>
        </w:tc>
        <w:tc>
          <w:tcPr>
            <w:tcW w:w="3882" w:type="dxa"/>
          </w:tcPr>
          <w:p w14:paraId="43EDFEB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w:t>
            </w:r>
            <w:r>
              <w:rPr>
                <w:rFonts w:hint="eastAsia" w:ascii="Times New Roman" w:hAnsi="Times New Roman" w:eastAsia="宋体" w:cs="Times New Roman"/>
                <w:kern w:val="0"/>
                <w:sz w:val="15"/>
                <w:szCs w:val="15"/>
                <w:lang w:val="en-US" w:eastAsia="zh-CN" w:bidi="ar"/>
              </w:rPr>
              <w:t>100</w:t>
            </w:r>
          </w:p>
        </w:tc>
      </w:tr>
    </w:tbl>
    <w:p w14:paraId="35D48201">
      <w:pPr>
        <w:bidi w:val="0"/>
        <w:jc w:val="left"/>
        <w:rPr>
          <w:rFonts w:hint="default"/>
          <w:lang w:val="en-US" w:eastAsia="zh-CN"/>
        </w:rPr>
      </w:pPr>
    </w:p>
    <w:p w14:paraId="113EE636">
      <w:pPr>
        <w:bidi w:val="0"/>
        <w:rPr>
          <w:rFonts w:hint="default" w:asciiTheme="minorHAnsi" w:hAnsiTheme="minorHAnsi" w:eastAsiaTheme="minorEastAsia" w:cstheme="minorBidi"/>
          <w:kern w:val="2"/>
          <w:sz w:val="21"/>
          <w:szCs w:val="22"/>
          <w:lang w:val="en-US" w:eastAsia="zh-CN" w:bidi="ar-SA"/>
        </w:rPr>
      </w:pPr>
    </w:p>
    <w:p w14:paraId="60547D2F">
      <w:pPr>
        <w:bidi w:val="0"/>
        <w:rPr>
          <w:rFonts w:hint="default"/>
          <w:lang w:val="en-US" w:eastAsia="zh-CN"/>
        </w:rPr>
      </w:pPr>
    </w:p>
    <w:p w14:paraId="527CE9C3">
      <w:pPr>
        <w:bidi w:val="0"/>
        <w:rPr>
          <w:rFonts w:hint="default"/>
          <w:lang w:val="en-US" w:eastAsia="zh-CN"/>
        </w:rPr>
      </w:pPr>
    </w:p>
    <w:p w14:paraId="2BD0C268">
      <w:pPr>
        <w:bidi w:val="0"/>
        <w:rPr>
          <w:rFonts w:hint="default"/>
          <w:lang w:val="en-US" w:eastAsia="zh-CN"/>
        </w:rPr>
      </w:pPr>
    </w:p>
    <w:p w14:paraId="454D176B">
      <w:pPr>
        <w:bidi w:val="0"/>
        <w:rPr>
          <w:rFonts w:hint="default"/>
          <w:lang w:val="en-US" w:eastAsia="zh-CN"/>
        </w:rPr>
      </w:pPr>
    </w:p>
    <w:p w14:paraId="7BED6F0C">
      <w:pPr>
        <w:bidi w:val="0"/>
        <w:rPr>
          <w:rFonts w:hint="default"/>
          <w:lang w:val="en-US" w:eastAsia="zh-CN"/>
        </w:rPr>
      </w:pPr>
    </w:p>
    <w:p w14:paraId="4D1B4E78">
      <w:pPr>
        <w:bidi w:val="0"/>
        <w:rPr>
          <w:rFonts w:hint="default"/>
          <w:lang w:val="en-US" w:eastAsia="zh-CN"/>
        </w:rPr>
      </w:pPr>
    </w:p>
    <w:p w14:paraId="34DAEFC6">
      <w:pPr>
        <w:bidi w:val="0"/>
        <w:rPr>
          <w:rFonts w:hint="default"/>
          <w:lang w:val="en-US" w:eastAsia="zh-CN"/>
        </w:rPr>
      </w:pPr>
    </w:p>
    <w:p w14:paraId="15C51A45">
      <w:pPr>
        <w:bidi w:val="0"/>
        <w:rPr>
          <w:rFonts w:hint="default"/>
          <w:lang w:val="en-US" w:eastAsia="zh-CN"/>
        </w:rPr>
      </w:pPr>
    </w:p>
    <w:p w14:paraId="5496B33A">
      <w:pPr>
        <w:bidi w:val="0"/>
        <w:rPr>
          <w:rFonts w:hint="default"/>
          <w:lang w:val="en-US" w:eastAsia="zh-CN"/>
        </w:rPr>
      </w:pPr>
    </w:p>
    <w:p w14:paraId="2BBB7531">
      <w:pPr>
        <w:bidi w:val="0"/>
        <w:rPr>
          <w:rFonts w:hint="default"/>
          <w:lang w:val="en-US" w:eastAsia="zh-CN"/>
        </w:rPr>
      </w:pPr>
    </w:p>
    <w:p w14:paraId="6868BE8A">
      <w:pPr>
        <w:bidi w:val="0"/>
        <w:rPr>
          <w:rFonts w:hint="default"/>
          <w:lang w:val="en-US" w:eastAsia="zh-CN"/>
        </w:rPr>
      </w:pPr>
    </w:p>
    <w:p w14:paraId="2598E793">
      <w:pPr>
        <w:bidi w:val="0"/>
        <w:rPr>
          <w:rFonts w:hint="default"/>
          <w:lang w:val="en-US" w:eastAsia="zh-CN"/>
        </w:rPr>
      </w:pPr>
    </w:p>
    <w:p w14:paraId="663791F3">
      <w:pPr>
        <w:bidi w:val="0"/>
        <w:rPr>
          <w:rFonts w:hint="default"/>
          <w:lang w:val="en-US" w:eastAsia="zh-CN"/>
        </w:rPr>
      </w:pPr>
    </w:p>
    <w:p w14:paraId="513B9644">
      <w:pPr>
        <w:bidi w:val="0"/>
        <w:rPr>
          <w:rFonts w:hint="default"/>
          <w:lang w:val="en-US" w:eastAsia="zh-CN"/>
        </w:rPr>
      </w:pPr>
    </w:p>
    <w:p w14:paraId="5F76D6E4">
      <w:pPr>
        <w:bidi w:val="0"/>
        <w:rPr>
          <w:rFonts w:hint="default"/>
          <w:lang w:val="en-US" w:eastAsia="zh-CN"/>
        </w:rPr>
      </w:pPr>
    </w:p>
    <w:p w14:paraId="057288F7">
      <w:pPr>
        <w:bidi w:val="0"/>
        <w:rPr>
          <w:rFonts w:hint="default"/>
          <w:lang w:val="en-US" w:eastAsia="zh-CN"/>
        </w:rPr>
      </w:pPr>
    </w:p>
    <w:p w14:paraId="07FE69B2">
      <w:pPr>
        <w:bidi w:val="0"/>
        <w:rPr>
          <w:rFonts w:hint="default"/>
          <w:lang w:val="en-US" w:eastAsia="zh-CN"/>
        </w:rPr>
      </w:pPr>
    </w:p>
    <w:p w14:paraId="1AF6CDE7">
      <w:pPr>
        <w:bidi w:val="0"/>
        <w:rPr>
          <w:rFonts w:hint="default"/>
          <w:lang w:val="en-US" w:eastAsia="zh-CN"/>
        </w:rPr>
      </w:pPr>
    </w:p>
    <w:p w14:paraId="01CF08C5">
      <w:pPr>
        <w:bidi w:val="0"/>
        <w:rPr>
          <w:rFonts w:hint="default"/>
          <w:lang w:val="en-US" w:eastAsia="zh-CN"/>
        </w:rPr>
      </w:pPr>
    </w:p>
    <w:p w14:paraId="155FB343">
      <w:pPr>
        <w:bidi w:val="0"/>
        <w:rPr>
          <w:rFonts w:hint="default"/>
          <w:lang w:val="en-US" w:eastAsia="zh-CN"/>
        </w:rPr>
      </w:pPr>
    </w:p>
    <w:p w14:paraId="3BE58D25">
      <w:pPr>
        <w:bidi w:val="0"/>
        <w:rPr>
          <w:rFonts w:hint="default"/>
          <w:lang w:val="en-US" w:eastAsia="zh-CN"/>
        </w:rPr>
      </w:pPr>
    </w:p>
    <w:p w14:paraId="15DDF21C">
      <w:pPr>
        <w:bidi w:val="0"/>
        <w:rPr>
          <w:rFonts w:hint="default"/>
          <w:lang w:val="en-US" w:eastAsia="zh-CN"/>
        </w:rPr>
      </w:pPr>
    </w:p>
    <w:p w14:paraId="06E8EAA4">
      <w:pPr>
        <w:bidi w:val="0"/>
        <w:rPr>
          <w:rFonts w:hint="default"/>
          <w:lang w:val="en-US" w:eastAsia="zh-CN"/>
        </w:rPr>
      </w:pPr>
    </w:p>
    <w:p w14:paraId="02815432">
      <w:pPr>
        <w:bidi w:val="0"/>
        <w:rPr>
          <w:rFonts w:hint="default"/>
          <w:lang w:val="en-US" w:eastAsia="zh-CN"/>
        </w:rPr>
      </w:pPr>
    </w:p>
    <w:p w14:paraId="692B8256">
      <w:pPr>
        <w:bidi w:val="0"/>
        <w:rPr>
          <w:rFonts w:hint="default"/>
          <w:lang w:val="en-US" w:eastAsia="zh-CN"/>
        </w:rPr>
      </w:pPr>
    </w:p>
    <w:p w14:paraId="201CE454">
      <w:pPr>
        <w:bidi w:val="0"/>
        <w:rPr>
          <w:rFonts w:hint="default"/>
          <w:lang w:val="en-US" w:eastAsia="zh-CN"/>
        </w:rPr>
      </w:pPr>
    </w:p>
    <w:p w14:paraId="13972351">
      <w:pPr>
        <w:bidi w:val="0"/>
        <w:rPr>
          <w:rFonts w:hint="default"/>
          <w:lang w:val="en-US" w:eastAsia="zh-CN"/>
        </w:rPr>
      </w:pPr>
    </w:p>
    <w:p w14:paraId="1F26E8AD">
      <w:pPr>
        <w:bidi w:val="0"/>
        <w:rPr>
          <w:rFonts w:hint="default"/>
          <w:lang w:val="en-US" w:eastAsia="zh-CN"/>
        </w:rPr>
      </w:pPr>
    </w:p>
    <w:p w14:paraId="099F790E">
      <w:pPr>
        <w:bidi w:val="0"/>
        <w:rPr>
          <w:rFonts w:hint="default"/>
          <w:lang w:val="en-US" w:eastAsia="zh-CN"/>
        </w:rPr>
      </w:pPr>
    </w:p>
    <w:p w14:paraId="50B21702">
      <w:pPr>
        <w:bidi w:val="0"/>
        <w:rPr>
          <w:rFonts w:hint="default"/>
          <w:lang w:val="en-US" w:eastAsia="zh-CN"/>
        </w:rPr>
      </w:pPr>
    </w:p>
    <w:p w14:paraId="1D571596">
      <w:pPr>
        <w:bidi w:val="0"/>
        <w:rPr>
          <w:rFonts w:hint="default"/>
          <w:lang w:val="en-US" w:eastAsia="zh-CN"/>
        </w:rPr>
      </w:pPr>
    </w:p>
    <w:p w14:paraId="24110EFE">
      <w:pPr>
        <w:bidi w:val="0"/>
        <w:rPr>
          <w:rFonts w:hint="default"/>
          <w:lang w:val="en-US" w:eastAsia="zh-CN"/>
        </w:rPr>
      </w:pPr>
    </w:p>
    <w:p w14:paraId="00392E5B">
      <w:pPr>
        <w:bidi w:val="0"/>
        <w:rPr>
          <w:rFonts w:hint="default"/>
          <w:lang w:val="en-US" w:eastAsia="zh-CN"/>
        </w:rPr>
      </w:pPr>
    </w:p>
    <w:p w14:paraId="55B4A66F">
      <w:pPr>
        <w:pStyle w:val="2"/>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b/>
        </w:rPr>
        <w:t>Alumina Microspheres</w:t>
      </w:r>
    </w:p>
    <w:p w14:paraId="1118C26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 Product Overview</w:t>
      </w:r>
    </w:p>
    <w:p w14:paraId="7E137A5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product appears as white or slightly reddish sand-like granules. It is non-toxic, odorless, and insoluble in water and organic solvents, but soluble in strong acids and alkalis. The AM series, developed with proprietary technology, features large pore volume (and diameter), high specific surface area, low attrition rate, and a concentrated particle size distribution.</w:t>
      </w:r>
    </w:p>
    <w:p w14:paraId="0D8925D2">
      <w:pPr>
        <w:bidi w:val="0"/>
        <w:jc w:val="left"/>
        <w:rPr>
          <w:rFonts w:hint="default"/>
          <w:lang w:val="en-US" w:eastAsia="zh-CN"/>
        </w:rPr>
      </w:pPr>
    </w:p>
    <w:p w14:paraId="2552C652">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 Main Applications</w:t>
      </w:r>
    </w:p>
    <w:p w14:paraId="0ED9F251">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As a new type of catalyst carrier, alumina microspheres offer numerous advantages, including fine particle size for accelerated reaction rates, ease of impregnation with rare earth metals and other catalytic components, and high catalytic activity. They are primarily used in fluidized bed catalysts for petrochemical processes, pharmaceutical catalysts, purification catalysts in the chemical industry, and as desiccants.</w:t>
      </w:r>
    </w:p>
    <w:p w14:paraId="78DCEA4B">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III. Technical Specifications</w:t>
      </w:r>
    </w:p>
    <w:p w14:paraId="59F2EC3A">
      <w:pPr>
        <w:pStyle w:val="6"/>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(Adjustable according to user requirements)</w:t>
      </w:r>
    </w:p>
    <w:tbl>
      <w:tblPr>
        <w:tblStyle w:val="8"/>
        <w:tblpPr w:leftFromText="180" w:rightFromText="180" w:vertAnchor="text" w:horzAnchor="page" w:tblpXSpec="center" w:tblpY="262"/>
        <w:tblOverlap w:val="never"/>
        <w:tblW w:w="68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855"/>
        <w:gridCol w:w="920"/>
        <w:gridCol w:w="1354"/>
        <w:gridCol w:w="1171"/>
        <w:gridCol w:w="1253"/>
        <w:gridCol w:w="1090"/>
        <w:gridCol w:w="802"/>
        <w:gridCol w:w="1333"/>
        <w:gridCol w:w="802"/>
        <w:gridCol w:w="899"/>
      </w:tblGrid>
      <w:tr w14:paraId="04C1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vAlign w:val="center"/>
          </w:tcPr>
          <w:p w14:paraId="5A5AB63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Grade</w:t>
            </w:r>
          </w:p>
        </w:tc>
        <w:tc>
          <w:tcPr>
            <w:tcW w:w="853" w:type="dxa"/>
            <w:vAlign w:val="center"/>
          </w:tcPr>
          <w:p w14:paraId="6FA23F4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SiO₂ (%)</w:t>
            </w:r>
          </w:p>
        </w:tc>
        <w:tc>
          <w:tcPr>
            <w:tcW w:w="919" w:type="dxa"/>
            <w:vAlign w:val="center"/>
          </w:tcPr>
          <w:p w14:paraId="660855E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Fe₂O₃ (%)</w:t>
            </w:r>
          </w:p>
        </w:tc>
        <w:tc>
          <w:tcPr>
            <w:tcW w:w="1356" w:type="dxa"/>
            <w:vAlign w:val="center"/>
          </w:tcPr>
          <w:p w14:paraId="1371B08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Na₂O (%)</w:t>
            </w:r>
          </w:p>
        </w:tc>
        <w:tc>
          <w:tcPr>
            <w:tcW w:w="1172" w:type="dxa"/>
            <w:vAlign w:val="center"/>
          </w:tcPr>
          <w:p w14:paraId="66FB871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Volume (ml/g)</w:t>
            </w:r>
          </w:p>
        </w:tc>
        <w:tc>
          <w:tcPr>
            <w:tcW w:w="1255" w:type="dxa"/>
            <w:vAlign w:val="center"/>
          </w:tcPr>
          <w:p w14:paraId="31C9A3F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Specific Surface Area (m²/g)</w:t>
            </w:r>
          </w:p>
        </w:tc>
        <w:tc>
          <w:tcPr>
            <w:tcW w:w="1090" w:type="dxa"/>
            <w:vAlign w:val="center"/>
          </w:tcPr>
          <w:p w14:paraId="1A4CD3E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Bulk Density (g/cm³)</w:t>
            </w:r>
          </w:p>
        </w:tc>
        <w:tc>
          <w:tcPr>
            <w:tcW w:w="800" w:type="dxa"/>
            <w:vAlign w:val="center"/>
          </w:tcPr>
          <w:p w14:paraId="62CD306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Loss on Ignition (%)</w:t>
            </w:r>
          </w:p>
        </w:tc>
        <w:tc>
          <w:tcPr>
            <w:tcW w:w="1336" w:type="dxa"/>
            <w:vAlign w:val="center"/>
          </w:tcPr>
          <w:p w14:paraId="20F791D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Particle Size (mm)</w:t>
            </w:r>
          </w:p>
        </w:tc>
        <w:tc>
          <w:tcPr>
            <w:tcW w:w="800" w:type="dxa"/>
            <w:vAlign w:val="center"/>
          </w:tcPr>
          <w:p w14:paraId="1EE5F66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Attrition (%)</w:t>
            </w:r>
          </w:p>
        </w:tc>
        <w:tc>
          <w:tcPr>
            <w:tcW w:w="898" w:type="dxa"/>
            <w:vAlign w:val="center"/>
          </w:tcPr>
          <w:p w14:paraId="04F637A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default" w:ascii="Times New Roman" w:hAnsi="Times New Roman" w:eastAsia="宋体" w:cs="Times New Roman"/>
                <w:kern w:val="0"/>
                <w:sz w:val="15"/>
                <w:szCs w:val="15"/>
                <w:lang w:val="en-US" w:eastAsia="zh-CN" w:bidi="ar"/>
              </w:rPr>
              <w:t>Pore Diameter (nm)</w:t>
            </w:r>
          </w:p>
        </w:tc>
      </w:tr>
      <w:tr w14:paraId="4F56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4C36526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04AE11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AM-01-C</w:t>
            </w:r>
          </w:p>
        </w:tc>
        <w:tc>
          <w:tcPr>
            <w:tcW w:w="853" w:type="dxa"/>
          </w:tcPr>
          <w:p w14:paraId="65DFFF7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1DBE49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≤0.30</w:t>
            </w:r>
          </w:p>
        </w:tc>
        <w:tc>
          <w:tcPr>
            <w:tcW w:w="919" w:type="dxa"/>
            <w:vMerge w:val="restart"/>
          </w:tcPr>
          <w:p w14:paraId="790BFF3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D0AF65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703409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FBAC6D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E2C909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4D9D1D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C8756E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AE2D07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E66952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1A4D30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≤0.05</w:t>
            </w:r>
          </w:p>
        </w:tc>
        <w:tc>
          <w:tcPr>
            <w:tcW w:w="1356" w:type="dxa"/>
            <w:vMerge w:val="restart"/>
          </w:tcPr>
          <w:p w14:paraId="3CB2874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73B78A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C3E331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791CD2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FF5B06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D4A734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890D19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146FBA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FB59EF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141319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0.01～0.03</w:t>
            </w:r>
          </w:p>
        </w:tc>
        <w:tc>
          <w:tcPr>
            <w:tcW w:w="1172" w:type="dxa"/>
          </w:tcPr>
          <w:p w14:paraId="3D0CDDF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B335CD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0.7～0.9</w:t>
            </w:r>
          </w:p>
        </w:tc>
        <w:tc>
          <w:tcPr>
            <w:tcW w:w="1255" w:type="dxa"/>
          </w:tcPr>
          <w:p w14:paraId="7A535FE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CA8D68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100～350</w:t>
            </w:r>
          </w:p>
        </w:tc>
        <w:tc>
          <w:tcPr>
            <w:tcW w:w="1090" w:type="dxa"/>
          </w:tcPr>
          <w:p w14:paraId="3058CA0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D5141B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0.4～0.6</w:t>
            </w:r>
          </w:p>
        </w:tc>
        <w:tc>
          <w:tcPr>
            <w:tcW w:w="800" w:type="dxa"/>
            <w:vMerge w:val="restart"/>
          </w:tcPr>
          <w:p w14:paraId="29BE81D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191C59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B2BD59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8E6443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138658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0148C2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875647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99D7B9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≤6.0</w:t>
            </w:r>
          </w:p>
        </w:tc>
        <w:tc>
          <w:tcPr>
            <w:tcW w:w="1336" w:type="dxa"/>
            <w:vMerge w:val="restart"/>
          </w:tcPr>
          <w:p w14:paraId="070C3CD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258EAA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017749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912EAD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6B1544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507320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DD6E05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AFDFB0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0.1～1</w:t>
            </w:r>
          </w:p>
        </w:tc>
        <w:tc>
          <w:tcPr>
            <w:tcW w:w="800" w:type="dxa"/>
            <w:vMerge w:val="restart"/>
          </w:tcPr>
          <w:p w14:paraId="34C6BB5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653EEF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3AECD9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CFB37B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19BECB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C2AB85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D76462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378E9D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w:t>
            </w:r>
          </w:p>
        </w:tc>
        <w:tc>
          <w:tcPr>
            <w:tcW w:w="898" w:type="dxa"/>
            <w:vMerge w:val="restart"/>
          </w:tcPr>
          <w:p w14:paraId="69AE1EA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F6E513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83209F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F4201C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302B57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19D5EB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A83963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C08373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5C54E9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B26663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6-15</w:t>
            </w:r>
          </w:p>
        </w:tc>
      </w:tr>
      <w:tr w14:paraId="0B46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6E64747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521278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AM-01-X</w:t>
            </w:r>
          </w:p>
        </w:tc>
        <w:tc>
          <w:tcPr>
            <w:tcW w:w="853" w:type="dxa"/>
          </w:tcPr>
          <w:p w14:paraId="0312D0B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845CB2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≤0.30</w:t>
            </w:r>
          </w:p>
        </w:tc>
        <w:tc>
          <w:tcPr>
            <w:tcW w:w="919" w:type="dxa"/>
            <w:vMerge w:val="continue"/>
          </w:tcPr>
          <w:p w14:paraId="56E445C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56" w:type="dxa"/>
            <w:vMerge w:val="continue"/>
          </w:tcPr>
          <w:p w14:paraId="02F2629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172" w:type="dxa"/>
          </w:tcPr>
          <w:p w14:paraId="4C61128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E48C42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0.5～0.7</w:t>
            </w:r>
          </w:p>
        </w:tc>
        <w:tc>
          <w:tcPr>
            <w:tcW w:w="1255" w:type="dxa"/>
          </w:tcPr>
          <w:p w14:paraId="54CD4B9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04EBF4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100～350</w:t>
            </w:r>
          </w:p>
        </w:tc>
        <w:tc>
          <w:tcPr>
            <w:tcW w:w="1090" w:type="dxa"/>
          </w:tcPr>
          <w:p w14:paraId="6D67795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954508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0.4～0.6</w:t>
            </w:r>
          </w:p>
        </w:tc>
        <w:tc>
          <w:tcPr>
            <w:tcW w:w="800" w:type="dxa"/>
            <w:vMerge w:val="continue"/>
          </w:tcPr>
          <w:p w14:paraId="27CB34C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36" w:type="dxa"/>
            <w:vMerge w:val="continue"/>
          </w:tcPr>
          <w:p w14:paraId="182AA5C6">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00" w:type="dxa"/>
            <w:vMerge w:val="continue"/>
          </w:tcPr>
          <w:p w14:paraId="2ADAA83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98" w:type="dxa"/>
            <w:vMerge w:val="continue"/>
          </w:tcPr>
          <w:p w14:paraId="0C71822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r>
      <w:tr w14:paraId="7AD6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1AC2430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18F43F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AM-02-C</w:t>
            </w:r>
          </w:p>
        </w:tc>
        <w:tc>
          <w:tcPr>
            <w:tcW w:w="853" w:type="dxa"/>
          </w:tcPr>
          <w:p w14:paraId="2D59370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5BAF6A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w:t>
            </w:r>
          </w:p>
        </w:tc>
        <w:tc>
          <w:tcPr>
            <w:tcW w:w="919" w:type="dxa"/>
            <w:vMerge w:val="continue"/>
          </w:tcPr>
          <w:p w14:paraId="28E3F6F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56" w:type="dxa"/>
            <w:vMerge w:val="continue"/>
          </w:tcPr>
          <w:p w14:paraId="1B6559D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172" w:type="dxa"/>
          </w:tcPr>
          <w:p w14:paraId="0E23E32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4CD2598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0.7～0.9</w:t>
            </w:r>
          </w:p>
        </w:tc>
        <w:tc>
          <w:tcPr>
            <w:tcW w:w="1255" w:type="dxa"/>
          </w:tcPr>
          <w:p w14:paraId="3502F13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5D8431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100～350</w:t>
            </w:r>
          </w:p>
        </w:tc>
        <w:tc>
          <w:tcPr>
            <w:tcW w:w="1090" w:type="dxa"/>
          </w:tcPr>
          <w:p w14:paraId="57C7B5E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242D57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0.5～0.9</w:t>
            </w:r>
          </w:p>
        </w:tc>
        <w:tc>
          <w:tcPr>
            <w:tcW w:w="800" w:type="dxa"/>
            <w:vMerge w:val="continue"/>
          </w:tcPr>
          <w:p w14:paraId="017AAAF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36" w:type="dxa"/>
            <w:vMerge w:val="continue"/>
          </w:tcPr>
          <w:p w14:paraId="6CE4A70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00" w:type="dxa"/>
            <w:vMerge w:val="continue"/>
          </w:tcPr>
          <w:p w14:paraId="65F88E5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98" w:type="dxa"/>
            <w:vMerge w:val="continue"/>
          </w:tcPr>
          <w:p w14:paraId="3AB8DC5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r>
      <w:tr w14:paraId="70D3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7A01C56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D2F89A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AM-02-X</w:t>
            </w:r>
          </w:p>
        </w:tc>
        <w:tc>
          <w:tcPr>
            <w:tcW w:w="853" w:type="dxa"/>
          </w:tcPr>
          <w:p w14:paraId="3BF6C82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55940E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w:t>
            </w:r>
          </w:p>
        </w:tc>
        <w:tc>
          <w:tcPr>
            <w:tcW w:w="919" w:type="dxa"/>
            <w:vMerge w:val="continue"/>
          </w:tcPr>
          <w:p w14:paraId="636CD47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56" w:type="dxa"/>
            <w:vMerge w:val="continue"/>
          </w:tcPr>
          <w:p w14:paraId="7B115B2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172" w:type="dxa"/>
          </w:tcPr>
          <w:p w14:paraId="05B08BD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3CF379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0.5～0.7</w:t>
            </w:r>
          </w:p>
        </w:tc>
        <w:tc>
          <w:tcPr>
            <w:tcW w:w="1255" w:type="dxa"/>
          </w:tcPr>
          <w:p w14:paraId="352336E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1245C83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100～350</w:t>
            </w:r>
          </w:p>
        </w:tc>
        <w:tc>
          <w:tcPr>
            <w:tcW w:w="1090" w:type="dxa"/>
          </w:tcPr>
          <w:p w14:paraId="4BF6213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1F1C28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0.5～0.9</w:t>
            </w:r>
          </w:p>
        </w:tc>
        <w:tc>
          <w:tcPr>
            <w:tcW w:w="800" w:type="dxa"/>
            <w:vMerge w:val="continue"/>
          </w:tcPr>
          <w:p w14:paraId="1CD6194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36" w:type="dxa"/>
            <w:vMerge w:val="continue"/>
          </w:tcPr>
          <w:p w14:paraId="2C4647E7">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00" w:type="dxa"/>
            <w:vMerge w:val="continue"/>
          </w:tcPr>
          <w:p w14:paraId="496D778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898" w:type="dxa"/>
            <w:vMerge w:val="continue"/>
          </w:tcPr>
          <w:p w14:paraId="01E6A2C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r>
      <w:tr w14:paraId="1785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09EE9EC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E0AC1A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AM-03-C</w:t>
            </w:r>
          </w:p>
        </w:tc>
        <w:tc>
          <w:tcPr>
            <w:tcW w:w="853" w:type="dxa"/>
          </w:tcPr>
          <w:p w14:paraId="44ACF12B">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38F8C8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≤0.30</w:t>
            </w:r>
          </w:p>
        </w:tc>
        <w:tc>
          <w:tcPr>
            <w:tcW w:w="919" w:type="dxa"/>
            <w:vMerge w:val="continue"/>
          </w:tcPr>
          <w:p w14:paraId="0279560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56" w:type="dxa"/>
            <w:vMerge w:val="continue"/>
          </w:tcPr>
          <w:p w14:paraId="28FC8D8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172" w:type="dxa"/>
          </w:tcPr>
          <w:p w14:paraId="15480F7A">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FF030B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0.35～0.45</w:t>
            </w:r>
          </w:p>
        </w:tc>
        <w:tc>
          <w:tcPr>
            <w:tcW w:w="1255" w:type="dxa"/>
          </w:tcPr>
          <w:p w14:paraId="1D1771B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C97AF1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100～300</w:t>
            </w:r>
          </w:p>
        </w:tc>
        <w:tc>
          <w:tcPr>
            <w:tcW w:w="1090" w:type="dxa"/>
          </w:tcPr>
          <w:p w14:paraId="52BCF23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D5DF09E">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0.5～0.9</w:t>
            </w:r>
          </w:p>
        </w:tc>
        <w:tc>
          <w:tcPr>
            <w:tcW w:w="800" w:type="dxa"/>
            <w:vMerge w:val="restart"/>
          </w:tcPr>
          <w:p w14:paraId="50DA255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0C8B146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B5D017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578BAD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≤5.0</w:t>
            </w:r>
          </w:p>
        </w:tc>
        <w:tc>
          <w:tcPr>
            <w:tcW w:w="1336" w:type="dxa"/>
          </w:tcPr>
          <w:p w14:paraId="7393F9B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06BCA0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0.1～0.5</w:t>
            </w:r>
          </w:p>
        </w:tc>
        <w:tc>
          <w:tcPr>
            <w:tcW w:w="800" w:type="dxa"/>
          </w:tcPr>
          <w:p w14:paraId="7693891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C3F8BB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≤0.2</w:t>
            </w:r>
          </w:p>
        </w:tc>
        <w:tc>
          <w:tcPr>
            <w:tcW w:w="898" w:type="dxa"/>
            <w:vMerge w:val="continue"/>
          </w:tcPr>
          <w:p w14:paraId="6D4EF04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r>
      <w:tr w14:paraId="1F6C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220" w:type="dxa"/>
          </w:tcPr>
          <w:p w14:paraId="5BB3C94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AB4BB1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AD-01</w:t>
            </w:r>
          </w:p>
        </w:tc>
        <w:tc>
          <w:tcPr>
            <w:tcW w:w="853" w:type="dxa"/>
          </w:tcPr>
          <w:p w14:paraId="3F66E883">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5101FB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≤0.30</w:t>
            </w:r>
          </w:p>
        </w:tc>
        <w:tc>
          <w:tcPr>
            <w:tcW w:w="919" w:type="dxa"/>
            <w:vMerge w:val="continue"/>
          </w:tcPr>
          <w:p w14:paraId="7A6BE0C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56" w:type="dxa"/>
            <w:vMerge w:val="continue"/>
          </w:tcPr>
          <w:p w14:paraId="2B038722">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172" w:type="dxa"/>
          </w:tcPr>
          <w:p w14:paraId="4381BE8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529A6A15">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0.35～0.45</w:t>
            </w:r>
          </w:p>
        </w:tc>
        <w:tc>
          <w:tcPr>
            <w:tcW w:w="1255" w:type="dxa"/>
          </w:tcPr>
          <w:p w14:paraId="475D1C0F">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62A2512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100～300</w:t>
            </w:r>
          </w:p>
        </w:tc>
        <w:tc>
          <w:tcPr>
            <w:tcW w:w="1090" w:type="dxa"/>
          </w:tcPr>
          <w:p w14:paraId="6151DD68">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36B561C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0.5～0.9</w:t>
            </w:r>
          </w:p>
        </w:tc>
        <w:tc>
          <w:tcPr>
            <w:tcW w:w="800" w:type="dxa"/>
            <w:vMerge w:val="continue"/>
          </w:tcPr>
          <w:p w14:paraId="693FBEBD">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tc>
        <w:tc>
          <w:tcPr>
            <w:tcW w:w="1336" w:type="dxa"/>
          </w:tcPr>
          <w:p w14:paraId="67042F10">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2C16E53C">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0.04～0.1</w:t>
            </w:r>
          </w:p>
        </w:tc>
        <w:tc>
          <w:tcPr>
            <w:tcW w:w="800" w:type="dxa"/>
          </w:tcPr>
          <w:p w14:paraId="2BAF1A94">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p>
          <w:p w14:paraId="70363E51">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≤0.5</w:t>
            </w:r>
          </w:p>
        </w:tc>
        <w:tc>
          <w:tcPr>
            <w:tcW w:w="898" w:type="dxa"/>
          </w:tcPr>
          <w:p w14:paraId="6CB8EB29">
            <w:pPr>
              <w:keepNext w:val="0"/>
              <w:keepLines w:val="0"/>
              <w:widowControl/>
              <w:suppressLineNumbers w:val="0"/>
              <w:jc w:val="left"/>
              <w:rPr>
                <w:rFonts w:hint="default" w:ascii="Times New Roman" w:hAnsi="Times New Roman" w:eastAsia="宋体" w:cs="Times New Roman"/>
                <w:kern w:val="0"/>
                <w:sz w:val="15"/>
                <w:szCs w:val="15"/>
                <w:lang w:val="en-US" w:eastAsia="zh-CN" w:bidi="ar"/>
              </w:rPr>
            </w:pPr>
            <w:r>
              <w:rPr>
                <w:rFonts w:hint="eastAsia" w:ascii="Times New Roman" w:hAnsi="Times New Roman" w:eastAsia="宋体" w:cs="Times New Roman"/>
                <w:kern w:val="0"/>
                <w:sz w:val="15"/>
                <w:szCs w:val="15"/>
                <w:lang w:val="en-US" w:eastAsia="zh-CN" w:bidi="ar"/>
              </w:rPr>
              <w:t>/</w:t>
            </w:r>
          </w:p>
        </w:tc>
      </w:tr>
    </w:tbl>
    <w:p w14:paraId="6969AD53">
      <w:pPr>
        <w:pStyle w:val="6"/>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Note:</w:t>
      </w:r>
      <w:r>
        <w:rPr>
          <w:rFonts w:hint="default" w:ascii="Times New Roman" w:hAnsi="Times New Roman" w:cs="Times New Roman"/>
        </w:rPr>
        <w:br w:type="textWrapping"/>
      </w:r>
      <w:r>
        <w:rPr>
          <w:rFonts w:hint="default" w:ascii="Times New Roman" w:hAnsi="Times New Roman" w:cs="Times New Roman"/>
        </w:rPr>
        <w:t>AD-01 is manufactured using spray-drying forming technology. It is primarily used as a catalyst in fluidized bed production, and also serves as a desiccant, adsorbent, carrier for melamine catalysts, and automotive exhaust catalysts.</w:t>
      </w:r>
    </w:p>
    <w:p w14:paraId="47BA1F59">
      <w:pPr>
        <w:bidi w:val="0"/>
        <w:jc w:val="left"/>
        <w:rPr>
          <w:rFonts w:hint="default" w:asciiTheme="minorHAnsi" w:hAnsiTheme="minorHAnsi" w:eastAsiaTheme="minorEastAsia" w:cstheme="minorBidi"/>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3C8AC">
    <w:pPr>
      <w:pStyle w:val="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rPr>
      <w:t>Contact Us</w:t>
    </w:r>
    <w:r>
      <w:rPr>
        <w:rStyle w:val="10"/>
        <w:rFonts w:hint="eastAsia" w:ascii="Times New Roman" w:hAnsi="Times New Roman" w:cs="Times New Roman"/>
        <w:b/>
        <w:lang w:val="en-US" w:eastAsia="zh-CN"/>
      </w:rPr>
      <w:t xml:space="preserve">    </w:t>
    </w:r>
    <w:r>
      <w:rPr>
        <w:rFonts w:hint="default" w:ascii="Times New Roman" w:hAnsi="Times New Roman" w:cs="Times New Roman"/>
      </w:rPr>
      <w:t>Phone: 15698053326</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6471E"/>
    <w:rsid w:val="303C1798"/>
    <w:rsid w:val="50C6471E"/>
    <w:rsid w:val="67020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1627</Words>
  <Characters>9648</Characters>
  <Lines>0</Lines>
  <Paragraphs>0</Paragraphs>
  <TotalTime>0</TotalTime>
  <ScaleCrop>false</ScaleCrop>
  <LinksUpToDate>false</LinksUpToDate>
  <CharactersWithSpaces>10800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2025-05-19T08:25:00Z</dcterms:created>
  <dc:creator>Cooec</dc:creator>
  <cp:lastModifiedBy>Cooec</cp:lastModifiedBy>
  <dcterms:modified xsi:type="dcterms:W3CDTF">2025-05-19T09:10:51Z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0F696B00AEE443E9A1901E455E022C20_13</vt:lpwstr>
  </property>
  <property fmtid="{D5CDD505-2E9C-101B-9397-08002B2CF9AE}" pid="4" name="KSOTemplateDocerSaveRecord">
    <vt:lpwstr>eyJoZGlkIjoiOTU2MjI3NjkwM2ZlNzczODNkNGQ2ZGI5YWRiYmU3NWQiLCJ1c2VySWQiOiIxMTUyMjM3OTIxIn0=</vt:lpwstr>
  </property>
</Properties>
</file>