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drawings/drawing1.xml" ContentType="application/vnd.openxmlformats-officedocument.drawingml.chartshapes+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val="0"/>
        <w:bidi w:val="0"/>
        <w:adjustRightInd/>
        <w:snapToGrid/>
        <w:spacing w:line="560" w:lineRule="exact"/>
        <w:jc w:val="center"/>
        <w:textAlignment w:val="auto"/>
        <w:rPr>
          <w:rFonts w:hint="eastAsia" w:ascii="方正小标宋简体" w:hAnsi="方正小标宋简体" w:eastAsia="方正小标宋简体" w:cs="方正小标宋简体"/>
          <w:b w:val="0"/>
          <w:bCs w:val="0"/>
          <w:color w:val="auto"/>
          <w:sz w:val="44"/>
          <w:szCs w:val="44"/>
          <w:highlight w:val="none"/>
        </w:rPr>
      </w:pPr>
      <w:r>
        <w:rPr>
          <w:rFonts w:hint="eastAsia" w:ascii="方正小标宋简体" w:hAnsi="方正小标宋简体" w:eastAsia="方正小标宋简体" w:cs="方正小标宋简体"/>
          <w:b w:val="0"/>
          <w:bCs w:val="0"/>
          <w:color w:val="auto"/>
          <w:sz w:val="44"/>
          <w:szCs w:val="44"/>
          <w:highlight w:val="none"/>
        </w:rPr>
        <w:t>202</w:t>
      </w:r>
      <w:r>
        <w:rPr>
          <w:rFonts w:hint="eastAsia" w:ascii="方正小标宋简体" w:hAnsi="方正小标宋简体" w:eastAsia="方正小标宋简体" w:cs="方正小标宋简体"/>
          <w:b w:val="0"/>
          <w:bCs w:val="0"/>
          <w:color w:val="auto"/>
          <w:sz w:val="44"/>
          <w:szCs w:val="44"/>
          <w:highlight w:val="none"/>
          <w:lang w:val="en-US" w:eastAsia="zh-CN"/>
        </w:rPr>
        <w:t>4</w:t>
      </w:r>
      <w:r>
        <w:rPr>
          <w:rFonts w:hint="eastAsia" w:ascii="方正小标宋简体" w:hAnsi="方正小标宋简体" w:eastAsia="方正小标宋简体" w:cs="方正小标宋简体"/>
          <w:b w:val="0"/>
          <w:bCs w:val="0"/>
          <w:color w:val="auto"/>
          <w:sz w:val="44"/>
          <w:szCs w:val="44"/>
          <w:highlight w:val="none"/>
        </w:rPr>
        <w:t>年和田地区国民经济和社会发展</w:t>
      </w:r>
    </w:p>
    <w:p>
      <w:pPr>
        <w:keepNext w:val="0"/>
        <w:keepLines w:val="0"/>
        <w:pageBreakBefore w:val="0"/>
        <w:widowControl w:val="0"/>
        <w:kinsoku/>
        <w:wordWrap/>
        <w:overflowPunct/>
        <w:topLinePunct w:val="0"/>
        <w:autoSpaceDE/>
        <w:autoSpaceDN w:val="0"/>
        <w:bidi w:val="0"/>
        <w:adjustRightInd/>
        <w:snapToGrid/>
        <w:spacing w:line="560" w:lineRule="exact"/>
        <w:jc w:val="center"/>
        <w:textAlignment w:val="auto"/>
        <w:rPr>
          <w:rFonts w:hint="eastAsia" w:ascii="方正小标宋简体" w:hAnsi="方正小标宋简体" w:eastAsia="方正小标宋简体" w:cs="方正小标宋简体"/>
          <w:b w:val="0"/>
          <w:bCs w:val="0"/>
          <w:color w:val="auto"/>
          <w:sz w:val="44"/>
          <w:szCs w:val="44"/>
          <w:highlight w:val="none"/>
        </w:rPr>
      </w:pPr>
      <w:r>
        <w:rPr>
          <w:rFonts w:hint="eastAsia" w:ascii="方正小标宋简体" w:hAnsi="方正小标宋简体" w:eastAsia="方正小标宋简体" w:cs="方正小标宋简体"/>
          <w:b w:val="0"/>
          <w:bCs w:val="0"/>
          <w:color w:val="auto"/>
          <w:sz w:val="44"/>
          <w:szCs w:val="44"/>
          <w:highlight w:val="none"/>
        </w:rPr>
        <w:t>统计公报</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仿宋简体" w:hAnsi="方正仿宋简体" w:eastAsia="方正仿宋简体" w:cs="方正仿宋简体"/>
          <w:color w:val="auto"/>
          <w:sz w:val="32"/>
          <w:szCs w:val="32"/>
          <w:highlight w:val="none"/>
          <w:lang w:eastAsia="zh-CN"/>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仿宋简体" w:hAnsi="方正仿宋简体" w:eastAsia="方正仿宋简体" w:cs="方正仿宋简体"/>
          <w:color w:val="auto"/>
          <w:sz w:val="32"/>
          <w:szCs w:val="32"/>
          <w:highlight w:val="none"/>
          <w:lang w:eastAsia="zh-CN"/>
        </w:rPr>
      </w:pPr>
      <w:r>
        <w:rPr>
          <w:rFonts w:hint="eastAsia" w:ascii="方正仿宋简体" w:hAnsi="方正仿宋简体" w:eastAsia="方正仿宋简体" w:cs="方正仿宋简体"/>
          <w:color w:val="auto"/>
          <w:sz w:val="32"/>
          <w:szCs w:val="32"/>
          <w:highlight w:val="none"/>
          <w:lang w:eastAsia="zh-CN"/>
        </w:rPr>
        <w:t>和田地区统计局</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仿宋简体" w:hAnsi="方正仿宋简体" w:eastAsia="方正仿宋简体" w:cs="方正仿宋简体"/>
          <w:color w:val="auto"/>
          <w:sz w:val="32"/>
          <w:szCs w:val="32"/>
          <w:highlight w:val="none"/>
          <w:lang w:eastAsia="zh-CN"/>
        </w:rPr>
      </w:pPr>
      <w:r>
        <w:rPr>
          <w:rFonts w:hint="default" w:ascii="Times New Roman" w:hAnsi="Times New Roman" w:eastAsia="方正仿宋简体" w:cs="Times New Roman"/>
          <w:color w:val="auto"/>
          <w:sz w:val="32"/>
          <w:szCs w:val="32"/>
          <w:highlight w:val="none"/>
          <w:lang w:eastAsia="zh-CN"/>
        </w:rPr>
        <w:t>202</w:t>
      </w:r>
      <w:r>
        <w:rPr>
          <w:rFonts w:hint="eastAsia" w:ascii="Times New Roman" w:hAnsi="Times New Roman" w:eastAsia="方正仿宋简体" w:cs="Times New Roman"/>
          <w:color w:val="auto"/>
          <w:sz w:val="32"/>
          <w:szCs w:val="32"/>
          <w:highlight w:val="none"/>
          <w:lang w:val="en-US" w:eastAsia="zh-CN"/>
        </w:rPr>
        <w:t>5</w:t>
      </w:r>
      <w:r>
        <w:rPr>
          <w:rFonts w:hint="default" w:ascii="Times New Roman" w:hAnsi="Times New Roman" w:eastAsia="方正仿宋简体" w:cs="Times New Roman"/>
          <w:color w:val="auto"/>
          <w:sz w:val="32"/>
          <w:szCs w:val="32"/>
          <w:highlight w:val="none"/>
          <w:lang w:eastAsia="zh-CN"/>
        </w:rPr>
        <w:t>年</w:t>
      </w:r>
      <w:r>
        <w:rPr>
          <w:rFonts w:hint="eastAsia" w:ascii="Times New Roman" w:hAnsi="Times New Roman" w:eastAsia="方正仿宋简体" w:cs="Times New Roman"/>
          <w:color w:val="auto"/>
          <w:sz w:val="32"/>
          <w:szCs w:val="32"/>
          <w:highlight w:val="none"/>
          <w:lang w:val="en-US" w:eastAsia="zh-CN"/>
        </w:rPr>
        <w:t>3</w:t>
      </w:r>
      <w:r>
        <w:rPr>
          <w:rFonts w:hint="default" w:ascii="Times New Roman" w:hAnsi="Times New Roman" w:eastAsia="方正仿宋简体" w:cs="Times New Roman"/>
          <w:color w:val="auto"/>
          <w:sz w:val="32"/>
          <w:szCs w:val="32"/>
          <w:highlight w:val="none"/>
          <w:lang w:eastAsia="zh-CN"/>
        </w:rPr>
        <w:t>月</w:t>
      </w:r>
      <w:r>
        <w:rPr>
          <w:rFonts w:hint="eastAsia" w:ascii="Times New Roman" w:hAnsi="Times New Roman" w:eastAsia="方正仿宋简体" w:cs="Times New Roman"/>
          <w:color w:val="auto"/>
          <w:sz w:val="32"/>
          <w:szCs w:val="32"/>
          <w:highlight w:val="none"/>
          <w:lang w:val="en-US" w:eastAsia="zh-CN"/>
        </w:rPr>
        <w:t>28</w:t>
      </w:r>
      <w:r>
        <w:rPr>
          <w:rFonts w:hint="default" w:ascii="Times New Roman" w:hAnsi="Times New Roman" w:eastAsia="方正仿宋简体" w:cs="Times New Roman"/>
          <w:color w:val="auto"/>
          <w:sz w:val="32"/>
          <w:szCs w:val="32"/>
          <w:highlight w:val="none"/>
          <w:lang w:eastAsia="zh-CN"/>
        </w:rPr>
        <w:t>日</w:t>
      </w:r>
    </w:p>
    <w:p>
      <w:pPr>
        <w:pStyle w:val="4"/>
        <w:keepNext w:val="0"/>
        <w:keepLines w:val="0"/>
        <w:pageBreakBefore w:val="0"/>
        <w:widowControl/>
        <w:suppressLineNumbers w:val="0"/>
        <w:kinsoku/>
        <w:wordWrap/>
        <w:overflowPunct/>
        <w:topLinePunct w:val="0"/>
        <w:autoSpaceDE/>
        <w:autoSpaceDN/>
        <w:bidi w:val="0"/>
        <w:adjustRightInd/>
        <w:snapToGrid/>
        <w:spacing w:before="526" w:beforeAutospacing="0" w:after="0" w:afterAutospacing="0" w:line="27" w:lineRule="atLeast"/>
        <w:ind w:right="0" w:firstLine="640" w:firstLineChars="200"/>
        <w:jc w:val="both"/>
        <w:textAlignment w:val="auto"/>
        <w:rPr>
          <w:rFonts w:hint="default" w:ascii="方正仿宋简体" w:hAnsi="方正仿宋简体" w:eastAsia="方正仿宋简体" w:cs="方正仿宋简体"/>
          <w:color w:val="0000FF"/>
          <w:sz w:val="32"/>
          <w:szCs w:val="32"/>
          <w:highlight w:val="none"/>
          <w:lang w:val="en-US" w:eastAsia="zh-CN"/>
        </w:rPr>
      </w:pPr>
      <w:r>
        <w:rPr>
          <w:rFonts w:hint="default" w:ascii="Times New Roman" w:hAnsi="Times New Roman" w:eastAsia="方正仿宋简体" w:cs="Times New Roman"/>
          <w:color w:val="auto"/>
          <w:sz w:val="32"/>
          <w:szCs w:val="32"/>
          <w:highlight w:val="none"/>
          <w:lang w:val="zh-CN" w:eastAsia="zh-CN"/>
        </w:rPr>
        <w:t>202</w:t>
      </w:r>
      <w:r>
        <w:rPr>
          <w:rFonts w:hint="eastAsia" w:ascii="Times New Roman" w:hAnsi="Times New Roman" w:eastAsia="方正仿宋简体" w:cs="Times New Roman"/>
          <w:color w:val="auto"/>
          <w:sz w:val="32"/>
          <w:szCs w:val="32"/>
          <w:highlight w:val="none"/>
          <w:lang w:val="en-US" w:eastAsia="zh-CN"/>
        </w:rPr>
        <w:t>4</w:t>
      </w:r>
      <w:r>
        <w:rPr>
          <w:rFonts w:hint="default" w:ascii="Times New Roman" w:hAnsi="Times New Roman" w:eastAsia="方正仿宋简体" w:cs="Times New Roman"/>
          <w:color w:val="auto"/>
          <w:sz w:val="32"/>
          <w:szCs w:val="32"/>
          <w:highlight w:val="none"/>
          <w:lang w:val="zh-CN" w:eastAsia="zh-CN"/>
        </w:rPr>
        <w:t>年</w:t>
      </w:r>
      <w:r>
        <w:rPr>
          <w:rFonts w:hint="eastAsia" w:ascii="Times New Roman" w:hAnsi="Times New Roman" w:eastAsia="方正仿宋简体" w:cs="Times New Roman"/>
          <w:color w:val="auto"/>
          <w:sz w:val="32"/>
          <w:szCs w:val="32"/>
          <w:highlight w:val="none"/>
          <w:lang w:val="zh-CN" w:eastAsia="zh-CN"/>
        </w:rPr>
        <w:t>，</w:t>
      </w:r>
      <w:r>
        <w:rPr>
          <w:rFonts w:hint="eastAsia" w:ascii="Times New Roman" w:hAnsi="Times New Roman" w:eastAsia="方正仿宋简体" w:cs="Times New Roman"/>
          <w:color w:val="auto"/>
          <w:sz w:val="32"/>
          <w:szCs w:val="32"/>
          <w:highlight w:val="none"/>
          <w:lang w:val="en-US" w:eastAsia="zh-CN"/>
        </w:rPr>
        <w:t>深入学习贯彻党的二十大和二十届二中、三中全会精神，完整准确全面贯彻新时代党的治疆方略，坚持稳中求进工作总基调，加快构建新发展格局,全地区经济运行总体平稳、稳中有进，高质量发展取得新成效。</w:t>
      </w:r>
    </w:p>
    <w:p>
      <w:pPr>
        <w:keepNext w:val="0"/>
        <w:keepLines w:val="0"/>
        <w:pageBreakBefore w:val="0"/>
        <w:widowControl w:val="0"/>
        <w:kinsoku/>
        <w:wordWrap/>
        <w:overflowPunct/>
        <w:topLinePunct w:val="0"/>
        <w:autoSpaceDE/>
        <w:autoSpaceDN/>
        <w:bidi w:val="0"/>
        <w:adjustRightInd/>
        <w:snapToGrid/>
        <w:spacing w:line="560" w:lineRule="exact"/>
        <w:ind w:firstLine="653"/>
        <w:textAlignment w:val="auto"/>
        <w:rPr>
          <w:rFonts w:hint="eastAsia" w:ascii="黑体" w:hAnsi="黑体" w:eastAsia="黑体" w:cs="黑体"/>
          <w:color w:val="000000" w:themeColor="text1"/>
          <w:sz w:val="32"/>
          <w:szCs w:val="32"/>
          <w:highlight w:val="none"/>
          <w14:textFill>
            <w14:solidFill>
              <w14:schemeClr w14:val="tx1"/>
            </w14:solidFill>
          </w14:textFill>
        </w:rPr>
      </w:pPr>
      <w:r>
        <w:rPr>
          <w:rFonts w:hint="eastAsia" w:ascii="黑体" w:hAnsi="黑体" w:eastAsia="黑体" w:cs="黑体"/>
          <w:color w:val="000000" w:themeColor="text1"/>
          <w:sz w:val="32"/>
          <w:szCs w:val="32"/>
          <w:highlight w:val="none"/>
          <w14:textFill>
            <w14:solidFill>
              <w14:schemeClr w14:val="tx1"/>
            </w14:solidFill>
          </w14:textFill>
        </w:rPr>
        <w:t>一、综合</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简体" w:cs="Times New Roman"/>
          <w:color w:val="auto"/>
          <w:sz w:val="32"/>
          <w:szCs w:val="32"/>
          <w:highlight w:val="none"/>
          <w:lang w:eastAsia="zh-CN"/>
        </w:rPr>
      </w:pPr>
      <w:r>
        <w:rPr>
          <w:rFonts w:hint="default" w:ascii="Times New Roman" w:hAnsi="Times New Roman" w:eastAsia="方正仿宋简体" w:cs="Times New Roman"/>
          <w:color w:val="auto"/>
          <w:sz w:val="32"/>
          <w:szCs w:val="32"/>
          <w:highlight w:val="none"/>
          <w:lang w:eastAsia="zh-CN"/>
        </w:rPr>
        <w:t>根据自治区统一核算结果，全年实现地区生产总值（GDP）比上年增长6.4%。第一产业增加值增长6.3%；第二产业增加值增长14.1%；第三产业增加值增长4.6%。第一产业增加值占地区生产总值比重为18.6%，第二产业增加值占地区生产总值比重为18.0%，第三产业增加值占地区生产总值比重为63.4%。分季度看，一季度地区生产总值同比增长6.3%，上半年增长3.9%，前三季度增长5.6%，全年增长6.4%。全年人均地区生产总值比上年增长</w:t>
      </w:r>
      <w:r>
        <w:rPr>
          <w:rFonts w:hint="eastAsia" w:ascii="Times New Roman" w:hAnsi="Times New Roman" w:eastAsia="方正仿宋简体" w:cs="Times New Roman"/>
          <w:color w:val="auto"/>
          <w:sz w:val="32"/>
          <w:szCs w:val="32"/>
          <w:highlight w:val="none"/>
          <w:lang w:val="en-US" w:eastAsia="zh-CN"/>
        </w:rPr>
        <w:t>5.6</w:t>
      </w:r>
      <w:r>
        <w:rPr>
          <w:rFonts w:hint="default" w:ascii="Times New Roman" w:hAnsi="Times New Roman" w:eastAsia="方正仿宋简体" w:cs="Times New Roman"/>
          <w:color w:val="auto"/>
          <w:sz w:val="32"/>
          <w:szCs w:val="32"/>
          <w:highlight w:val="none"/>
          <w:lang w:eastAsia="zh-CN"/>
        </w:rPr>
        <w:t>%。</w:t>
      </w:r>
    </w:p>
    <w:p>
      <w:pPr>
        <w:rPr>
          <w:rFonts w:hint="eastAsia"/>
          <w:color w:val="0000FF"/>
        </w:rPr>
      </w:pPr>
      <w:r>
        <w:drawing>
          <wp:anchor distT="0" distB="0" distL="114300" distR="114300" simplePos="0" relativeHeight="251669504" behindDoc="0" locked="0" layoutInCell="1" allowOverlap="1">
            <wp:simplePos x="0" y="0"/>
            <wp:positionH relativeFrom="column">
              <wp:posOffset>47625</wp:posOffset>
            </wp:positionH>
            <wp:positionV relativeFrom="paragraph">
              <wp:posOffset>205740</wp:posOffset>
            </wp:positionV>
            <wp:extent cx="5269865" cy="2362835"/>
            <wp:effectExtent l="0" t="0" r="6985" b="18415"/>
            <wp:wrapSquare wrapText="bothSides"/>
            <wp:docPr id="117870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anchor>
        </w:drawing>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eastAsia" w:ascii="方正仿宋简体" w:hAnsi="方正仿宋简体" w:eastAsia="方正仿宋简体" w:cs="方正仿宋简体"/>
          <w:color w:val="0000FF"/>
          <w:sz w:val="32"/>
          <w:szCs w:val="32"/>
          <w:highlight w:val="none"/>
        </w:rPr>
      </w:pPr>
      <w:r>
        <w:drawing>
          <wp:anchor distT="0" distB="0" distL="114300" distR="114300" simplePos="0" relativeHeight="251670528" behindDoc="0" locked="0" layoutInCell="1" allowOverlap="1">
            <wp:simplePos x="0" y="0"/>
            <wp:positionH relativeFrom="column">
              <wp:posOffset>57150</wp:posOffset>
            </wp:positionH>
            <wp:positionV relativeFrom="paragraph">
              <wp:posOffset>2442845</wp:posOffset>
            </wp:positionV>
            <wp:extent cx="5268595" cy="2510790"/>
            <wp:effectExtent l="0" t="0" r="8255" b="3810"/>
            <wp:wrapSquare wrapText="bothSides"/>
            <wp:docPr id="117981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anchor>
        </w:drawing>
      </w:r>
      <w:r>
        <w:drawing>
          <wp:anchor distT="0" distB="0" distL="114300" distR="114300" simplePos="0" relativeHeight="251674624" behindDoc="0" locked="0" layoutInCell="1" allowOverlap="1">
            <wp:simplePos x="0" y="0"/>
            <wp:positionH relativeFrom="column">
              <wp:posOffset>28575</wp:posOffset>
            </wp:positionH>
            <wp:positionV relativeFrom="paragraph">
              <wp:posOffset>4970780</wp:posOffset>
            </wp:positionV>
            <wp:extent cx="5270500" cy="2933700"/>
            <wp:effectExtent l="0" t="0" r="6350" b="0"/>
            <wp:wrapSquare wrapText="bothSides"/>
            <wp:docPr id="121356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r>
        <w:rPr>
          <w:rFonts w:hint="default" w:ascii="Times New Roman" w:hAnsi="Times New Roman" w:eastAsia="方正仿宋简体" w:cs="Times New Roman"/>
          <w:color w:val="auto"/>
          <w:sz w:val="32"/>
          <w:szCs w:val="32"/>
          <w:highlight w:val="none"/>
          <w:lang w:eastAsia="zh-CN"/>
        </w:rPr>
        <w:t>全</w:t>
      </w:r>
      <w:r>
        <w:rPr>
          <w:rFonts w:hint="default" w:ascii="Times New Roman" w:hAnsi="Times New Roman" w:eastAsia="方正仿宋简体" w:cs="Times New Roman"/>
          <w:color w:val="auto"/>
          <w:sz w:val="32"/>
          <w:szCs w:val="32"/>
          <w:highlight w:val="none"/>
        </w:rPr>
        <w:t>年城镇新增就业2.</w:t>
      </w:r>
      <w:r>
        <w:rPr>
          <w:rFonts w:hint="default" w:ascii="Times New Roman" w:hAnsi="Times New Roman" w:eastAsia="方正仿宋简体" w:cs="Times New Roman"/>
          <w:color w:val="auto"/>
          <w:sz w:val="32"/>
          <w:szCs w:val="32"/>
          <w:highlight w:val="none"/>
          <w:lang w:val="en-US" w:eastAsia="zh-CN"/>
        </w:rPr>
        <w:t>5</w:t>
      </w:r>
      <w:r>
        <w:rPr>
          <w:rFonts w:hint="eastAsia" w:ascii="Times New Roman" w:hAnsi="Times New Roman" w:eastAsia="方正仿宋简体" w:cs="Times New Roman"/>
          <w:color w:val="auto"/>
          <w:sz w:val="32"/>
          <w:szCs w:val="32"/>
          <w:highlight w:val="none"/>
          <w:lang w:val="en-US" w:eastAsia="zh-CN"/>
        </w:rPr>
        <w:t>6</w:t>
      </w:r>
      <w:r>
        <w:rPr>
          <w:rFonts w:hint="default" w:ascii="Times New Roman" w:hAnsi="Times New Roman" w:eastAsia="方正仿宋简体" w:cs="Times New Roman"/>
          <w:color w:val="auto"/>
          <w:sz w:val="32"/>
          <w:szCs w:val="32"/>
          <w:highlight w:val="none"/>
        </w:rPr>
        <w:t>万人。全年</w:t>
      </w:r>
      <w:r>
        <w:rPr>
          <w:rFonts w:hint="eastAsia" w:ascii="Times New Roman" w:hAnsi="Times New Roman" w:eastAsia="方正仿宋简体" w:cs="Times New Roman"/>
          <w:color w:val="auto"/>
          <w:sz w:val="32"/>
          <w:szCs w:val="32"/>
          <w:highlight w:val="none"/>
          <w:lang w:val="en-US" w:eastAsia="zh-CN"/>
        </w:rPr>
        <w:t>和田市</w:t>
      </w:r>
      <w:r>
        <w:rPr>
          <w:rFonts w:hint="default" w:ascii="Times New Roman" w:hAnsi="Times New Roman" w:eastAsia="方正仿宋简体" w:cs="Times New Roman"/>
          <w:color w:val="auto"/>
          <w:sz w:val="32"/>
          <w:szCs w:val="32"/>
          <w:highlight w:val="none"/>
        </w:rPr>
        <w:t>居民消费价格总指数（CPI)</w:t>
      </w:r>
      <w:r>
        <w:rPr>
          <w:rFonts w:hint="default" w:ascii="Times New Roman" w:hAnsi="Times New Roman" w:eastAsia="方正仿宋简体" w:cs="Times New Roman"/>
          <w:color w:val="auto"/>
          <w:sz w:val="32"/>
          <w:szCs w:val="32"/>
          <w:highlight w:val="none"/>
          <w:lang w:eastAsia="zh-CN"/>
        </w:rPr>
        <w:t>累计下降</w:t>
      </w:r>
      <w:r>
        <w:rPr>
          <w:rFonts w:hint="default" w:ascii="Times New Roman" w:hAnsi="Times New Roman" w:eastAsia="方正仿宋简体" w:cs="Times New Roman"/>
          <w:color w:val="auto"/>
          <w:sz w:val="32"/>
          <w:szCs w:val="32"/>
          <w:highlight w:val="none"/>
          <w:lang w:val="en-US" w:eastAsia="zh-CN"/>
        </w:rPr>
        <w:t>0.</w:t>
      </w:r>
      <w:r>
        <w:rPr>
          <w:rFonts w:hint="eastAsia" w:ascii="Times New Roman" w:hAnsi="Times New Roman" w:eastAsia="方正仿宋简体" w:cs="Times New Roman"/>
          <w:color w:val="auto"/>
          <w:sz w:val="32"/>
          <w:szCs w:val="32"/>
          <w:highlight w:val="none"/>
          <w:lang w:val="en-US" w:eastAsia="zh-CN"/>
        </w:rPr>
        <w:t>1</w:t>
      </w:r>
      <w:r>
        <w:rPr>
          <w:rFonts w:hint="default" w:ascii="Times New Roman" w:hAnsi="Times New Roman" w:eastAsia="方正仿宋简体" w:cs="Times New Roman"/>
          <w:color w:val="auto"/>
          <w:sz w:val="32"/>
          <w:szCs w:val="32"/>
          <w:highlight w:val="none"/>
        </w:rPr>
        <w:t>%。分类别看，</w:t>
      </w:r>
      <w:r>
        <w:rPr>
          <w:rFonts w:hint="default" w:ascii="Times New Roman" w:hAnsi="Times New Roman" w:eastAsia="方正仿宋简体" w:cs="Times New Roman"/>
          <w:color w:val="auto"/>
          <w:sz w:val="32"/>
          <w:szCs w:val="32"/>
          <w:highlight w:val="none"/>
          <w:lang w:val="en-US" w:eastAsia="zh-CN"/>
        </w:rPr>
        <w:t>食品烟酒类累计下降</w:t>
      </w:r>
      <w:r>
        <w:rPr>
          <w:rFonts w:hint="eastAsia" w:ascii="Times New Roman" w:hAnsi="Times New Roman" w:eastAsia="方正仿宋简体" w:cs="Times New Roman"/>
          <w:color w:val="auto"/>
          <w:sz w:val="32"/>
          <w:szCs w:val="32"/>
          <w:highlight w:val="none"/>
          <w:lang w:val="en-US" w:eastAsia="zh-CN"/>
        </w:rPr>
        <w:t>3.1</w:t>
      </w:r>
      <w:r>
        <w:rPr>
          <w:rFonts w:hint="default" w:ascii="Times New Roman" w:hAnsi="Times New Roman" w:eastAsia="方正仿宋简体" w:cs="Times New Roman"/>
          <w:color w:val="auto"/>
          <w:sz w:val="32"/>
          <w:szCs w:val="32"/>
          <w:highlight w:val="none"/>
          <w:lang w:val="en-US" w:eastAsia="zh-CN"/>
        </w:rPr>
        <w:t>%；衣着类累计上涨</w:t>
      </w:r>
      <w:r>
        <w:rPr>
          <w:rFonts w:hint="eastAsia" w:ascii="Times New Roman" w:hAnsi="Times New Roman" w:eastAsia="方正仿宋简体" w:cs="Times New Roman"/>
          <w:color w:val="auto"/>
          <w:sz w:val="32"/>
          <w:szCs w:val="32"/>
          <w:highlight w:val="none"/>
          <w:lang w:val="en-US" w:eastAsia="zh-CN"/>
        </w:rPr>
        <w:t>2.8%</w:t>
      </w:r>
      <w:r>
        <w:rPr>
          <w:rFonts w:hint="default" w:ascii="Times New Roman" w:hAnsi="Times New Roman" w:eastAsia="方正仿宋简体" w:cs="Times New Roman"/>
          <w:color w:val="auto"/>
          <w:sz w:val="32"/>
          <w:szCs w:val="32"/>
          <w:highlight w:val="none"/>
          <w:lang w:val="en-US" w:eastAsia="zh-CN"/>
        </w:rPr>
        <w:t>；居住类累计上涨0.7%；生活用品及服务类累计上涨</w:t>
      </w:r>
      <w:r>
        <w:rPr>
          <w:rFonts w:hint="eastAsia" w:ascii="Times New Roman" w:hAnsi="Times New Roman" w:eastAsia="方正仿宋简体" w:cs="Times New Roman"/>
          <w:color w:val="auto"/>
          <w:sz w:val="32"/>
          <w:szCs w:val="32"/>
          <w:highlight w:val="none"/>
          <w:lang w:val="en-US" w:eastAsia="zh-CN"/>
        </w:rPr>
        <w:t>2.2</w:t>
      </w:r>
      <w:r>
        <w:rPr>
          <w:rFonts w:hint="default" w:ascii="Times New Roman" w:hAnsi="Times New Roman" w:eastAsia="方正仿宋简体" w:cs="Times New Roman"/>
          <w:color w:val="auto"/>
          <w:sz w:val="32"/>
          <w:szCs w:val="32"/>
          <w:highlight w:val="none"/>
          <w:lang w:val="en-US" w:eastAsia="zh-CN"/>
        </w:rPr>
        <w:t>%；交通通信类累计</w:t>
      </w:r>
      <w:r>
        <w:rPr>
          <w:rFonts w:hint="eastAsia" w:ascii="Times New Roman" w:hAnsi="Times New Roman" w:eastAsia="方正仿宋简体" w:cs="Times New Roman"/>
          <w:color w:val="auto"/>
          <w:sz w:val="32"/>
          <w:szCs w:val="32"/>
          <w:highlight w:val="none"/>
          <w:lang w:val="en-US" w:eastAsia="zh-CN"/>
        </w:rPr>
        <w:t>上涨0.2</w:t>
      </w:r>
      <w:r>
        <w:rPr>
          <w:rFonts w:hint="default" w:ascii="Times New Roman" w:hAnsi="Times New Roman" w:eastAsia="方正仿宋简体" w:cs="Times New Roman"/>
          <w:color w:val="auto"/>
          <w:sz w:val="32"/>
          <w:szCs w:val="32"/>
          <w:highlight w:val="none"/>
          <w:lang w:val="en-US" w:eastAsia="zh-CN"/>
        </w:rPr>
        <w:t>%；教育文化和娱乐类累计</w:t>
      </w:r>
      <w:r>
        <w:rPr>
          <w:rFonts w:hint="eastAsia" w:ascii="Times New Roman" w:hAnsi="Times New Roman" w:eastAsia="方正仿宋简体" w:cs="Times New Roman"/>
          <w:color w:val="auto"/>
          <w:sz w:val="32"/>
          <w:szCs w:val="32"/>
          <w:highlight w:val="none"/>
          <w:lang w:val="en-US" w:eastAsia="zh-CN"/>
        </w:rPr>
        <w:t>上涨2.2</w:t>
      </w:r>
      <w:r>
        <w:rPr>
          <w:rFonts w:hint="default" w:ascii="Times New Roman" w:hAnsi="Times New Roman" w:eastAsia="方正仿宋简体" w:cs="Times New Roman"/>
          <w:color w:val="auto"/>
          <w:sz w:val="32"/>
          <w:szCs w:val="32"/>
          <w:highlight w:val="none"/>
          <w:lang w:val="en-US" w:eastAsia="zh-CN"/>
        </w:rPr>
        <w:t>%；医疗保健类累计上涨</w:t>
      </w:r>
      <w:r>
        <w:rPr>
          <w:rFonts w:hint="eastAsia" w:ascii="Times New Roman" w:hAnsi="Times New Roman" w:eastAsia="方正仿宋简体" w:cs="Times New Roman"/>
          <w:color w:val="auto"/>
          <w:sz w:val="32"/>
          <w:szCs w:val="32"/>
          <w:highlight w:val="none"/>
          <w:lang w:val="en-US" w:eastAsia="zh-CN"/>
        </w:rPr>
        <w:t>1.2</w:t>
      </w:r>
      <w:r>
        <w:rPr>
          <w:rFonts w:hint="default" w:ascii="Times New Roman" w:hAnsi="Times New Roman" w:eastAsia="方正仿宋简体" w:cs="Times New Roman"/>
          <w:color w:val="auto"/>
          <w:sz w:val="32"/>
          <w:szCs w:val="32"/>
          <w:highlight w:val="none"/>
          <w:lang w:val="en-US" w:eastAsia="zh-CN"/>
        </w:rPr>
        <w:t>%；其他用品及服务类累计上涨</w:t>
      </w:r>
      <w:r>
        <w:rPr>
          <w:rFonts w:hint="eastAsia" w:ascii="Times New Roman" w:hAnsi="Times New Roman" w:eastAsia="方正仿宋简体" w:cs="Times New Roman"/>
          <w:color w:val="auto"/>
          <w:sz w:val="32"/>
          <w:szCs w:val="32"/>
          <w:highlight w:val="none"/>
          <w:lang w:val="en-US" w:eastAsia="zh-CN"/>
        </w:rPr>
        <w:t>4.3</w:t>
      </w:r>
      <w:r>
        <w:rPr>
          <w:rFonts w:hint="default" w:ascii="Times New Roman" w:hAnsi="Times New Roman" w:eastAsia="方正仿宋简体" w:cs="Times New Roman"/>
          <w:color w:val="auto"/>
          <w:sz w:val="32"/>
          <w:szCs w:val="32"/>
          <w:highlight w:val="none"/>
          <w:lang w:val="en-US" w:eastAsia="zh-CN"/>
        </w:rPr>
        <w:t>%。</w:t>
      </w:r>
    </w:p>
    <w:tbl>
      <w:tblPr>
        <w:tblStyle w:val="5"/>
        <w:tblW w:w="8231" w:type="dxa"/>
        <w:tblInd w:w="0" w:type="dxa"/>
        <w:shd w:val="clear" w:color="auto" w:fill="auto"/>
        <w:tblLayout w:type="fixed"/>
        <w:tblCellMar>
          <w:top w:w="0" w:type="dxa"/>
          <w:left w:w="0" w:type="dxa"/>
          <w:bottom w:w="0" w:type="dxa"/>
          <w:right w:w="0" w:type="dxa"/>
        </w:tblCellMar>
      </w:tblPr>
      <w:tblGrid>
        <w:gridCol w:w="2781"/>
        <w:gridCol w:w="2775"/>
        <w:gridCol w:w="2675"/>
      </w:tblGrid>
      <w:tr>
        <w:tblPrEx>
          <w:tblCellMar>
            <w:top w:w="0" w:type="dxa"/>
            <w:left w:w="0" w:type="dxa"/>
            <w:bottom w:w="0" w:type="dxa"/>
            <w:right w:w="0" w:type="dxa"/>
          </w:tblCellMar>
        </w:tblPrEx>
        <w:trPr>
          <w:trHeight w:val="363" w:hRule="exact"/>
        </w:trPr>
        <w:tc>
          <w:tcPr>
            <w:tcW w:w="8231" w:type="dxa"/>
            <w:gridSpan w:val="3"/>
            <w:tcBorders>
              <w:top w:val="nil"/>
              <w:left w:val="nil"/>
              <w:bottom w:val="nil"/>
              <w:right w:val="nil"/>
            </w:tcBorders>
            <w:shd w:val="clear" w:color="auto" w:fill="auto"/>
            <w:noWrap/>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u w:val="none"/>
              </w:rPr>
            </w:pPr>
            <w:r>
              <w:rPr>
                <w:rFonts w:hint="eastAsia" w:ascii="方正小标宋简体" w:hAnsi="方正小标宋简体" w:eastAsia="方正小标宋简体" w:cs="方正小标宋简体"/>
                <w:i w:val="0"/>
                <w:color w:val="auto"/>
                <w:kern w:val="0"/>
                <w:sz w:val="28"/>
                <w:szCs w:val="28"/>
                <w:u w:val="none"/>
                <w:lang w:val="en-US" w:eastAsia="zh-CN" w:bidi="ar"/>
              </w:rPr>
              <w:t>2024年居民消费价格比上年涨跌幅度</w:t>
            </w:r>
          </w:p>
        </w:tc>
      </w:tr>
      <w:tr>
        <w:tblPrEx>
          <w:shd w:val="clear" w:color="auto" w:fill="auto"/>
          <w:tblCellMar>
            <w:top w:w="0" w:type="dxa"/>
            <w:left w:w="0" w:type="dxa"/>
            <w:bottom w:w="0" w:type="dxa"/>
            <w:right w:w="0" w:type="dxa"/>
          </w:tblCellMar>
        </w:tblPrEx>
        <w:trPr>
          <w:trHeight w:val="567" w:hRule="exact"/>
        </w:trPr>
        <w:tc>
          <w:tcPr>
            <w:tcW w:w="278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tcMar>
              <w:top w:w="10" w:type="dxa"/>
              <w:left w:w="10" w:type="dxa"/>
              <w:right w:w="10" w:type="dxa"/>
            </w:tcMar>
            <w:vAlign w:val="center"/>
          </w:tcPr>
          <w:p>
            <w:pPr>
              <w:keepNext w:val="0"/>
              <w:keepLines w:val="0"/>
              <w:widowControl/>
              <w:suppressLineNumbers w:val="0"/>
              <w:jc w:val="center"/>
              <w:textAlignment w:val="center"/>
              <w:rPr>
                <w:rFonts w:hint="eastAsia" w:ascii="黑体" w:hAnsi="黑体" w:eastAsia="黑体" w:cs="黑体"/>
                <w:i w:val="0"/>
                <w:color w:val="auto"/>
                <w:sz w:val="24"/>
                <w:szCs w:val="24"/>
                <w:u w:val="none"/>
              </w:rPr>
            </w:pPr>
            <w:r>
              <w:rPr>
                <w:rFonts w:hint="eastAsia" w:ascii="黑体" w:hAnsi="黑体" w:eastAsia="黑体" w:cs="黑体"/>
                <w:i w:val="0"/>
                <w:color w:val="auto"/>
                <w:kern w:val="0"/>
                <w:sz w:val="24"/>
                <w:szCs w:val="24"/>
                <w:u w:val="none"/>
                <w:lang w:val="en-US" w:eastAsia="zh-CN" w:bidi="ar"/>
              </w:rPr>
              <w:t>指  标</w:t>
            </w:r>
          </w:p>
        </w:tc>
        <w:tc>
          <w:tcPr>
            <w:tcW w:w="277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tcMar>
              <w:top w:w="10" w:type="dxa"/>
              <w:left w:w="10" w:type="dxa"/>
              <w:right w:w="10" w:type="dxa"/>
            </w:tcMar>
            <w:vAlign w:val="center"/>
          </w:tcPr>
          <w:p>
            <w:pPr>
              <w:keepNext w:val="0"/>
              <w:keepLines w:val="0"/>
              <w:widowControl/>
              <w:suppressLineNumbers w:val="0"/>
              <w:jc w:val="center"/>
              <w:textAlignment w:val="center"/>
              <w:rPr>
                <w:rFonts w:hint="eastAsia" w:ascii="黑体" w:hAnsi="黑体" w:eastAsia="黑体" w:cs="黑体"/>
                <w:i w:val="0"/>
                <w:color w:val="auto"/>
                <w:sz w:val="24"/>
                <w:szCs w:val="24"/>
                <w:u w:val="none"/>
              </w:rPr>
            </w:pPr>
            <w:r>
              <w:rPr>
                <w:rFonts w:hint="eastAsia" w:ascii="黑体" w:hAnsi="黑体" w:eastAsia="黑体" w:cs="黑体"/>
                <w:i w:val="0"/>
                <w:color w:val="auto"/>
                <w:kern w:val="0"/>
                <w:sz w:val="24"/>
                <w:szCs w:val="24"/>
                <w:u w:val="none"/>
                <w:lang w:val="en-US" w:eastAsia="zh-CN" w:bidi="ar"/>
              </w:rPr>
              <w:t>价格指数（1—12月）</w:t>
            </w:r>
          </w:p>
        </w:tc>
        <w:tc>
          <w:tcPr>
            <w:tcW w:w="267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tcMar>
              <w:top w:w="10" w:type="dxa"/>
              <w:left w:w="10" w:type="dxa"/>
              <w:right w:w="10" w:type="dxa"/>
            </w:tcMar>
            <w:vAlign w:val="center"/>
          </w:tcPr>
          <w:p>
            <w:pPr>
              <w:keepNext w:val="0"/>
              <w:keepLines w:val="0"/>
              <w:widowControl/>
              <w:suppressLineNumbers w:val="0"/>
              <w:jc w:val="center"/>
              <w:textAlignment w:val="center"/>
              <w:rPr>
                <w:rFonts w:hint="eastAsia" w:ascii="黑体" w:hAnsi="黑体" w:eastAsia="黑体" w:cs="黑体"/>
                <w:i w:val="0"/>
                <w:color w:val="auto"/>
                <w:sz w:val="24"/>
                <w:szCs w:val="24"/>
                <w:u w:val="none"/>
              </w:rPr>
            </w:pPr>
            <w:r>
              <w:rPr>
                <w:rFonts w:hint="eastAsia" w:ascii="黑体" w:hAnsi="黑体" w:eastAsia="黑体" w:cs="黑体"/>
                <w:i w:val="0"/>
                <w:color w:val="auto"/>
                <w:kern w:val="0"/>
                <w:sz w:val="24"/>
                <w:szCs w:val="24"/>
                <w:u w:val="none"/>
                <w:lang w:val="en-US" w:eastAsia="zh-CN" w:bidi="ar"/>
              </w:rPr>
              <w:t>比上年涨跌幅度（%）</w:t>
            </w:r>
          </w:p>
        </w:tc>
      </w:tr>
      <w:tr>
        <w:tblPrEx>
          <w:tblCellMar>
            <w:top w:w="0" w:type="dxa"/>
            <w:left w:w="0" w:type="dxa"/>
            <w:bottom w:w="0" w:type="dxa"/>
            <w:right w:w="0" w:type="dxa"/>
          </w:tblCellMar>
        </w:tblPrEx>
        <w:trPr>
          <w:trHeight w:val="567" w:hRule="exact"/>
        </w:trPr>
        <w:tc>
          <w:tcPr>
            <w:tcW w:w="2781"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left"/>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居民消费价格</w:t>
            </w:r>
          </w:p>
        </w:tc>
        <w:tc>
          <w:tcPr>
            <w:tcW w:w="2775"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99.9</w:t>
            </w:r>
          </w:p>
        </w:tc>
        <w:tc>
          <w:tcPr>
            <w:tcW w:w="2675"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-0.1</w:t>
            </w:r>
          </w:p>
        </w:tc>
      </w:tr>
      <w:tr>
        <w:tblPrEx>
          <w:tblCellMar>
            <w:top w:w="0" w:type="dxa"/>
            <w:left w:w="0" w:type="dxa"/>
            <w:bottom w:w="0" w:type="dxa"/>
            <w:right w:w="0" w:type="dxa"/>
          </w:tblCellMar>
        </w:tblPrEx>
        <w:trPr>
          <w:trHeight w:val="567" w:hRule="exact"/>
        </w:trPr>
        <w:tc>
          <w:tcPr>
            <w:tcW w:w="2781"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left"/>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 xml:space="preserve">  其中：食品烟酒</w:t>
            </w:r>
          </w:p>
        </w:tc>
        <w:tc>
          <w:tcPr>
            <w:tcW w:w="2775"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kern w:val="2"/>
                <w:sz w:val="24"/>
                <w:szCs w:val="24"/>
                <w:u w:val="none"/>
                <w:lang w:val="en-US" w:eastAsia="zh-CN" w:bidi="ar-SA"/>
              </w:rPr>
            </w:pPr>
            <w:r>
              <w:rPr>
                <w:rFonts w:hint="eastAsia" w:ascii="Times New Roman" w:hAnsi="Times New Roman" w:eastAsia="宋体" w:cs="Times New Roman"/>
                <w:i w:val="0"/>
                <w:color w:val="auto"/>
                <w:sz w:val="24"/>
                <w:szCs w:val="24"/>
                <w:u w:val="none"/>
                <w:lang w:val="en-US" w:eastAsia="zh-CN"/>
              </w:rPr>
              <w:t>96.9</w:t>
            </w:r>
          </w:p>
        </w:tc>
        <w:tc>
          <w:tcPr>
            <w:tcW w:w="2675"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-3.1</w:t>
            </w:r>
          </w:p>
        </w:tc>
      </w:tr>
      <w:tr>
        <w:tblPrEx>
          <w:tblCellMar>
            <w:top w:w="0" w:type="dxa"/>
            <w:left w:w="0" w:type="dxa"/>
            <w:bottom w:w="0" w:type="dxa"/>
            <w:right w:w="0" w:type="dxa"/>
          </w:tblCellMar>
        </w:tblPrEx>
        <w:trPr>
          <w:trHeight w:val="567" w:hRule="exact"/>
        </w:trPr>
        <w:tc>
          <w:tcPr>
            <w:tcW w:w="2781"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left"/>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 xml:space="preserve">        衣  着</w:t>
            </w:r>
          </w:p>
        </w:tc>
        <w:tc>
          <w:tcPr>
            <w:tcW w:w="2775"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kern w:val="2"/>
                <w:sz w:val="24"/>
                <w:szCs w:val="24"/>
                <w:u w:val="none"/>
                <w:lang w:val="en-US" w:eastAsia="zh-CN" w:bidi="ar-SA"/>
              </w:rPr>
            </w:pPr>
            <w:r>
              <w:rPr>
                <w:rFonts w:hint="eastAsia" w:ascii="Times New Roman" w:hAnsi="Times New Roman" w:eastAsia="宋体" w:cs="Times New Roman"/>
                <w:i w:val="0"/>
                <w:color w:val="auto"/>
                <w:sz w:val="24"/>
                <w:szCs w:val="24"/>
                <w:u w:val="none"/>
                <w:lang w:val="en-US" w:eastAsia="zh-CN"/>
              </w:rPr>
              <w:t>102.8</w:t>
            </w:r>
          </w:p>
        </w:tc>
        <w:tc>
          <w:tcPr>
            <w:tcW w:w="2675"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2.8</w:t>
            </w:r>
          </w:p>
        </w:tc>
      </w:tr>
      <w:tr>
        <w:tblPrEx>
          <w:tblCellMar>
            <w:top w:w="0" w:type="dxa"/>
            <w:left w:w="0" w:type="dxa"/>
            <w:bottom w:w="0" w:type="dxa"/>
            <w:right w:w="0" w:type="dxa"/>
          </w:tblCellMar>
        </w:tblPrEx>
        <w:trPr>
          <w:trHeight w:val="567" w:hRule="exact"/>
        </w:trPr>
        <w:tc>
          <w:tcPr>
            <w:tcW w:w="2781"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left"/>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 xml:space="preserve">        居  住</w:t>
            </w:r>
          </w:p>
        </w:tc>
        <w:tc>
          <w:tcPr>
            <w:tcW w:w="2775"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kern w:val="2"/>
                <w:sz w:val="24"/>
                <w:szCs w:val="24"/>
                <w:u w:val="none"/>
                <w:lang w:val="en-US" w:eastAsia="zh-CN" w:bidi="ar-SA"/>
              </w:rPr>
            </w:pPr>
            <w:r>
              <w:rPr>
                <w:rFonts w:hint="eastAsia" w:ascii="Times New Roman" w:hAnsi="Times New Roman" w:eastAsia="宋体" w:cs="Times New Roman"/>
                <w:i w:val="0"/>
                <w:color w:val="auto"/>
                <w:sz w:val="24"/>
                <w:szCs w:val="24"/>
                <w:u w:val="none"/>
                <w:lang w:val="en-US" w:eastAsia="zh-CN"/>
              </w:rPr>
              <w:t>100.7</w:t>
            </w:r>
          </w:p>
        </w:tc>
        <w:tc>
          <w:tcPr>
            <w:tcW w:w="2675"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0.7</w:t>
            </w:r>
          </w:p>
        </w:tc>
      </w:tr>
      <w:tr>
        <w:tblPrEx>
          <w:tblCellMar>
            <w:top w:w="0" w:type="dxa"/>
            <w:left w:w="0" w:type="dxa"/>
            <w:bottom w:w="0" w:type="dxa"/>
            <w:right w:w="0" w:type="dxa"/>
          </w:tblCellMar>
        </w:tblPrEx>
        <w:trPr>
          <w:trHeight w:val="567" w:hRule="exact"/>
        </w:trPr>
        <w:tc>
          <w:tcPr>
            <w:tcW w:w="2781"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left"/>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 xml:space="preserve">        生活用品及服务</w:t>
            </w:r>
          </w:p>
        </w:tc>
        <w:tc>
          <w:tcPr>
            <w:tcW w:w="2775"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102.2</w:t>
            </w:r>
          </w:p>
        </w:tc>
        <w:tc>
          <w:tcPr>
            <w:tcW w:w="2675"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2.2</w:t>
            </w:r>
          </w:p>
        </w:tc>
      </w:tr>
      <w:tr>
        <w:tblPrEx>
          <w:tblCellMar>
            <w:top w:w="0" w:type="dxa"/>
            <w:left w:w="0" w:type="dxa"/>
            <w:bottom w:w="0" w:type="dxa"/>
            <w:right w:w="0" w:type="dxa"/>
          </w:tblCellMar>
        </w:tblPrEx>
        <w:trPr>
          <w:trHeight w:val="567" w:hRule="exact"/>
        </w:trPr>
        <w:tc>
          <w:tcPr>
            <w:tcW w:w="2781"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left"/>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 xml:space="preserve">        交通通信</w:t>
            </w:r>
          </w:p>
        </w:tc>
        <w:tc>
          <w:tcPr>
            <w:tcW w:w="2775"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100.2</w:t>
            </w:r>
          </w:p>
        </w:tc>
        <w:tc>
          <w:tcPr>
            <w:tcW w:w="2675"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0.2</w:t>
            </w:r>
          </w:p>
        </w:tc>
      </w:tr>
      <w:tr>
        <w:tblPrEx>
          <w:tblCellMar>
            <w:top w:w="0" w:type="dxa"/>
            <w:left w:w="0" w:type="dxa"/>
            <w:bottom w:w="0" w:type="dxa"/>
            <w:right w:w="0" w:type="dxa"/>
          </w:tblCellMar>
        </w:tblPrEx>
        <w:trPr>
          <w:trHeight w:val="567" w:hRule="exact"/>
        </w:trPr>
        <w:tc>
          <w:tcPr>
            <w:tcW w:w="2781"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left"/>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 xml:space="preserve">        教育文化娱乐</w:t>
            </w:r>
          </w:p>
        </w:tc>
        <w:tc>
          <w:tcPr>
            <w:tcW w:w="2775"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102.2</w:t>
            </w:r>
          </w:p>
        </w:tc>
        <w:tc>
          <w:tcPr>
            <w:tcW w:w="2675"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2.2</w:t>
            </w:r>
          </w:p>
        </w:tc>
      </w:tr>
      <w:tr>
        <w:tblPrEx>
          <w:tblCellMar>
            <w:top w:w="0" w:type="dxa"/>
            <w:left w:w="0" w:type="dxa"/>
            <w:bottom w:w="0" w:type="dxa"/>
            <w:right w:w="0" w:type="dxa"/>
          </w:tblCellMar>
        </w:tblPrEx>
        <w:trPr>
          <w:trHeight w:val="567" w:hRule="exact"/>
        </w:trPr>
        <w:tc>
          <w:tcPr>
            <w:tcW w:w="2781"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left"/>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 xml:space="preserve">        医疗保健</w:t>
            </w:r>
          </w:p>
        </w:tc>
        <w:tc>
          <w:tcPr>
            <w:tcW w:w="2775"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101.2</w:t>
            </w:r>
          </w:p>
        </w:tc>
        <w:tc>
          <w:tcPr>
            <w:tcW w:w="2675"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1.2</w:t>
            </w:r>
          </w:p>
        </w:tc>
      </w:tr>
      <w:tr>
        <w:tblPrEx>
          <w:tblCellMar>
            <w:top w:w="0" w:type="dxa"/>
            <w:left w:w="0" w:type="dxa"/>
            <w:bottom w:w="0" w:type="dxa"/>
            <w:right w:w="0" w:type="dxa"/>
          </w:tblCellMar>
        </w:tblPrEx>
        <w:trPr>
          <w:trHeight w:val="567" w:hRule="exact"/>
        </w:trPr>
        <w:tc>
          <w:tcPr>
            <w:tcW w:w="2781"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left"/>
              <w:textAlignment w:val="center"/>
              <w:rPr>
                <w:rFonts w:hint="eastAsia" w:ascii="宋体" w:hAnsi="宋体" w:eastAsia="宋体" w:cs="宋体"/>
                <w:i w:val="0"/>
                <w:color w:val="auto"/>
                <w:sz w:val="24"/>
                <w:szCs w:val="24"/>
                <w:u w:val="none"/>
              </w:rPr>
            </w:pPr>
            <w:r>
              <w:rPr>
                <w:rFonts w:hint="eastAsia" w:ascii="宋体" w:hAnsi="宋体" w:eastAsia="宋体" w:cs="宋体"/>
                <w:i w:val="0"/>
                <w:color w:val="auto"/>
                <w:kern w:val="0"/>
                <w:sz w:val="24"/>
                <w:szCs w:val="24"/>
                <w:u w:val="none"/>
                <w:lang w:val="en-US" w:eastAsia="zh-CN" w:bidi="ar"/>
              </w:rPr>
              <w:t xml:space="preserve">        其他用品及服务</w:t>
            </w:r>
          </w:p>
        </w:tc>
        <w:tc>
          <w:tcPr>
            <w:tcW w:w="2775"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104.3</w:t>
            </w:r>
          </w:p>
        </w:tc>
        <w:tc>
          <w:tcPr>
            <w:tcW w:w="2675"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sz w:val="24"/>
                <w:szCs w:val="24"/>
                <w:u w:val="none"/>
                <w:lang w:val="en-US" w:eastAsia="zh-CN"/>
              </w:rPr>
            </w:pPr>
            <w:r>
              <w:rPr>
                <w:rFonts w:hint="eastAsia" w:ascii="Times New Roman" w:hAnsi="Times New Roman" w:eastAsia="宋体" w:cs="Times New Roman"/>
                <w:i w:val="0"/>
                <w:color w:val="auto"/>
                <w:sz w:val="24"/>
                <w:szCs w:val="24"/>
                <w:u w:val="none"/>
                <w:lang w:val="en-US" w:eastAsia="zh-CN"/>
              </w:rPr>
              <w:t>4.3</w:t>
            </w:r>
          </w:p>
        </w:tc>
      </w:tr>
    </w:tbl>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color w:val="000000" w:themeColor="text1"/>
          <w:sz w:val="32"/>
          <w:szCs w:val="32"/>
          <w:highlight w:val="none"/>
          <w14:textFill>
            <w14:solidFill>
              <w14:schemeClr w14:val="tx1"/>
            </w14:solidFill>
          </w14:textFill>
        </w:rPr>
      </w:pPr>
      <w:r>
        <w:rPr>
          <w:rFonts w:hint="eastAsia" w:ascii="黑体" w:hAnsi="黑体" w:eastAsia="黑体" w:cs="黑体"/>
          <w:color w:val="000000" w:themeColor="text1"/>
          <w:sz w:val="32"/>
          <w:szCs w:val="32"/>
          <w:highlight w:val="none"/>
          <w14:textFill>
            <w14:solidFill>
              <w14:schemeClr w14:val="tx1"/>
            </w14:solidFill>
          </w14:textFill>
        </w:rPr>
        <w:t>二、农业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auto"/>
          <w:kern w:val="0"/>
          <w:sz w:val="32"/>
          <w:highlight w:val="none"/>
        </w:rPr>
      </w:pPr>
      <w:r>
        <w:rPr>
          <w:rFonts w:hint="default" w:ascii="Times New Roman" w:hAnsi="Times New Roman" w:eastAsia="方正仿宋简体" w:cs="Times New Roman"/>
          <w:color w:val="auto"/>
          <w:kern w:val="0"/>
          <w:sz w:val="32"/>
          <w:highlight w:val="none"/>
        </w:rPr>
        <w:t>全年农林牧渔业总产值比上年增长6.3%。农业产值增长5.2%；林业产值增长43.9%；畜牧业产值增长5.8%；渔业产值增长28.3%；农林牧渔</w:t>
      </w:r>
      <w:r>
        <w:rPr>
          <w:rFonts w:hint="eastAsia" w:ascii="Times New Roman" w:hAnsi="Times New Roman" w:eastAsia="方正仿宋简体" w:cs="Times New Roman"/>
          <w:color w:val="auto"/>
          <w:kern w:val="0"/>
          <w:sz w:val="32"/>
          <w:highlight w:val="none"/>
          <w:lang w:val="en-US" w:eastAsia="zh-CN"/>
        </w:rPr>
        <w:t>专业及辅助性活动</w:t>
      </w:r>
      <w:r>
        <w:rPr>
          <w:rFonts w:hint="default" w:ascii="Times New Roman" w:hAnsi="Times New Roman" w:eastAsia="方正仿宋简体" w:cs="Times New Roman"/>
          <w:color w:val="auto"/>
          <w:kern w:val="0"/>
          <w:sz w:val="32"/>
          <w:highlight w:val="none"/>
        </w:rPr>
        <w:t>产值增长17.6%。</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auto"/>
          <w:kern w:val="0"/>
          <w:sz w:val="32"/>
          <w:highlight w:val="none"/>
        </w:rPr>
      </w:pPr>
      <w:r>
        <w:rPr>
          <w:rFonts w:hint="default" w:ascii="Times New Roman" w:hAnsi="Times New Roman" w:eastAsia="方正仿宋简体" w:cs="Times New Roman"/>
          <w:color w:val="auto"/>
          <w:kern w:val="0"/>
          <w:sz w:val="32"/>
          <w:highlight w:val="none"/>
        </w:rPr>
        <w:t>全年粮食播种面积增长11.4%。小麦播种面积增长7.7%；玉米播种面积增长17.4%。</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color w:val="auto"/>
          <w:kern w:val="0"/>
          <w:sz w:val="32"/>
          <w:highlight w:val="none"/>
        </w:rPr>
      </w:pPr>
      <w:r>
        <w:rPr>
          <w:rFonts w:hint="default" w:ascii="Times New Roman" w:hAnsi="Times New Roman" w:eastAsia="方正仿宋简体" w:cs="Times New Roman"/>
          <w:color w:val="auto"/>
          <w:kern w:val="0"/>
          <w:sz w:val="32"/>
          <w:highlight w:val="none"/>
        </w:rPr>
        <w:t>全年粮食总产量增长19.4%。小麦产量增长14.9%；玉米产量增长27.1%。</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简体" w:hAnsi="方正仿宋简体" w:eastAsia="方正仿宋简体" w:cs="方正仿宋简体"/>
          <w:color w:val="0000FF"/>
          <w:kern w:val="0"/>
          <w:sz w:val="32"/>
          <w:highlight w:val="none"/>
        </w:rPr>
      </w:pPr>
      <w:r>
        <w:drawing>
          <wp:anchor distT="0" distB="0" distL="114300" distR="114300" simplePos="0" relativeHeight="251675648" behindDoc="0" locked="0" layoutInCell="1" allowOverlap="1">
            <wp:simplePos x="0" y="0"/>
            <wp:positionH relativeFrom="column">
              <wp:posOffset>142875</wp:posOffset>
            </wp:positionH>
            <wp:positionV relativeFrom="paragraph">
              <wp:posOffset>132715</wp:posOffset>
            </wp:positionV>
            <wp:extent cx="5268595" cy="2522855"/>
            <wp:effectExtent l="0" t="0" r="8255" b="10795"/>
            <wp:wrapTopAndBottom/>
            <wp:docPr id="1180765"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r>
        <w:rPr>
          <w:rFonts w:hint="eastAsia"/>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580" w:lineRule="exact"/>
        <w:textAlignment w:val="auto"/>
        <w:rPr>
          <w:rFonts w:hint="default" w:ascii="Times New Roman" w:hAnsi="Times New Roman" w:eastAsia="方正仿宋简体" w:cs="Times New Roman"/>
          <w:color w:val="auto"/>
          <w:kern w:val="2"/>
          <w:sz w:val="32"/>
          <w:szCs w:val="32"/>
          <w:highlight w:val="none"/>
          <w:lang w:val="en-US" w:eastAsia="zh-CN" w:bidi="ar-SA"/>
        </w:rPr>
      </w:pPr>
      <w:r>
        <w:rPr>
          <w:rFonts w:hint="eastAsia"/>
          <w:lang w:val="en-US" w:eastAsia="zh-CN"/>
        </w:rPr>
        <w:t xml:space="preserve">      </w:t>
      </w:r>
      <w:r>
        <w:rPr>
          <w:rFonts w:hint="default" w:ascii="Times New Roman" w:hAnsi="Times New Roman" w:eastAsia="方正仿宋简体" w:cs="Times New Roman"/>
          <w:color w:val="auto"/>
          <w:kern w:val="2"/>
          <w:sz w:val="32"/>
          <w:szCs w:val="32"/>
          <w:highlight w:val="none"/>
          <w:lang w:val="en-US" w:eastAsia="zh-CN" w:bidi="ar-SA"/>
        </w:rPr>
        <w:t>全年特色林果产量比上年下降11.5%。园林水果产量下降6.1%；坚果产量下降22.3%；瓜果类产量下降17.5%。</w:t>
      </w:r>
    </w:p>
    <w:p>
      <w:pPr>
        <w:keepNext w:val="0"/>
        <w:keepLines w:val="0"/>
        <w:pageBreakBefore w:val="0"/>
        <w:widowControl w:val="0"/>
        <w:kinsoku/>
        <w:wordWrap/>
        <w:overflowPunct/>
        <w:topLinePunct w:val="0"/>
        <w:autoSpaceDE/>
        <w:autoSpaceDN/>
        <w:bidi w:val="0"/>
        <w:adjustRightInd/>
        <w:snapToGrid/>
        <w:spacing w:line="280" w:lineRule="exact"/>
        <w:ind w:firstLine="652"/>
        <w:textAlignment w:val="auto"/>
        <w:rPr>
          <w:rFonts w:hint="default" w:ascii="Times New Roman" w:hAnsi="Times New Roman" w:eastAsia="方正仿宋简体" w:cs="Times New Roman"/>
          <w:color w:val="0000FF"/>
          <w:kern w:val="2"/>
          <w:sz w:val="32"/>
          <w:szCs w:val="32"/>
          <w:highlight w:val="none"/>
          <w:lang w:val="en-US" w:eastAsia="zh-CN" w:bidi="ar-SA"/>
        </w:rPr>
      </w:pPr>
    </w:p>
    <w:p>
      <w:pPr>
        <w:keepNext w:val="0"/>
        <w:keepLines w:val="0"/>
        <w:pageBreakBefore w:val="0"/>
        <w:widowControl w:val="0"/>
        <w:kinsoku/>
        <w:wordWrap/>
        <w:overflowPunct/>
        <w:topLinePunct w:val="0"/>
        <w:autoSpaceDE/>
        <w:autoSpaceDN/>
        <w:bidi w:val="0"/>
        <w:adjustRightInd/>
        <w:snapToGrid/>
        <w:spacing w:line="280" w:lineRule="exact"/>
        <w:ind w:firstLine="652"/>
        <w:textAlignment w:val="auto"/>
        <w:rPr>
          <w:rFonts w:hint="default" w:ascii="Times New Roman" w:hAnsi="Times New Roman" w:eastAsia="方正仿宋简体" w:cs="Times New Roman"/>
          <w:color w:val="0000FF"/>
          <w:kern w:val="2"/>
          <w:sz w:val="32"/>
          <w:szCs w:val="32"/>
          <w:highlight w:val="none"/>
          <w:lang w:val="en-US" w:eastAsia="zh-CN" w:bidi="ar-SA"/>
        </w:rPr>
      </w:pPr>
    </w:p>
    <w:tbl>
      <w:tblPr>
        <w:tblStyle w:val="5"/>
        <w:tblW w:w="8411" w:type="dxa"/>
        <w:tblInd w:w="0" w:type="dxa"/>
        <w:shd w:val="clear" w:color="auto" w:fill="auto"/>
        <w:tblLayout w:type="fixed"/>
        <w:tblCellMar>
          <w:top w:w="0" w:type="dxa"/>
          <w:left w:w="0" w:type="dxa"/>
          <w:bottom w:w="0" w:type="dxa"/>
          <w:right w:w="0" w:type="dxa"/>
        </w:tblCellMar>
      </w:tblPr>
      <w:tblGrid>
        <w:gridCol w:w="2325"/>
        <w:gridCol w:w="3033"/>
        <w:gridCol w:w="3053"/>
      </w:tblGrid>
      <w:tr>
        <w:tblPrEx>
          <w:tblCellMar>
            <w:top w:w="0" w:type="dxa"/>
            <w:left w:w="0" w:type="dxa"/>
            <w:bottom w:w="0" w:type="dxa"/>
            <w:right w:w="0" w:type="dxa"/>
          </w:tblCellMar>
        </w:tblPrEx>
        <w:trPr>
          <w:trHeight w:val="306" w:hRule="atLeast"/>
        </w:trPr>
        <w:tc>
          <w:tcPr>
            <w:tcW w:w="8411" w:type="dxa"/>
            <w:gridSpan w:val="3"/>
            <w:tcBorders>
              <w:top w:val="nil"/>
              <w:left w:val="nil"/>
              <w:bottom w:val="single" w:color="auto" w:sz="4" w:space="0"/>
              <w:right w:val="nil"/>
            </w:tcBorders>
            <w:shd w:val="clear" w:color="auto" w:fill="auto"/>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2"/>
                <w:szCs w:val="22"/>
                <w:u w:val="none"/>
              </w:rPr>
            </w:pPr>
            <w:r>
              <w:rPr>
                <w:rFonts w:hint="eastAsia" w:ascii="方正小标宋简体" w:hAnsi="方正小标宋简体" w:eastAsia="方正小标宋简体" w:cs="方正小标宋简体"/>
                <w:i w:val="0"/>
                <w:color w:val="auto"/>
                <w:kern w:val="0"/>
                <w:sz w:val="28"/>
                <w:szCs w:val="28"/>
                <w:u w:val="none"/>
                <w:lang w:val="en-US" w:eastAsia="zh-CN" w:bidi="ar"/>
              </w:rPr>
              <w:t>2024年全地区特色林果产量及增速</w:t>
            </w:r>
          </w:p>
        </w:tc>
      </w:tr>
      <w:tr>
        <w:tblPrEx>
          <w:shd w:val="clear" w:color="auto" w:fill="auto"/>
          <w:tblCellMar>
            <w:top w:w="0" w:type="dxa"/>
            <w:left w:w="0" w:type="dxa"/>
            <w:bottom w:w="0" w:type="dxa"/>
            <w:right w:w="0" w:type="dxa"/>
          </w:tblCellMar>
        </w:tblPrEx>
        <w:trPr>
          <w:trHeight w:val="306" w:hRule="atLeast"/>
        </w:trPr>
        <w:tc>
          <w:tcPr>
            <w:tcW w:w="2325" w:type="dxa"/>
            <w:tcBorders>
              <w:top w:val="single" w:color="auto" w:sz="4" w:space="0"/>
              <w:left w:val="single" w:color="auto" w:sz="4" w:space="0"/>
              <w:bottom w:val="single" w:color="auto" w:sz="4" w:space="0"/>
              <w:right w:val="single" w:color="auto" w:sz="4" w:space="0"/>
            </w:tcBorders>
            <w:shd w:val="clear" w:color="auto" w:fill="D7D7D7" w:themeFill="background1" w:themeFillShade="D8"/>
            <w:tcMar>
              <w:top w:w="15" w:type="dxa"/>
              <w:left w:w="15" w:type="dxa"/>
              <w:right w:w="15" w:type="dxa"/>
            </w:tcMar>
            <w:vAlign w:val="center"/>
          </w:tcPr>
          <w:p>
            <w:pPr>
              <w:keepNext w:val="0"/>
              <w:keepLines w:val="0"/>
              <w:widowControl/>
              <w:suppressLineNumbers w:val="0"/>
              <w:jc w:val="center"/>
              <w:textAlignment w:val="center"/>
              <w:rPr>
                <w:rFonts w:hint="eastAsia" w:ascii="黑体" w:hAnsi="黑体" w:eastAsia="黑体" w:cs="黑体"/>
                <w:i w:val="0"/>
                <w:color w:val="auto"/>
                <w:sz w:val="24"/>
                <w:szCs w:val="24"/>
                <w:u w:val="none"/>
              </w:rPr>
            </w:pPr>
            <w:r>
              <w:rPr>
                <w:rFonts w:hint="eastAsia" w:ascii="黑体" w:hAnsi="黑体" w:eastAsia="黑体" w:cs="黑体"/>
                <w:i w:val="0"/>
                <w:color w:val="auto"/>
                <w:kern w:val="0"/>
                <w:sz w:val="24"/>
                <w:szCs w:val="24"/>
                <w:u w:val="none"/>
                <w:lang w:val="en-US" w:eastAsia="zh-CN" w:bidi="ar"/>
              </w:rPr>
              <w:t>指 标</w:t>
            </w:r>
          </w:p>
        </w:tc>
        <w:tc>
          <w:tcPr>
            <w:tcW w:w="3033" w:type="dxa"/>
            <w:tcBorders>
              <w:top w:val="single" w:color="auto" w:sz="4" w:space="0"/>
              <w:left w:val="single" w:color="auto" w:sz="4" w:space="0"/>
              <w:bottom w:val="single" w:color="auto" w:sz="4" w:space="0"/>
              <w:right w:val="single" w:color="auto" w:sz="4" w:space="0"/>
            </w:tcBorders>
            <w:shd w:val="clear" w:color="auto" w:fill="D7D7D7" w:themeFill="background1" w:themeFillShade="D8"/>
            <w:tcMar>
              <w:top w:w="15" w:type="dxa"/>
              <w:left w:w="15" w:type="dxa"/>
              <w:right w:w="15" w:type="dxa"/>
            </w:tcMar>
            <w:vAlign w:val="center"/>
          </w:tcPr>
          <w:p>
            <w:pPr>
              <w:keepNext w:val="0"/>
              <w:keepLines w:val="0"/>
              <w:widowControl/>
              <w:suppressLineNumbers w:val="0"/>
              <w:jc w:val="center"/>
              <w:textAlignment w:val="center"/>
              <w:rPr>
                <w:rFonts w:hint="eastAsia" w:ascii="黑体" w:hAnsi="黑体" w:eastAsia="黑体" w:cs="黑体"/>
                <w:i w:val="0"/>
                <w:color w:val="auto"/>
                <w:sz w:val="24"/>
                <w:szCs w:val="24"/>
                <w:u w:val="none"/>
              </w:rPr>
            </w:pPr>
            <w:r>
              <w:rPr>
                <w:rFonts w:hint="eastAsia" w:ascii="黑体" w:hAnsi="黑体" w:eastAsia="黑体" w:cs="黑体"/>
                <w:i w:val="0"/>
                <w:color w:val="auto"/>
                <w:kern w:val="0"/>
                <w:sz w:val="24"/>
                <w:szCs w:val="24"/>
                <w:u w:val="none"/>
                <w:lang w:val="en-US" w:eastAsia="zh-CN" w:bidi="ar"/>
              </w:rPr>
              <w:t>产量（万吨）</w:t>
            </w:r>
          </w:p>
        </w:tc>
        <w:tc>
          <w:tcPr>
            <w:tcW w:w="3053" w:type="dxa"/>
            <w:tcBorders>
              <w:top w:val="single" w:color="auto" w:sz="4" w:space="0"/>
              <w:left w:val="single" w:color="auto" w:sz="4" w:space="0"/>
              <w:bottom w:val="single" w:color="auto" w:sz="4" w:space="0"/>
              <w:right w:val="single" w:color="auto" w:sz="4" w:space="0"/>
            </w:tcBorders>
            <w:shd w:val="clear" w:color="auto" w:fill="D7D7D7" w:themeFill="background1" w:themeFillShade="D8"/>
            <w:tcMar>
              <w:top w:w="15" w:type="dxa"/>
              <w:left w:w="15" w:type="dxa"/>
              <w:right w:w="15" w:type="dxa"/>
            </w:tcMar>
            <w:vAlign w:val="center"/>
          </w:tcPr>
          <w:p>
            <w:pPr>
              <w:keepNext w:val="0"/>
              <w:keepLines w:val="0"/>
              <w:widowControl/>
              <w:suppressLineNumbers w:val="0"/>
              <w:jc w:val="center"/>
              <w:textAlignment w:val="center"/>
              <w:rPr>
                <w:rFonts w:hint="eastAsia" w:ascii="黑体" w:hAnsi="黑体" w:eastAsia="黑体" w:cs="黑体"/>
                <w:i w:val="0"/>
                <w:color w:val="auto"/>
                <w:sz w:val="24"/>
                <w:szCs w:val="24"/>
                <w:u w:val="none"/>
              </w:rPr>
            </w:pPr>
            <w:r>
              <w:rPr>
                <w:rFonts w:hint="eastAsia" w:ascii="黑体" w:hAnsi="黑体" w:eastAsia="黑体" w:cs="黑体"/>
                <w:i w:val="0"/>
                <w:color w:val="auto"/>
                <w:kern w:val="0"/>
                <w:sz w:val="24"/>
                <w:szCs w:val="24"/>
                <w:u w:val="none"/>
                <w:lang w:val="en-US" w:eastAsia="zh-CN" w:bidi="ar"/>
              </w:rPr>
              <w:t>比上年增长（%）</w:t>
            </w:r>
          </w:p>
        </w:tc>
      </w:tr>
      <w:tr>
        <w:tblPrEx>
          <w:tblCellMar>
            <w:top w:w="0" w:type="dxa"/>
            <w:left w:w="0" w:type="dxa"/>
            <w:bottom w:w="0" w:type="dxa"/>
            <w:right w:w="0" w:type="dxa"/>
          </w:tblCellMar>
        </w:tblPrEx>
        <w:trPr>
          <w:trHeight w:val="306" w:hRule="atLeast"/>
        </w:trPr>
        <w:tc>
          <w:tcPr>
            <w:tcW w:w="232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bCs/>
                <w:i w:val="0"/>
                <w:color w:val="0000FF"/>
                <w:sz w:val="24"/>
                <w:szCs w:val="24"/>
                <w:u w:val="none"/>
              </w:rPr>
            </w:pPr>
            <w:r>
              <w:rPr>
                <w:rFonts w:hint="eastAsia" w:ascii="宋体" w:hAnsi="宋体" w:eastAsia="宋体" w:cs="宋体"/>
                <w:b/>
                <w:bCs/>
                <w:i w:val="0"/>
                <w:color w:val="000000"/>
                <w:kern w:val="0"/>
                <w:sz w:val="24"/>
                <w:szCs w:val="24"/>
                <w:u w:val="none"/>
                <w:lang w:val="en-US" w:eastAsia="zh-CN" w:bidi="ar"/>
              </w:rPr>
              <w:t>特色林果</w:t>
            </w:r>
          </w:p>
        </w:tc>
        <w:tc>
          <w:tcPr>
            <w:tcW w:w="3033"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FF"/>
                <w:sz w:val="24"/>
                <w:szCs w:val="24"/>
                <w:u w:val="none"/>
                <w:lang w:val="en-US"/>
              </w:rPr>
            </w:pPr>
            <w:r>
              <w:rPr>
                <w:rFonts w:hint="default" w:ascii="Times New Roman" w:hAnsi="Times New Roman" w:eastAsia="Tahoma" w:cs="Times New Roman"/>
                <w:i w:val="0"/>
                <w:iCs w:val="0"/>
                <w:color w:val="000000"/>
                <w:kern w:val="0"/>
                <w:sz w:val="24"/>
                <w:szCs w:val="24"/>
                <w:u w:val="none"/>
                <w:lang w:val="en-US" w:eastAsia="zh-CN" w:bidi="ar"/>
              </w:rPr>
              <w:t>113.27</w:t>
            </w:r>
          </w:p>
        </w:tc>
        <w:tc>
          <w:tcPr>
            <w:tcW w:w="3053"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FF"/>
                <w:sz w:val="24"/>
                <w:szCs w:val="24"/>
                <w:u w:val="none"/>
              </w:rPr>
            </w:pPr>
            <w:r>
              <w:rPr>
                <w:rFonts w:hint="default" w:ascii="Times New Roman" w:hAnsi="Times New Roman" w:eastAsia="Tahoma" w:cs="Times New Roman"/>
                <w:i w:val="0"/>
                <w:iCs w:val="0"/>
                <w:color w:val="000000"/>
                <w:kern w:val="0"/>
                <w:sz w:val="24"/>
                <w:szCs w:val="24"/>
                <w:u w:val="none"/>
                <w:lang w:val="en-US" w:eastAsia="zh-CN" w:bidi="ar"/>
              </w:rPr>
              <w:t xml:space="preserve">-11.5 </w:t>
            </w:r>
          </w:p>
        </w:tc>
      </w:tr>
      <w:tr>
        <w:tblPrEx>
          <w:tblCellMar>
            <w:top w:w="0" w:type="dxa"/>
            <w:left w:w="0" w:type="dxa"/>
            <w:bottom w:w="0" w:type="dxa"/>
            <w:right w:w="0" w:type="dxa"/>
          </w:tblCellMar>
        </w:tblPrEx>
        <w:trPr>
          <w:trHeight w:val="306" w:hRule="atLeast"/>
        </w:trPr>
        <w:tc>
          <w:tcPr>
            <w:tcW w:w="232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bCs/>
                <w:i w:val="0"/>
                <w:color w:val="0000FF"/>
                <w:sz w:val="24"/>
                <w:szCs w:val="24"/>
                <w:highlight w:val="none"/>
                <w:u w:val="none"/>
              </w:rPr>
            </w:pPr>
            <w:r>
              <w:rPr>
                <w:rFonts w:hint="eastAsia" w:ascii="宋体" w:hAnsi="宋体" w:eastAsia="宋体" w:cs="宋体"/>
                <w:b/>
                <w:bCs/>
                <w:i w:val="0"/>
                <w:color w:val="000000"/>
                <w:kern w:val="0"/>
                <w:sz w:val="24"/>
                <w:szCs w:val="24"/>
                <w:highlight w:val="none"/>
                <w:u w:val="none"/>
                <w:lang w:val="en-US" w:eastAsia="zh-CN" w:bidi="ar"/>
              </w:rPr>
              <w:t xml:space="preserve">    #园林水果</w:t>
            </w:r>
          </w:p>
        </w:tc>
        <w:tc>
          <w:tcPr>
            <w:tcW w:w="3033"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FF"/>
                <w:sz w:val="24"/>
                <w:szCs w:val="24"/>
                <w:highlight w:val="none"/>
                <w:u w:val="none"/>
                <w:lang w:val="en-US"/>
              </w:rPr>
            </w:pPr>
            <w:r>
              <w:rPr>
                <w:rFonts w:hint="default" w:ascii="Times New Roman" w:hAnsi="Times New Roman" w:eastAsia="Tahoma" w:cs="Times New Roman"/>
                <w:i w:val="0"/>
                <w:iCs w:val="0"/>
                <w:color w:val="000000"/>
                <w:kern w:val="0"/>
                <w:sz w:val="24"/>
                <w:szCs w:val="24"/>
                <w:u w:val="none"/>
                <w:lang w:val="en-US" w:eastAsia="zh-CN" w:bidi="ar"/>
              </w:rPr>
              <w:t>75.32</w:t>
            </w:r>
          </w:p>
        </w:tc>
        <w:tc>
          <w:tcPr>
            <w:tcW w:w="3053"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FF"/>
                <w:sz w:val="24"/>
                <w:szCs w:val="24"/>
                <w:highlight w:val="none"/>
                <w:u w:val="none"/>
              </w:rPr>
            </w:pPr>
            <w:r>
              <w:rPr>
                <w:rFonts w:hint="default" w:ascii="Times New Roman" w:hAnsi="Times New Roman" w:eastAsia="Tahoma" w:cs="Times New Roman"/>
                <w:i w:val="0"/>
                <w:iCs w:val="0"/>
                <w:color w:val="000000"/>
                <w:kern w:val="0"/>
                <w:sz w:val="24"/>
                <w:szCs w:val="24"/>
                <w:u w:val="none"/>
                <w:lang w:val="en-US" w:eastAsia="zh-CN" w:bidi="ar"/>
              </w:rPr>
              <w:t xml:space="preserve">-6.1 </w:t>
            </w:r>
          </w:p>
        </w:tc>
      </w:tr>
      <w:tr>
        <w:tblPrEx>
          <w:tblCellMar>
            <w:top w:w="0" w:type="dxa"/>
            <w:left w:w="0" w:type="dxa"/>
            <w:bottom w:w="0" w:type="dxa"/>
            <w:right w:w="0" w:type="dxa"/>
          </w:tblCellMar>
        </w:tblPrEx>
        <w:trPr>
          <w:trHeight w:val="306" w:hRule="atLeast"/>
        </w:trPr>
        <w:tc>
          <w:tcPr>
            <w:tcW w:w="232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bCs/>
                <w:i w:val="0"/>
                <w:color w:val="0000FF"/>
                <w:sz w:val="24"/>
                <w:szCs w:val="24"/>
                <w:u w:val="none"/>
              </w:rPr>
            </w:pPr>
            <w:r>
              <w:rPr>
                <w:rFonts w:hint="eastAsia" w:ascii="宋体" w:hAnsi="宋体" w:eastAsia="宋体" w:cs="宋体"/>
                <w:b/>
                <w:bCs/>
                <w:i w:val="0"/>
                <w:color w:val="000000"/>
                <w:kern w:val="0"/>
                <w:sz w:val="24"/>
                <w:szCs w:val="24"/>
                <w:u w:val="none"/>
                <w:lang w:val="en-US" w:eastAsia="zh-CN" w:bidi="ar"/>
              </w:rPr>
              <w:t xml:space="preserve">       红枣</w:t>
            </w:r>
          </w:p>
        </w:tc>
        <w:tc>
          <w:tcPr>
            <w:tcW w:w="3033"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FF"/>
                <w:sz w:val="24"/>
                <w:szCs w:val="24"/>
                <w:u w:val="none"/>
              </w:rPr>
            </w:pPr>
            <w:r>
              <w:rPr>
                <w:rFonts w:hint="default" w:ascii="Times New Roman" w:hAnsi="Times New Roman" w:eastAsia="Tahoma" w:cs="Times New Roman"/>
                <w:i w:val="0"/>
                <w:iCs w:val="0"/>
                <w:color w:val="000000"/>
                <w:kern w:val="0"/>
                <w:sz w:val="24"/>
                <w:szCs w:val="24"/>
                <w:u w:val="none"/>
                <w:lang w:val="en-US" w:eastAsia="zh-CN" w:bidi="ar"/>
              </w:rPr>
              <w:t>21.86</w:t>
            </w:r>
          </w:p>
        </w:tc>
        <w:tc>
          <w:tcPr>
            <w:tcW w:w="3053"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FF"/>
                <w:sz w:val="24"/>
                <w:szCs w:val="24"/>
                <w:u w:val="none"/>
              </w:rPr>
            </w:pPr>
            <w:r>
              <w:rPr>
                <w:rFonts w:hint="default" w:ascii="Times New Roman" w:hAnsi="Times New Roman" w:eastAsia="Tahoma" w:cs="Times New Roman"/>
                <w:i w:val="0"/>
                <w:iCs w:val="0"/>
                <w:color w:val="000000"/>
                <w:kern w:val="0"/>
                <w:sz w:val="24"/>
                <w:szCs w:val="24"/>
                <w:u w:val="none"/>
                <w:lang w:val="en-US" w:eastAsia="zh-CN" w:bidi="ar"/>
              </w:rPr>
              <w:t xml:space="preserve">-14.8 </w:t>
            </w:r>
          </w:p>
        </w:tc>
      </w:tr>
      <w:tr>
        <w:tblPrEx>
          <w:tblCellMar>
            <w:top w:w="0" w:type="dxa"/>
            <w:left w:w="0" w:type="dxa"/>
            <w:bottom w:w="0" w:type="dxa"/>
            <w:right w:w="0" w:type="dxa"/>
          </w:tblCellMar>
        </w:tblPrEx>
        <w:trPr>
          <w:trHeight w:val="306" w:hRule="atLeast"/>
        </w:trPr>
        <w:tc>
          <w:tcPr>
            <w:tcW w:w="232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bCs/>
                <w:i w:val="0"/>
                <w:color w:val="0000FF"/>
                <w:sz w:val="24"/>
                <w:szCs w:val="24"/>
                <w:u w:val="none"/>
              </w:rPr>
            </w:pPr>
            <w:r>
              <w:rPr>
                <w:rFonts w:hint="eastAsia" w:ascii="宋体" w:hAnsi="宋体" w:eastAsia="宋体" w:cs="宋体"/>
                <w:b/>
                <w:bCs/>
                <w:i w:val="0"/>
                <w:color w:val="000000"/>
                <w:kern w:val="0"/>
                <w:sz w:val="24"/>
                <w:szCs w:val="24"/>
                <w:u w:val="none"/>
                <w:lang w:val="en-US" w:eastAsia="zh-CN" w:bidi="ar"/>
              </w:rPr>
              <w:t xml:space="preserve">       梨子</w:t>
            </w:r>
          </w:p>
        </w:tc>
        <w:tc>
          <w:tcPr>
            <w:tcW w:w="3033"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FF"/>
                <w:sz w:val="24"/>
                <w:szCs w:val="24"/>
                <w:u w:val="none"/>
              </w:rPr>
            </w:pPr>
            <w:r>
              <w:rPr>
                <w:rFonts w:hint="default" w:ascii="Times New Roman" w:hAnsi="Times New Roman" w:eastAsia="Tahoma" w:cs="Times New Roman"/>
                <w:i w:val="0"/>
                <w:iCs w:val="0"/>
                <w:color w:val="000000"/>
                <w:kern w:val="0"/>
                <w:sz w:val="24"/>
                <w:szCs w:val="24"/>
                <w:u w:val="none"/>
                <w:lang w:val="en-US" w:eastAsia="zh-CN" w:bidi="ar"/>
              </w:rPr>
              <w:t>0.45</w:t>
            </w:r>
          </w:p>
        </w:tc>
        <w:tc>
          <w:tcPr>
            <w:tcW w:w="3053"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FF"/>
                <w:sz w:val="24"/>
                <w:szCs w:val="24"/>
                <w:u w:val="none"/>
              </w:rPr>
            </w:pPr>
            <w:r>
              <w:rPr>
                <w:rFonts w:hint="default" w:ascii="Times New Roman" w:hAnsi="Times New Roman" w:eastAsia="Tahoma" w:cs="Times New Roman"/>
                <w:i w:val="0"/>
                <w:iCs w:val="0"/>
                <w:color w:val="000000"/>
                <w:kern w:val="0"/>
                <w:sz w:val="24"/>
                <w:szCs w:val="24"/>
                <w:u w:val="none"/>
                <w:lang w:val="en-US" w:eastAsia="zh-CN" w:bidi="ar"/>
              </w:rPr>
              <w:t xml:space="preserve">4.7 </w:t>
            </w:r>
          </w:p>
        </w:tc>
      </w:tr>
      <w:tr>
        <w:tblPrEx>
          <w:tblCellMar>
            <w:top w:w="0" w:type="dxa"/>
            <w:left w:w="0" w:type="dxa"/>
            <w:bottom w:w="0" w:type="dxa"/>
            <w:right w:w="0" w:type="dxa"/>
          </w:tblCellMar>
        </w:tblPrEx>
        <w:trPr>
          <w:trHeight w:val="306" w:hRule="atLeast"/>
        </w:trPr>
        <w:tc>
          <w:tcPr>
            <w:tcW w:w="232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bCs/>
                <w:i w:val="0"/>
                <w:color w:val="0000FF"/>
                <w:sz w:val="24"/>
                <w:szCs w:val="24"/>
                <w:highlight w:val="none"/>
                <w:u w:val="none"/>
              </w:rPr>
            </w:pPr>
            <w:r>
              <w:rPr>
                <w:rFonts w:hint="eastAsia" w:ascii="宋体" w:hAnsi="宋体" w:eastAsia="宋体" w:cs="宋体"/>
                <w:b/>
                <w:bCs/>
                <w:i w:val="0"/>
                <w:color w:val="000000"/>
                <w:kern w:val="0"/>
                <w:sz w:val="24"/>
                <w:szCs w:val="24"/>
                <w:highlight w:val="none"/>
                <w:u w:val="none"/>
                <w:lang w:val="en-US" w:eastAsia="zh-CN" w:bidi="ar"/>
              </w:rPr>
              <w:t xml:space="preserve">       葡萄</w:t>
            </w:r>
          </w:p>
        </w:tc>
        <w:tc>
          <w:tcPr>
            <w:tcW w:w="3033"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FF"/>
                <w:sz w:val="24"/>
                <w:szCs w:val="24"/>
                <w:highlight w:val="none"/>
                <w:u w:val="none"/>
                <w:lang w:val="en-US"/>
              </w:rPr>
            </w:pPr>
            <w:r>
              <w:rPr>
                <w:rFonts w:hint="default" w:ascii="Times New Roman" w:hAnsi="Times New Roman" w:eastAsia="Tahoma" w:cs="Times New Roman"/>
                <w:i w:val="0"/>
                <w:iCs w:val="0"/>
                <w:color w:val="000000"/>
                <w:kern w:val="0"/>
                <w:sz w:val="24"/>
                <w:szCs w:val="24"/>
                <w:u w:val="none"/>
                <w:lang w:val="en-US" w:eastAsia="zh-CN" w:bidi="ar"/>
              </w:rPr>
              <w:t>31.98</w:t>
            </w:r>
          </w:p>
        </w:tc>
        <w:tc>
          <w:tcPr>
            <w:tcW w:w="3053"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FF"/>
                <w:sz w:val="24"/>
                <w:szCs w:val="24"/>
                <w:highlight w:val="none"/>
                <w:u w:val="none"/>
                <w:lang w:val="en-US"/>
              </w:rPr>
            </w:pPr>
            <w:r>
              <w:rPr>
                <w:rFonts w:hint="default" w:ascii="Times New Roman" w:hAnsi="Times New Roman" w:eastAsia="Tahoma" w:cs="Times New Roman"/>
                <w:i w:val="0"/>
                <w:iCs w:val="0"/>
                <w:color w:val="000000"/>
                <w:kern w:val="0"/>
                <w:sz w:val="24"/>
                <w:szCs w:val="24"/>
                <w:u w:val="none"/>
                <w:lang w:val="en-US" w:eastAsia="zh-CN" w:bidi="ar"/>
              </w:rPr>
              <w:t xml:space="preserve">-4.8 </w:t>
            </w:r>
          </w:p>
        </w:tc>
      </w:tr>
      <w:tr>
        <w:tblPrEx>
          <w:tblCellMar>
            <w:top w:w="0" w:type="dxa"/>
            <w:left w:w="0" w:type="dxa"/>
            <w:bottom w:w="0" w:type="dxa"/>
            <w:right w:w="0" w:type="dxa"/>
          </w:tblCellMar>
        </w:tblPrEx>
        <w:trPr>
          <w:trHeight w:val="306" w:hRule="atLeast"/>
        </w:trPr>
        <w:tc>
          <w:tcPr>
            <w:tcW w:w="232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bCs/>
                <w:i w:val="0"/>
                <w:color w:val="0000FF"/>
                <w:sz w:val="24"/>
                <w:szCs w:val="24"/>
                <w:u w:val="none"/>
              </w:rPr>
            </w:pPr>
            <w:r>
              <w:rPr>
                <w:rFonts w:hint="eastAsia" w:ascii="宋体" w:hAnsi="宋体" w:eastAsia="宋体" w:cs="宋体"/>
                <w:b/>
                <w:bCs/>
                <w:i w:val="0"/>
                <w:color w:val="000000"/>
                <w:kern w:val="0"/>
                <w:sz w:val="24"/>
                <w:szCs w:val="24"/>
                <w:u w:val="none"/>
                <w:lang w:val="en-US" w:eastAsia="zh-CN" w:bidi="ar"/>
              </w:rPr>
              <w:t xml:space="preserve">       苹果</w:t>
            </w:r>
          </w:p>
        </w:tc>
        <w:tc>
          <w:tcPr>
            <w:tcW w:w="3033"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FF"/>
                <w:sz w:val="24"/>
                <w:szCs w:val="24"/>
                <w:u w:val="none"/>
              </w:rPr>
            </w:pPr>
            <w:r>
              <w:rPr>
                <w:rFonts w:hint="default" w:ascii="Times New Roman" w:hAnsi="Times New Roman" w:eastAsia="Tahoma" w:cs="Times New Roman"/>
                <w:i w:val="0"/>
                <w:iCs w:val="0"/>
                <w:color w:val="000000"/>
                <w:kern w:val="0"/>
                <w:sz w:val="24"/>
                <w:szCs w:val="24"/>
                <w:u w:val="none"/>
                <w:lang w:val="en-US" w:eastAsia="zh-CN" w:bidi="ar"/>
              </w:rPr>
              <w:t>2.18</w:t>
            </w:r>
          </w:p>
        </w:tc>
        <w:tc>
          <w:tcPr>
            <w:tcW w:w="3053"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FF"/>
                <w:sz w:val="24"/>
                <w:szCs w:val="24"/>
                <w:u w:val="none"/>
                <w:lang w:val="en-US"/>
              </w:rPr>
            </w:pPr>
            <w:r>
              <w:rPr>
                <w:rFonts w:hint="default" w:ascii="Times New Roman" w:hAnsi="Times New Roman" w:eastAsia="Tahoma" w:cs="Times New Roman"/>
                <w:i w:val="0"/>
                <w:iCs w:val="0"/>
                <w:color w:val="000000"/>
                <w:kern w:val="0"/>
                <w:sz w:val="24"/>
                <w:szCs w:val="24"/>
                <w:u w:val="none"/>
                <w:lang w:val="en-US" w:eastAsia="zh-CN" w:bidi="ar"/>
              </w:rPr>
              <w:t xml:space="preserve">7.4 </w:t>
            </w:r>
          </w:p>
        </w:tc>
      </w:tr>
      <w:tr>
        <w:tblPrEx>
          <w:tblCellMar>
            <w:top w:w="0" w:type="dxa"/>
            <w:left w:w="0" w:type="dxa"/>
            <w:bottom w:w="0" w:type="dxa"/>
            <w:right w:w="0" w:type="dxa"/>
          </w:tblCellMar>
        </w:tblPrEx>
        <w:trPr>
          <w:trHeight w:val="306" w:hRule="atLeast"/>
        </w:trPr>
        <w:tc>
          <w:tcPr>
            <w:tcW w:w="232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bCs/>
                <w:i w:val="0"/>
                <w:color w:val="0000FF"/>
                <w:sz w:val="24"/>
                <w:szCs w:val="24"/>
                <w:highlight w:val="none"/>
                <w:u w:val="none"/>
              </w:rPr>
            </w:pPr>
            <w:r>
              <w:rPr>
                <w:rFonts w:hint="eastAsia" w:ascii="宋体" w:hAnsi="宋体" w:eastAsia="宋体" w:cs="宋体"/>
                <w:b/>
                <w:bCs/>
                <w:i w:val="0"/>
                <w:color w:val="000000"/>
                <w:kern w:val="0"/>
                <w:sz w:val="24"/>
                <w:szCs w:val="24"/>
                <w:highlight w:val="none"/>
                <w:u w:val="none"/>
                <w:lang w:val="en-US" w:eastAsia="zh-CN" w:bidi="ar"/>
              </w:rPr>
              <w:t xml:space="preserve">    食用坚果产量</w:t>
            </w:r>
          </w:p>
        </w:tc>
        <w:tc>
          <w:tcPr>
            <w:tcW w:w="3033"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FF"/>
                <w:sz w:val="24"/>
                <w:szCs w:val="24"/>
                <w:highlight w:val="none"/>
                <w:u w:val="none"/>
                <w:lang w:val="en-US"/>
              </w:rPr>
            </w:pPr>
            <w:r>
              <w:rPr>
                <w:rFonts w:hint="default" w:ascii="Times New Roman" w:hAnsi="Times New Roman" w:eastAsia="Tahoma" w:cs="Times New Roman"/>
                <w:i w:val="0"/>
                <w:iCs w:val="0"/>
                <w:color w:val="000000"/>
                <w:kern w:val="0"/>
                <w:sz w:val="24"/>
                <w:szCs w:val="24"/>
                <w:u w:val="none"/>
                <w:lang w:val="en-US" w:eastAsia="zh-CN" w:bidi="ar"/>
              </w:rPr>
              <w:t>23.18</w:t>
            </w:r>
          </w:p>
        </w:tc>
        <w:tc>
          <w:tcPr>
            <w:tcW w:w="3053"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FF"/>
                <w:sz w:val="24"/>
                <w:szCs w:val="24"/>
                <w:highlight w:val="none"/>
                <w:u w:val="none"/>
                <w:lang w:val="en-US"/>
              </w:rPr>
            </w:pPr>
            <w:r>
              <w:rPr>
                <w:rFonts w:hint="default" w:ascii="Times New Roman" w:hAnsi="Times New Roman" w:eastAsia="Tahoma" w:cs="Times New Roman"/>
                <w:i w:val="0"/>
                <w:iCs w:val="0"/>
                <w:color w:val="000000"/>
                <w:kern w:val="0"/>
                <w:sz w:val="24"/>
                <w:szCs w:val="24"/>
                <w:u w:val="none"/>
                <w:lang w:val="en-US" w:eastAsia="zh-CN" w:bidi="ar"/>
              </w:rPr>
              <w:t xml:space="preserve">-22.3 </w:t>
            </w:r>
          </w:p>
        </w:tc>
      </w:tr>
      <w:tr>
        <w:tblPrEx>
          <w:tblCellMar>
            <w:top w:w="0" w:type="dxa"/>
            <w:left w:w="0" w:type="dxa"/>
            <w:bottom w:w="0" w:type="dxa"/>
            <w:right w:w="0" w:type="dxa"/>
          </w:tblCellMar>
        </w:tblPrEx>
        <w:trPr>
          <w:trHeight w:val="306" w:hRule="atLeast"/>
        </w:trPr>
        <w:tc>
          <w:tcPr>
            <w:tcW w:w="2325"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left"/>
              <w:textAlignment w:val="center"/>
              <w:rPr>
                <w:rFonts w:hint="eastAsia" w:ascii="宋体" w:hAnsi="宋体" w:eastAsia="宋体" w:cs="宋体"/>
                <w:b/>
                <w:bCs/>
                <w:i w:val="0"/>
                <w:color w:val="auto"/>
                <w:sz w:val="24"/>
                <w:szCs w:val="24"/>
                <w:u w:val="none"/>
              </w:rPr>
            </w:pPr>
            <w:r>
              <w:rPr>
                <w:rFonts w:hint="eastAsia" w:ascii="宋体" w:hAnsi="宋体" w:eastAsia="宋体" w:cs="宋体"/>
                <w:b/>
                <w:bCs/>
                <w:i w:val="0"/>
                <w:color w:val="auto"/>
                <w:kern w:val="0"/>
                <w:sz w:val="24"/>
                <w:szCs w:val="24"/>
                <w:u w:val="none"/>
                <w:lang w:val="en-US" w:eastAsia="zh-CN" w:bidi="ar"/>
              </w:rPr>
              <w:t xml:space="preserve">    瓜果类</w:t>
            </w:r>
          </w:p>
        </w:tc>
        <w:tc>
          <w:tcPr>
            <w:tcW w:w="3033"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auto"/>
                <w:sz w:val="24"/>
                <w:szCs w:val="24"/>
                <w:u w:val="none"/>
              </w:rPr>
            </w:pPr>
            <w:r>
              <w:rPr>
                <w:rFonts w:hint="default" w:ascii="Times New Roman" w:hAnsi="Times New Roman" w:eastAsia="Tahoma" w:cs="Times New Roman"/>
                <w:i w:val="0"/>
                <w:iCs w:val="0"/>
                <w:color w:val="auto"/>
                <w:kern w:val="0"/>
                <w:sz w:val="24"/>
                <w:szCs w:val="24"/>
                <w:u w:val="none"/>
                <w:lang w:val="en-US" w:eastAsia="zh-CN" w:bidi="ar"/>
              </w:rPr>
              <w:t>14.77</w:t>
            </w:r>
          </w:p>
        </w:tc>
        <w:tc>
          <w:tcPr>
            <w:tcW w:w="3053" w:type="dxa"/>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auto"/>
                <w:sz w:val="24"/>
                <w:szCs w:val="24"/>
                <w:u w:val="none"/>
              </w:rPr>
            </w:pPr>
            <w:r>
              <w:rPr>
                <w:rFonts w:hint="default" w:ascii="Times New Roman" w:hAnsi="Times New Roman" w:eastAsia="Tahoma" w:cs="Times New Roman"/>
                <w:i w:val="0"/>
                <w:iCs w:val="0"/>
                <w:color w:val="auto"/>
                <w:kern w:val="0"/>
                <w:sz w:val="24"/>
                <w:szCs w:val="24"/>
                <w:u w:val="none"/>
                <w:lang w:val="en-US" w:eastAsia="zh-CN" w:bidi="ar"/>
              </w:rPr>
              <w:t xml:space="preserve">-17.5 </w:t>
            </w:r>
          </w:p>
        </w:tc>
      </w:tr>
    </w:tbl>
    <w:p>
      <w:pPr>
        <w:keepNext w:val="0"/>
        <w:keepLines w:val="0"/>
        <w:pageBreakBefore w:val="0"/>
        <w:widowControl w:val="0"/>
        <w:kinsoku/>
        <w:wordWrap/>
        <w:overflowPunct/>
        <w:topLinePunct w:val="0"/>
        <w:autoSpaceDE/>
        <w:autoSpaceDN/>
        <w:bidi w:val="0"/>
        <w:adjustRightInd/>
        <w:snapToGrid/>
        <w:spacing w:line="560" w:lineRule="exact"/>
        <w:ind w:firstLine="652"/>
        <w:textAlignment w:val="auto"/>
        <w:rPr>
          <w:rFonts w:hint="eastAsia" w:ascii="Times New Roman" w:hAnsi="Times New Roman" w:eastAsia="方正仿宋简体" w:cs="Times New Roman"/>
          <w:color w:val="auto"/>
          <w:kern w:val="0"/>
          <w:sz w:val="32"/>
          <w:highlight w:val="none"/>
          <w:lang w:val="en-US" w:eastAsia="zh-CN"/>
        </w:rPr>
      </w:pPr>
      <w:r>
        <w:rPr>
          <w:rFonts w:hint="eastAsia" w:ascii="Times New Roman" w:hAnsi="Times New Roman" w:eastAsia="方正仿宋简体" w:cs="Times New Roman"/>
          <w:color w:val="auto"/>
          <w:kern w:val="0"/>
          <w:sz w:val="32"/>
          <w:highlight w:val="none"/>
          <w:lang w:val="en-US" w:eastAsia="zh-CN"/>
        </w:rPr>
        <w:t>全年猪肉产量0.62万吨；牛肉产量2.78万吨；羊肉产量6.45万吨；禽肉2.23万吨；禽蛋2.93万吨；生牛奶3.55万吨。年末生猪存栏5.0万头；牛存栏30.01万头；羊存栏420.55万只；活家禽存栏620.64万只。年内生猪出栏7.44万头；牛出栏15.70万头；羊出栏351.42万只；活家禽出栏1306.11万只。</w:t>
      </w:r>
    </w:p>
    <w:p>
      <w:pPr>
        <w:keepNext w:val="0"/>
        <w:keepLines w:val="0"/>
        <w:pageBreakBefore w:val="0"/>
        <w:widowControl w:val="0"/>
        <w:kinsoku/>
        <w:wordWrap/>
        <w:overflowPunct/>
        <w:topLinePunct w:val="0"/>
        <w:autoSpaceDE/>
        <w:autoSpaceDN/>
        <w:bidi w:val="0"/>
        <w:adjustRightInd/>
        <w:snapToGrid/>
        <w:spacing w:line="560" w:lineRule="exact"/>
        <w:ind w:firstLine="652"/>
        <w:textAlignment w:val="auto"/>
        <w:rPr>
          <w:rFonts w:hint="eastAsia" w:ascii="Times New Roman" w:hAnsi="Times New Roman" w:eastAsia="方正仿宋简体" w:cs="Times New Roman"/>
          <w:color w:val="auto"/>
          <w:kern w:val="0"/>
          <w:sz w:val="32"/>
          <w:highlight w:val="none"/>
          <w:lang w:val="en-US" w:eastAsia="zh-CN"/>
        </w:rPr>
      </w:pPr>
      <w:r>
        <w:rPr>
          <w:rFonts w:hint="eastAsia" w:ascii="Times New Roman" w:hAnsi="Times New Roman" w:eastAsia="方正仿宋简体" w:cs="Times New Roman"/>
          <w:color w:val="auto"/>
          <w:kern w:val="0"/>
          <w:sz w:val="32"/>
          <w:highlight w:val="none"/>
          <w:lang w:val="en-US" w:eastAsia="zh-CN"/>
        </w:rPr>
        <w:t>年末农业机械总动力145.42万千瓦，比上年增长7.8%。其中，柴油机动力128.43万千瓦，增长8.3%，占总动力的88.3%。拥有大中型拖拉机2.60万台，下降4.8%；小型拖拉机0.22万台，下降18.5%。机耕面积增长6.5%；机播面积增长19.0%；机收面积增长15.8%。</w:t>
      </w:r>
    </w:p>
    <w:p>
      <w:pPr>
        <w:keepNext w:val="0"/>
        <w:keepLines w:val="0"/>
        <w:pageBreakBefore w:val="0"/>
        <w:widowControl w:val="0"/>
        <w:kinsoku/>
        <w:wordWrap/>
        <w:overflowPunct/>
        <w:topLinePunct w:val="0"/>
        <w:autoSpaceDE/>
        <w:autoSpaceDN/>
        <w:bidi w:val="0"/>
        <w:adjustRightInd/>
        <w:snapToGrid/>
        <w:spacing w:line="560" w:lineRule="exact"/>
        <w:ind w:firstLine="652"/>
        <w:textAlignment w:val="auto"/>
        <w:rPr>
          <w:rFonts w:hint="default" w:ascii="Times New Roman" w:hAnsi="Times New Roman" w:eastAsia="黑体" w:cs="Times New Roman"/>
          <w:color w:val="auto"/>
          <w:sz w:val="32"/>
          <w:szCs w:val="32"/>
          <w:highlight w:val="none"/>
        </w:rPr>
      </w:pPr>
      <w:r>
        <w:rPr>
          <w:rFonts w:hint="eastAsia" w:ascii="Times New Roman" w:hAnsi="Times New Roman" w:eastAsia="方正仿宋简体" w:cs="Times New Roman"/>
          <w:color w:val="auto"/>
          <w:kern w:val="0"/>
          <w:sz w:val="32"/>
          <w:highlight w:val="none"/>
          <w:lang w:val="en-US" w:eastAsia="zh-CN"/>
        </w:rPr>
        <w:t>中草药材播种面积比上年增长0.9%。其中，肉苁蓉（大芸）播种面积18.18万亩，占中草药材播种面积的58.9%，产量7.93万吨，比上年增长62.2%。</w:t>
      </w:r>
    </w:p>
    <w:p>
      <w:pPr>
        <w:keepNext w:val="0"/>
        <w:keepLines w:val="0"/>
        <w:pageBreakBefore w:val="0"/>
        <w:widowControl w:val="0"/>
        <w:kinsoku/>
        <w:wordWrap/>
        <w:overflowPunct/>
        <w:topLinePunct w:val="0"/>
        <w:autoSpaceDE/>
        <w:autoSpaceDN/>
        <w:bidi w:val="0"/>
        <w:adjustRightInd/>
        <w:snapToGrid/>
        <w:spacing w:line="494" w:lineRule="exact"/>
        <w:ind w:firstLine="653"/>
        <w:textAlignment w:val="auto"/>
        <w:rPr>
          <w:rFonts w:hint="default" w:ascii="Times New Roman" w:hAnsi="Times New Roman" w:eastAsia="黑体" w:cs="Times New Roman"/>
          <w:color w:val="auto"/>
          <w:sz w:val="32"/>
          <w:szCs w:val="32"/>
          <w:highlight w:val="none"/>
        </w:rPr>
      </w:pPr>
      <w:r>
        <w:rPr>
          <w:rFonts w:hint="default" w:ascii="Times New Roman" w:hAnsi="Times New Roman" w:eastAsia="黑体" w:cs="Times New Roman"/>
          <w:color w:val="auto"/>
          <w:sz w:val="32"/>
          <w:szCs w:val="32"/>
          <w:highlight w:val="none"/>
        </w:rPr>
        <w:t>三、工业和建筑业</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方正仿宋简体" w:cs="Times New Roman"/>
          <w:color w:val="0000FF"/>
          <w:kern w:val="0"/>
          <w:sz w:val="32"/>
          <w:highlight w:val="none"/>
        </w:rPr>
      </w:pPr>
      <w:r>
        <w:rPr>
          <w:rFonts w:hint="default" w:ascii="Times New Roman" w:hAnsi="Times New Roman" w:eastAsia="方正仿宋简体" w:cs="Times New Roman"/>
          <w:color w:val="auto"/>
          <w:kern w:val="0"/>
          <w:sz w:val="32"/>
          <w:highlight w:val="none"/>
        </w:rPr>
        <w:t>全年全部工业增加值比上年增长33.5%。规模以上工业增加值增长28.9%。在规模以上工业中，分规模看，中型企业增长2.4%；小微型企业增长33.5%。分工业门类看，采矿业增长75.4%；制造业增长4.6%；电力、热力、燃气及水的生产和供应业增长34.4%。分轻重工业看，轻工业增长21.4%；重工业增长31.5%。</w:t>
      </w:r>
    </w:p>
    <w:p>
      <w:pPr>
        <w:keepNext w:val="0"/>
        <w:keepLines w:val="0"/>
        <w:pageBreakBefore w:val="0"/>
        <w:widowControl w:val="0"/>
        <w:kinsoku/>
        <w:wordWrap/>
        <w:overflowPunct/>
        <w:topLinePunct w:val="0"/>
        <w:autoSpaceDE/>
        <w:autoSpaceDN/>
        <w:bidi w:val="0"/>
        <w:adjustRightInd/>
        <w:snapToGrid/>
        <w:spacing w:line="560" w:lineRule="exact"/>
        <w:ind w:firstLine="420" w:firstLineChars="200"/>
        <w:textAlignment w:val="auto"/>
        <w:rPr>
          <w:rFonts w:hint="default" w:ascii="Times New Roman" w:hAnsi="Times New Roman" w:eastAsia="方正仿宋简体" w:cs="Times New Roman"/>
          <w:color w:val="0000FF"/>
          <w:kern w:val="0"/>
          <w:sz w:val="32"/>
          <w:highlight w:val="none"/>
        </w:rPr>
      </w:pPr>
      <w:r>
        <w:drawing>
          <wp:anchor distT="0" distB="0" distL="114300" distR="114300" simplePos="0" relativeHeight="251660288" behindDoc="0" locked="0" layoutInCell="1" allowOverlap="1">
            <wp:simplePos x="0" y="0"/>
            <wp:positionH relativeFrom="column">
              <wp:posOffset>105410</wp:posOffset>
            </wp:positionH>
            <wp:positionV relativeFrom="paragraph">
              <wp:posOffset>5715</wp:posOffset>
            </wp:positionV>
            <wp:extent cx="5268595" cy="2570480"/>
            <wp:effectExtent l="0" t="0" r="8255" b="1270"/>
            <wp:wrapNone/>
            <wp:docPr id="118276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0000FF"/>
          <w:kern w:val="0"/>
          <w:sz w:val="32"/>
          <w:highlight w:val="none"/>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0000FF"/>
          <w:kern w:val="0"/>
          <w:sz w:val="32"/>
          <w:highlight w:val="none"/>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0000FF"/>
          <w:kern w:val="0"/>
          <w:sz w:val="32"/>
          <w:highlight w:val="none"/>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0000FF"/>
          <w:kern w:val="0"/>
          <w:sz w:val="32"/>
          <w:highlight w:val="none"/>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0000FF"/>
          <w:kern w:val="0"/>
          <w:sz w:val="32"/>
          <w:highlight w:val="none"/>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方正仿宋简体" w:cs="Times New Roman"/>
          <w:color w:val="0000FF"/>
          <w:kern w:val="0"/>
          <w:sz w:val="32"/>
          <w:highlight w:val="none"/>
        </w:rPr>
      </w:pPr>
    </w:p>
    <w:p>
      <w:pPr>
        <w:keepNext w:val="0"/>
        <w:keepLines w:val="0"/>
        <w:pageBreakBefore w:val="0"/>
        <w:widowControl w:val="0"/>
        <w:kinsoku/>
        <w:wordWrap/>
        <w:overflowPunct/>
        <w:topLinePunct w:val="0"/>
        <w:autoSpaceDE/>
        <w:autoSpaceDN/>
        <w:bidi w:val="0"/>
        <w:adjustRightInd/>
        <w:snapToGrid/>
        <w:spacing w:line="494" w:lineRule="exact"/>
        <w:ind w:firstLine="640" w:firstLineChars="200"/>
        <w:textAlignment w:val="auto"/>
        <w:rPr>
          <w:rFonts w:hint="default" w:ascii="Times New Roman" w:hAnsi="Times New Roman" w:eastAsia="方正仿宋简体" w:cs="Times New Roman"/>
          <w:color w:val="auto"/>
          <w:kern w:val="0"/>
          <w:sz w:val="32"/>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494" w:lineRule="exact"/>
        <w:ind w:firstLine="640" w:firstLineChars="200"/>
        <w:textAlignment w:val="auto"/>
        <w:rPr>
          <w:rFonts w:hint="eastAsia" w:ascii="方正仿宋简体" w:hAnsi="方正仿宋简体" w:eastAsia="方正仿宋简体" w:cs="方正仿宋简体"/>
          <w:color w:val="auto"/>
          <w:kern w:val="0"/>
          <w:sz w:val="32"/>
          <w:highlight w:val="none"/>
          <w:lang w:val="en-US" w:eastAsia="zh-CN"/>
        </w:rPr>
      </w:pPr>
      <w:r>
        <w:rPr>
          <w:rFonts w:hint="default" w:ascii="Times New Roman" w:hAnsi="Times New Roman" w:eastAsia="方正仿宋简体" w:cs="Times New Roman"/>
          <w:color w:val="auto"/>
          <w:kern w:val="0"/>
          <w:sz w:val="32"/>
          <w:highlight w:val="none"/>
          <w:lang w:val="en-US" w:eastAsia="zh-CN"/>
        </w:rPr>
        <w:t>在统计的45种工业产品中有27种产品的产量实现增长，增长面60.0%。</w:t>
      </w:r>
      <w:r>
        <w:rPr>
          <w:rFonts w:hint="eastAsia" w:ascii="方正仿宋简体" w:hAnsi="方正仿宋简体" w:eastAsia="方正仿宋简体" w:cs="方正仿宋简体"/>
          <w:color w:val="auto"/>
          <w:kern w:val="0"/>
          <w:sz w:val="32"/>
          <w:highlight w:val="none"/>
          <w:lang w:val="en-US" w:eastAsia="zh-CN"/>
        </w:rPr>
        <w:t> </w:t>
      </w:r>
    </w:p>
    <w:tbl>
      <w:tblPr>
        <w:tblStyle w:val="5"/>
        <w:tblW w:w="8241" w:type="dxa"/>
        <w:tblInd w:w="0" w:type="dxa"/>
        <w:shd w:val="clear" w:color="auto" w:fill="auto"/>
        <w:tblLayout w:type="fixed"/>
        <w:tblCellMar>
          <w:top w:w="0" w:type="dxa"/>
          <w:left w:w="0" w:type="dxa"/>
          <w:bottom w:w="0" w:type="dxa"/>
          <w:right w:w="0" w:type="dxa"/>
        </w:tblCellMar>
      </w:tblPr>
      <w:tblGrid>
        <w:gridCol w:w="2204"/>
        <w:gridCol w:w="1792"/>
        <w:gridCol w:w="1980"/>
        <w:gridCol w:w="2265"/>
      </w:tblGrid>
      <w:tr>
        <w:trPr>
          <w:cantSplit/>
          <w:trHeight w:val="363" w:hRule="exact"/>
        </w:trPr>
        <w:tc>
          <w:tcPr>
            <w:tcW w:w="8241" w:type="dxa"/>
            <w:gridSpan w:val="4"/>
            <w:tcBorders>
              <w:top w:val="nil"/>
              <w:left w:val="nil"/>
              <w:bottom w:val="single" w:color="auto" w:sz="4" w:space="0"/>
              <w:right w:val="nil"/>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top"/>
              <w:rPr>
                <w:rFonts w:hint="eastAsia" w:ascii="宋体" w:hAnsi="宋体" w:eastAsia="宋体" w:cs="宋体"/>
                <w:i w:val="0"/>
                <w:color w:val="0000FF"/>
                <w:sz w:val="28"/>
                <w:szCs w:val="28"/>
                <w:u w:val="none"/>
              </w:rPr>
            </w:pPr>
            <w:r>
              <w:rPr>
                <w:rFonts w:hint="eastAsia" w:ascii="方正小标宋简体" w:hAnsi="方正小标宋简体" w:eastAsia="方正小标宋简体" w:cs="方正小标宋简体"/>
                <w:i w:val="0"/>
                <w:color w:val="auto"/>
                <w:kern w:val="0"/>
                <w:sz w:val="28"/>
                <w:szCs w:val="28"/>
                <w:u w:val="none"/>
                <w:lang w:val="en-US" w:eastAsia="zh-CN" w:bidi="ar"/>
              </w:rPr>
              <w:t>2024年规模以上主要工业产品产量及增速</w:t>
            </w:r>
          </w:p>
        </w:tc>
      </w:tr>
      <w:tr>
        <w:tblPrEx>
          <w:shd w:val="clear" w:color="auto" w:fill="auto"/>
        </w:tblPrEx>
        <w:trPr>
          <w:cantSplit/>
          <w:trHeight w:val="363" w:hRule="exact"/>
        </w:trPr>
        <w:tc>
          <w:tcPr>
            <w:tcW w:w="2204" w:type="dxa"/>
            <w:tcBorders>
              <w:top w:val="single" w:color="auto" w:sz="4" w:space="0"/>
              <w:left w:val="single" w:color="auto" w:sz="4" w:space="0"/>
              <w:bottom w:val="single" w:color="auto" w:sz="4" w:space="0"/>
              <w:right w:val="single" w:color="000000" w:sz="4" w:space="0"/>
            </w:tcBorders>
            <w:shd w:val="clear" w:color="auto" w:fill="D7D7D7" w:themeFill="background1" w:themeFillShade="D8"/>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黑体" w:hAnsi="黑体" w:eastAsia="黑体" w:cs="黑体"/>
                <w:i w:val="0"/>
                <w:color w:val="auto"/>
                <w:sz w:val="24"/>
                <w:szCs w:val="24"/>
                <w:u w:val="none"/>
              </w:rPr>
            </w:pPr>
            <w:r>
              <w:rPr>
                <w:rFonts w:hint="eastAsia" w:ascii="黑体" w:hAnsi="黑体" w:eastAsia="黑体" w:cs="黑体"/>
                <w:i w:val="0"/>
                <w:color w:val="auto"/>
                <w:kern w:val="0"/>
                <w:sz w:val="24"/>
                <w:szCs w:val="24"/>
                <w:u w:val="none"/>
                <w:lang w:val="en-US" w:eastAsia="zh-CN" w:bidi="ar"/>
              </w:rPr>
              <w:t>产品名称</w:t>
            </w:r>
          </w:p>
        </w:tc>
        <w:tc>
          <w:tcPr>
            <w:tcW w:w="1792" w:type="dxa"/>
            <w:tcBorders>
              <w:top w:val="single" w:color="auto" w:sz="4" w:space="0"/>
              <w:left w:val="single" w:color="000000" w:sz="4" w:space="0"/>
              <w:bottom w:val="single" w:color="auto" w:sz="4" w:space="0"/>
              <w:right w:val="single" w:color="000000" w:sz="4" w:space="0"/>
            </w:tcBorders>
            <w:shd w:val="clear" w:color="auto" w:fill="D7D7D7" w:themeFill="background1" w:themeFillShade="D8"/>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黑体" w:hAnsi="黑体" w:eastAsia="黑体" w:cs="黑体"/>
                <w:i w:val="0"/>
                <w:color w:val="auto"/>
                <w:sz w:val="24"/>
                <w:szCs w:val="24"/>
                <w:u w:val="none"/>
              </w:rPr>
            </w:pPr>
            <w:r>
              <w:rPr>
                <w:rFonts w:hint="eastAsia" w:ascii="黑体" w:hAnsi="黑体" w:eastAsia="黑体" w:cs="黑体"/>
                <w:i w:val="0"/>
                <w:color w:val="auto"/>
                <w:kern w:val="0"/>
                <w:sz w:val="24"/>
                <w:szCs w:val="24"/>
                <w:u w:val="none"/>
                <w:lang w:val="en-US" w:eastAsia="zh-CN" w:bidi="ar"/>
              </w:rPr>
              <w:t>单 位</w:t>
            </w:r>
          </w:p>
        </w:tc>
        <w:tc>
          <w:tcPr>
            <w:tcW w:w="1980" w:type="dxa"/>
            <w:tcBorders>
              <w:top w:val="single" w:color="auto" w:sz="4" w:space="0"/>
              <w:left w:val="single" w:color="000000" w:sz="4" w:space="0"/>
              <w:bottom w:val="single" w:color="auto" w:sz="4" w:space="0"/>
              <w:right w:val="single" w:color="000000" w:sz="4" w:space="0"/>
            </w:tcBorders>
            <w:shd w:val="clear" w:color="auto" w:fill="D7D7D7" w:themeFill="background1" w:themeFillShade="D8"/>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黑体" w:hAnsi="黑体" w:eastAsia="黑体" w:cs="黑体"/>
                <w:i w:val="0"/>
                <w:color w:val="auto"/>
                <w:sz w:val="24"/>
                <w:szCs w:val="24"/>
                <w:u w:val="none"/>
              </w:rPr>
            </w:pPr>
            <w:r>
              <w:rPr>
                <w:rFonts w:hint="eastAsia" w:ascii="黑体" w:hAnsi="黑体" w:eastAsia="黑体" w:cs="黑体"/>
                <w:i w:val="0"/>
                <w:color w:val="auto"/>
                <w:kern w:val="0"/>
                <w:sz w:val="24"/>
                <w:szCs w:val="24"/>
                <w:u w:val="none"/>
                <w:lang w:val="en-US" w:eastAsia="zh-CN" w:bidi="ar"/>
              </w:rPr>
              <w:t>产 量</w:t>
            </w:r>
          </w:p>
        </w:tc>
        <w:tc>
          <w:tcPr>
            <w:tcW w:w="2265" w:type="dxa"/>
            <w:tcBorders>
              <w:top w:val="single" w:color="auto" w:sz="4" w:space="0"/>
              <w:left w:val="single" w:color="000000" w:sz="4" w:space="0"/>
              <w:bottom w:val="single" w:color="auto" w:sz="4" w:space="0"/>
              <w:right w:val="single" w:color="auto" w:sz="4" w:space="0"/>
            </w:tcBorders>
            <w:shd w:val="clear" w:color="auto" w:fill="D7D7D7" w:themeFill="background1" w:themeFillShade="D8"/>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黑体" w:hAnsi="黑体" w:eastAsia="黑体" w:cs="黑体"/>
                <w:i w:val="0"/>
                <w:color w:val="auto"/>
                <w:sz w:val="24"/>
                <w:szCs w:val="24"/>
                <w:u w:val="none"/>
              </w:rPr>
            </w:pPr>
            <w:r>
              <w:rPr>
                <w:rFonts w:hint="eastAsia" w:ascii="黑体" w:hAnsi="黑体" w:eastAsia="黑体" w:cs="黑体"/>
                <w:i w:val="0"/>
                <w:color w:val="auto"/>
                <w:kern w:val="0"/>
                <w:sz w:val="24"/>
                <w:szCs w:val="24"/>
                <w:u w:val="none"/>
                <w:lang w:val="en-US" w:eastAsia="zh-CN" w:bidi="ar"/>
              </w:rPr>
              <w:t>比上年增长（%）</w:t>
            </w:r>
          </w:p>
        </w:tc>
      </w:tr>
      <w:tr>
        <w:trPr>
          <w:cantSplit/>
          <w:trHeight w:val="363" w:hRule="exact"/>
        </w:trPr>
        <w:tc>
          <w:tcPr>
            <w:tcW w:w="2204"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top"/>
          </w:tcPr>
          <w:p>
            <w:pPr>
              <w:keepNext w:val="0"/>
              <w:keepLines w:val="0"/>
              <w:pageBreakBefore w:val="0"/>
              <w:widowControl/>
              <w:suppressLineNumbers w:val="0"/>
              <w:kinsoku/>
              <w:wordWrap/>
              <w:overflowPunct/>
              <w:topLinePunct w:val="0"/>
              <w:autoSpaceDE/>
              <w:autoSpaceDN/>
              <w:bidi w:val="0"/>
              <w:adjustRightInd w:val="0"/>
              <w:snapToGrid w:val="0"/>
              <w:jc w:val="left"/>
              <w:textAlignment w:val="top"/>
              <w:rPr>
                <w:rFonts w:hint="eastAsia" w:ascii="宋体" w:hAnsi="宋体" w:eastAsia="宋体" w:cs="宋体"/>
                <w:b/>
                <w:bCs/>
                <w:i w:val="0"/>
                <w:color w:val="0000FF"/>
                <w:sz w:val="24"/>
                <w:szCs w:val="24"/>
                <w:u w:val="none"/>
              </w:rPr>
            </w:pPr>
            <w:r>
              <w:rPr>
                <w:rFonts w:hint="eastAsia" w:ascii="宋体" w:hAnsi="宋体" w:eastAsia="宋体" w:cs="宋体"/>
                <w:b/>
                <w:bCs/>
                <w:i w:val="0"/>
                <w:color w:val="000000"/>
                <w:kern w:val="0"/>
                <w:sz w:val="24"/>
                <w:szCs w:val="24"/>
                <w:u w:val="none"/>
                <w:lang w:val="en-US" w:eastAsia="zh-CN" w:bidi="ar"/>
              </w:rPr>
              <w:t>原煤</w:t>
            </w:r>
          </w:p>
        </w:tc>
        <w:tc>
          <w:tcPr>
            <w:tcW w:w="1792"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0000FF"/>
                <w:sz w:val="24"/>
                <w:szCs w:val="24"/>
                <w:u w:val="none"/>
              </w:rPr>
            </w:pPr>
            <w:r>
              <w:rPr>
                <w:rFonts w:hint="eastAsia" w:ascii="宋体" w:hAnsi="宋体" w:eastAsia="宋体" w:cs="宋体"/>
                <w:i w:val="0"/>
                <w:color w:val="000000"/>
                <w:kern w:val="0"/>
                <w:sz w:val="24"/>
                <w:szCs w:val="24"/>
                <w:u w:val="none"/>
                <w:lang w:val="en-US" w:eastAsia="zh-CN" w:bidi="ar"/>
              </w:rPr>
              <w:t>万吨</w:t>
            </w:r>
          </w:p>
        </w:tc>
        <w:tc>
          <w:tcPr>
            <w:tcW w:w="1980"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115.13</w:t>
            </w:r>
          </w:p>
        </w:tc>
        <w:tc>
          <w:tcPr>
            <w:tcW w:w="226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default" w:ascii="Times New Roman" w:hAnsi="Times New Roman" w:eastAsia="宋体" w:cs="Times New Roman"/>
                <w:i w:val="0"/>
                <w:color w:val="000000"/>
                <w:kern w:val="0"/>
                <w:sz w:val="24"/>
                <w:szCs w:val="24"/>
                <w:u w:val="none"/>
                <w:lang w:val="en-US" w:eastAsia="zh-CN" w:bidi="ar"/>
              </w:rPr>
              <w:t>-</w:t>
            </w:r>
            <w:r>
              <w:rPr>
                <w:rFonts w:hint="eastAsia" w:ascii="Times New Roman" w:hAnsi="Times New Roman" w:eastAsia="宋体" w:cs="Times New Roman"/>
                <w:i w:val="0"/>
                <w:color w:val="000000"/>
                <w:kern w:val="0"/>
                <w:sz w:val="24"/>
                <w:szCs w:val="24"/>
                <w:u w:val="none"/>
                <w:lang w:val="en-US" w:eastAsia="zh-CN" w:bidi="ar"/>
              </w:rPr>
              <w:t>7.0</w:t>
            </w:r>
          </w:p>
        </w:tc>
      </w:tr>
      <w:tr>
        <w:trPr>
          <w:cantSplit/>
          <w:trHeight w:val="363" w:hRule="exact"/>
        </w:trPr>
        <w:tc>
          <w:tcPr>
            <w:tcW w:w="2204"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top"/>
          </w:tcPr>
          <w:p>
            <w:pPr>
              <w:keepNext w:val="0"/>
              <w:keepLines w:val="0"/>
              <w:pageBreakBefore w:val="0"/>
              <w:widowControl/>
              <w:suppressLineNumbers w:val="0"/>
              <w:kinsoku/>
              <w:wordWrap/>
              <w:overflowPunct/>
              <w:topLinePunct w:val="0"/>
              <w:autoSpaceDE/>
              <w:autoSpaceDN/>
              <w:bidi w:val="0"/>
              <w:adjustRightInd w:val="0"/>
              <w:snapToGrid w:val="0"/>
              <w:jc w:val="left"/>
              <w:textAlignment w:val="top"/>
              <w:rPr>
                <w:rFonts w:hint="eastAsia" w:ascii="宋体" w:hAnsi="宋体" w:eastAsia="宋体" w:cs="宋体"/>
                <w:b/>
                <w:bCs/>
                <w:i w:val="0"/>
                <w:color w:val="0000FF"/>
                <w:sz w:val="24"/>
                <w:szCs w:val="24"/>
                <w:u w:val="none"/>
              </w:rPr>
            </w:pPr>
            <w:r>
              <w:rPr>
                <w:rFonts w:hint="eastAsia" w:ascii="宋体" w:hAnsi="宋体" w:eastAsia="宋体" w:cs="宋体"/>
                <w:b/>
                <w:bCs/>
                <w:i w:val="0"/>
                <w:color w:val="000000"/>
                <w:kern w:val="0"/>
                <w:sz w:val="24"/>
                <w:szCs w:val="24"/>
                <w:u w:val="none"/>
                <w:lang w:val="en-US" w:eastAsia="zh-CN" w:bidi="ar"/>
              </w:rPr>
              <w:t>商品混凝土</w:t>
            </w:r>
          </w:p>
        </w:tc>
        <w:tc>
          <w:tcPr>
            <w:tcW w:w="1792"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0000FF"/>
                <w:sz w:val="24"/>
                <w:szCs w:val="24"/>
                <w:u w:val="none"/>
              </w:rPr>
            </w:pPr>
            <w:r>
              <w:rPr>
                <w:rFonts w:hint="eastAsia" w:ascii="宋体" w:hAnsi="宋体" w:eastAsia="宋体" w:cs="宋体"/>
                <w:i w:val="0"/>
                <w:color w:val="000000"/>
                <w:kern w:val="0"/>
                <w:sz w:val="24"/>
                <w:szCs w:val="24"/>
                <w:u w:val="none"/>
                <w:lang w:val="en-US" w:eastAsia="zh-CN" w:bidi="ar"/>
              </w:rPr>
              <w:t>万立方米</w:t>
            </w:r>
          </w:p>
        </w:tc>
        <w:tc>
          <w:tcPr>
            <w:tcW w:w="1980"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166.38</w:t>
            </w:r>
          </w:p>
        </w:tc>
        <w:tc>
          <w:tcPr>
            <w:tcW w:w="226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-28.5</w:t>
            </w:r>
          </w:p>
        </w:tc>
      </w:tr>
      <w:tr>
        <w:trPr>
          <w:cantSplit/>
          <w:trHeight w:val="363" w:hRule="exact"/>
        </w:trPr>
        <w:tc>
          <w:tcPr>
            <w:tcW w:w="2204"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top"/>
          </w:tcPr>
          <w:p>
            <w:pPr>
              <w:keepNext w:val="0"/>
              <w:keepLines w:val="0"/>
              <w:pageBreakBefore w:val="0"/>
              <w:widowControl/>
              <w:suppressLineNumbers w:val="0"/>
              <w:kinsoku/>
              <w:wordWrap/>
              <w:overflowPunct/>
              <w:topLinePunct w:val="0"/>
              <w:autoSpaceDE/>
              <w:autoSpaceDN/>
              <w:bidi w:val="0"/>
              <w:adjustRightInd w:val="0"/>
              <w:snapToGrid w:val="0"/>
              <w:jc w:val="left"/>
              <w:textAlignment w:val="top"/>
              <w:rPr>
                <w:rFonts w:hint="eastAsia" w:ascii="宋体" w:hAnsi="宋体" w:eastAsia="宋体" w:cs="宋体"/>
                <w:b/>
                <w:bCs/>
                <w:i w:val="0"/>
                <w:color w:val="0000FF"/>
                <w:sz w:val="24"/>
                <w:szCs w:val="24"/>
                <w:u w:val="none"/>
              </w:rPr>
            </w:pPr>
            <w:r>
              <w:rPr>
                <w:rFonts w:hint="eastAsia" w:ascii="宋体" w:hAnsi="宋体" w:eastAsia="宋体" w:cs="宋体"/>
                <w:b/>
                <w:bCs/>
                <w:i w:val="0"/>
                <w:color w:val="000000"/>
                <w:kern w:val="0"/>
                <w:sz w:val="24"/>
                <w:szCs w:val="24"/>
                <w:u w:val="none"/>
                <w:lang w:val="en-US" w:eastAsia="zh-CN" w:bidi="ar"/>
              </w:rPr>
              <w:t>水泥</w:t>
            </w:r>
          </w:p>
        </w:tc>
        <w:tc>
          <w:tcPr>
            <w:tcW w:w="1792"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0000FF"/>
                <w:sz w:val="24"/>
                <w:szCs w:val="24"/>
                <w:u w:val="none"/>
              </w:rPr>
            </w:pPr>
            <w:r>
              <w:rPr>
                <w:rFonts w:hint="eastAsia" w:ascii="宋体" w:hAnsi="宋体" w:eastAsia="宋体" w:cs="宋体"/>
                <w:i w:val="0"/>
                <w:color w:val="000000"/>
                <w:kern w:val="0"/>
                <w:sz w:val="24"/>
                <w:szCs w:val="24"/>
                <w:u w:val="none"/>
                <w:lang w:val="en-US" w:eastAsia="zh-CN" w:bidi="ar"/>
              </w:rPr>
              <w:t>万吨</w:t>
            </w:r>
          </w:p>
        </w:tc>
        <w:tc>
          <w:tcPr>
            <w:tcW w:w="1980"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218.41</w:t>
            </w:r>
          </w:p>
        </w:tc>
        <w:tc>
          <w:tcPr>
            <w:tcW w:w="226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-14.6</w:t>
            </w:r>
          </w:p>
        </w:tc>
      </w:tr>
      <w:tr>
        <w:trPr>
          <w:cantSplit/>
          <w:trHeight w:val="363" w:hRule="exact"/>
        </w:trPr>
        <w:tc>
          <w:tcPr>
            <w:tcW w:w="2204"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top"/>
          </w:tcPr>
          <w:p>
            <w:pPr>
              <w:keepNext w:val="0"/>
              <w:keepLines w:val="0"/>
              <w:pageBreakBefore w:val="0"/>
              <w:widowControl/>
              <w:suppressLineNumbers w:val="0"/>
              <w:kinsoku/>
              <w:wordWrap/>
              <w:overflowPunct/>
              <w:topLinePunct w:val="0"/>
              <w:autoSpaceDE/>
              <w:autoSpaceDN/>
              <w:bidi w:val="0"/>
              <w:adjustRightInd w:val="0"/>
              <w:snapToGrid w:val="0"/>
              <w:jc w:val="left"/>
              <w:textAlignment w:val="top"/>
              <w:rPr>
                <w:rFonts w:hint="eastAsia" w:ascii="宋体" w:hAnsi="宋体" w:eastAsia="宋体" w:cs="宋体"/>
                <w:b/>
                <w:bCs/>
                <w:i w:val="0"/>
                <w:color w:val="0000FF"/>
                <w:sz w:val="24"/>
                <w:szCs w:val="24"/>
                <w:u w:val="none"/>
              </w:rPr>
            </w:pPr>
            <w:r>
              <w:rPr>
                <w:rFonts w:hint="eastAsia" w:ascii="宋体" w:hAnsi="宋体" w:eastAsia="宋体" w:cs="宋体"/>
                <w:b/>
                <w:bCs/>
                <w:i w:val="0"/>
                <w:color w:val="000000"/>
                <w:kern w:val="0"/>
                <w:sz w:val="24"/>
                <w:szCs w:val="24"/>
                <w:u w:val="none"/>
                <w:lang w:val="en-US" w:eastAsia="zh-CN" w:bidi="ar"/>
              </w:rPr>
              <w:t>硅酸盐水泥熟料</w:t>
            </w:r>
          </w:p>
        </w:tc>
        <w:tc>
          <w:tcPr>
            <w:tcW w:w="1792"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0000FF"/>
                <w:sz w:val="24"/>
                <w:szCs w:val="24"/>
                <w:u w:val="none"/>
              </w:rPr>
            </w:pPr>
            <w:r>
              <w:rPr>
                <w:rFonts w:hint="eastAsia" w:ascii="宋体" w:hAnsi="宋体" w:eastAsia="宋体" w:cs="宋体"/>
                <w:i w:val="0"/>
                <w:color w:val="000000"/>
                <w:kern w:val="0"/>
                <w:sz w:val="24"/>
                <w:szCs w:val="24"/>
                <w:u w:val="none"/>
                <w:lang w:val="en-US" w:eastAsia="zh-CN" w:bidi="ar"/>
              </w:rPr>
              <w:t>万吨</w:t>
            </w:r>
          </w:p>
        </w:tc>
        <w:tc>
          <w:tcPr>
            <w:tcW w:w="1980"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174.07</w:t>
            </w:r>
          </w:p>
        </w:tc>
        <w:tc>
          <w:tcPr>
            <w:tcW w:w="226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-13.6</w:t>
            </w:r>
          </w:p>
        </w:tc>
      </w:tr>
      <w:tr>
        <w:trPr>
          <w:cantSplit/>
          <w:trHeight w:val="363" w:hRule="exact"/>
        </w:trPr>
        <w:tc>
          <w:tcPr>
            <w:tcW w:w="2204"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top"/>
          </w:tcPr>
          <w:p>
            <w:pPr>
              <w:keepNext w:val="0"/>
              <w:keepLines w:val="0"/>
              <w:pageBreakBefore w:val="0"/>
              <w:widowControl/>
              <w:suppressLineNumbers w:val="0"/>
              <w:kinsoku/>
              <w:wordWrap/>
              <w:overflowPunct/>
              <w:topLinePunct w:val="0"/>
              <w:autoSpaceDE/>
              <w:autoSpaceDN/>
              <w:bidi w:val="0"/>
              <w:adjustRightInd w:val="0"/>
              <w:snapToGrid w:val="0"/>
              <w:jc w:val="left"/>
              <w:textAlignment w:val="top"/>
              <w:rPr>
                <w:rFonts w:hint="eastAsia" w:ascii="宋体" w:hAnsi="宋体" w:eastAsia="宋体" w:cs="宋体"/>
                <w:b/>
                <w:bCs/>
                <w:i w:val="0"/>
                <w:color w:val="0000FF"/>
                <w:sz w:val="24"/>
                <w:szCs w:val="24"/>
                <w:u w:val="none"/>
              </w:rPr>
            </w:pPr>
            <w:r>
              <w:rPr>
                <w:rFonts w:hint="eastAsia" w:ascii="宋体" w:hAnsi="宋体" w:eastAsia="宋体" w:cs="宋体"/>
                <w:b/>
                <w:bCs/>
                <w:i w:val="0"/>
                <w:color w:val="000000"/>
                <w:kern w:val="0"/>
                <w:sz w:val="24"/>
                <w:szCs w:val="24"/>
                <w:u w:val="none"/>
                <w:lang w:val="en-US" w:eastAsia="zh-CN" w:bidi="ar"/>
              </w:rPr>
              <w:t>建筑用天然石料</w:t>
            </w:r>
          </w:p>
        </w:tc>
        <w:tc>
          <w:tcPr>
            <w:tcW w:w="1792"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0000FF"/>
                <w:sz w:val="24"/>
                <w:szCs w:val="24"/>
                <w:u w:val="none"/>
              </w:rPr>
            </w:pPr>
            <w:r>
              <w:rPr>
                <w:rFonts w:hint="eastAsia" w:ascii="宋体" w:hAnsi="宋体" w:eastAsia="宋体" w:cs="宋体"/>
                <w:i w:val="0"/>
                <w:color w:val="000000"/>
                <w:kern w:val="0"/>
                <w:sz w:val="24"/>
                <w:szCs w:val="24"/>
                <w:u w:val="none"/>
                <w:lang w:val="en-US" w:eastAsia="zh-CN" w:bidi="ar"/>
              </w:rPr>
              <w:t>万立方米</w:t>
            </w:r>
          </w:p>
        </w:tc>
        <w:tc>
          <w:tcPr>
            <w:tcW w:w="1980"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10.89</w:t>
            </w:r>
          </w:p>
        </w:tc>
        <w:tc>
          <w:tcPr>
            <w:tcW w:w="226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-69.7</w:t>
            </w:r>
          </w:p>
        </w:tc>
      </w:tr>
      <w:tr>
        <w:trPr>
          <w:cantSplit/>
          <w:trHeight w:val="363" w:hRule="exact"/>
        </w:trPr>
        <w:tc>
          <w:tcPr>
            <w:tcW w:w="2204"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top"/>
          </w:tcPr>
          <w:p>
            <w:pPr>
              <w:keepNext w:val="0"/>
              <w:keepLines w:val="0"/>
              <w:pageBreakBefore w:val="0"/>
              <w:widowControl/>
              <w:suppressLineNumbers w:val="0"/>
              <w:kinsoku/>
              <w:wordWrap/>
              <w:overflowPunct/>
              <w:topLinePunct w:val="0"/>
              <w:autoSpaceDE/>
              <w:autoSpaceDN/>
              <w:bidi w:val="0"/>
              <w:adjustRightInd w:val="0"/>
              <w:snapToGrid w:val="0"/>
              <w:jc w:val="left"/>
              <w:textAlignment w:val="top"/>
              <w:rPr>
                <w:rFonts w:hint="eastAsia" w:ascii="宋体" w:hAnsi="宋体" w:eastAsia="宋体" w:cs="宋体"/>
                <w:b/>
                <w:bCs/>
                <w:i w:val="0"/>
                <w:color w:val="0000FF"/>
                <w:sz w:val="24"/>
                <w:szCs w:val="24"/>
                <w:u w:val="none"/>
              </w:rPr>
            </w:pPr>
            <w:r>
              <w:rPr>
                <w:rFonts w:hint="eastAsia" w:ascii="宋体" w:hAnsi="宋体" w:eastAsia="宋体" w:cs="宋体"/>
                <w:b/>
                <w:bCs/>
                <w:i w:val="0"/>
                <w:color w:val="000000"/>
                <w:kern w:val="0"/>
                <w:sz w:val="24"/>
                <w:szCs w:val="24"/>
                <w:u w:val="none"/>
                <w:lang w:val="en-US" w:eastAsia="zh-CN" w:bidi="ar"/>
              </w:rPr>
              <w:t>塑料制品</w:t>
            </w:r>
          </w:p>
        </w:tc>
        <w:tc>
          <w:tcPr>
            <w:tcW w:w="1792"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0000FF"/>
                <w:sz w:val="24"/>
                <w:szCs w:val="24"/>
                <w:u w:val="none"/>
              </w:rPr>
            </w:pPr>
            <w:r>
              <w:rPr>
                <w:rFonts w:hint="eastAsia" w:ascii="宋体" w:hAnsi="宋体" w:eastAsia="宋体" w:cs="宋体"/>
                <w:i w:val="0"/>
                <w:color w:val="000000"/>
                <w:kern w:val="0"/>
                <w:sz w:val="24"/>
                <w:szCs w:val="24"/>
                <w:u w:val="none"/>
                <w:lang w:val="en-US" w:eastAsia="zh-CN" w:bidi="ar"/>
              </w:rPr>
              <w:t>万吨</w:t>
            </w:r>
          </w:p>
        </w:tc>
        <w:tc>
          <w:tcPr>
            <w:tcW w:w="1980"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2.72</w:t>
            </w:r>
          </w:p>
        </w:tc>
        <w:tc>
          <w:tcPr>
            <w:tcW w:w="226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5.5</w:t>
            </w:r>
          </w:p>
        </w:tc>
      </w:tr>
      <w:tr>
        <w:trPr>
          <w:cantSplit/>
          <w:trHeight w:val="363" w:hRule="exact"/>
        </w:trPr>
        <w:tc>
          <w:tcPr>
            <w:tcW w:w="2204"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top"/>
          </w:tcPr>
          <w:p>
            <w:pPr>
              <w:keepNext w:val="0"/>
              <w:keepLines w:val="0"/>
              <w:pageBreakBefore w:val="0"/>
              <w:widowControl/>
              <w:suppressLineNumbers w:val="0"/>
              <w:kinsoku/>
              <w:wordWrap/>
              <w:overflowPunct/>
              <w:topLinePunct w:val="0"/>
              <w:autoSpaceDE/>
              <w:autoSpaceDN/>
              <w:bidi w:val="0"/>
              <w:adjustRightInd w:val="0"/>
              <w:snapToGrid w:val="0"/>
              <w:jc w:val="left"/>
              <w:textAlignment w:val="top"/>
              <w:rPr>
                <w:rFonts w:hint="eastAsia" w:ascii="宋体" w:hAnsi="宋体" w:eastAsia="宋体" w:cs="宋体"/>
                <w:b/>
                <w:bCs/>
                <w:i w:val="0"/>
                <w:color w:val="0000FF"/>
                <w:kern w:val="0"/>
                <w:sz w:val="24"/>
                <w:szCs w:val="24"/>
                <w:u w:val="none"/>
                <w:lang w:val="en-US" w:eastAsia="zh-CN" w:bidi="ar"/>
              </w:rPr>
            </w:pPr>
            <w:r>
              <w:rPr>
                <w:rFonts w:hint="eastAsia" w:ascii="宋体" w:hAnsi="宋体" w:eastAsia="宋体" w:cs="宋体"/>
                <w:b/>
                <w:bCs/>
                <w:i w:val="0"/>
                <w:color w:val="000000"/>
                <w:kern w:val="0"/>
                <w:sz w:val="24"/>
                <w:szCs w:val="24"/>
                <w:u w:val="none"/>
                <w:lang w:val="en-US" w:eastAsia="zh-CN" w:bidi="ar"/>
              </w:rPr>
              <w:t>水泥混凝土电杆</w:t>
            </w:r>
          </w:p>
        </w:tc>
        <w:tc>
          <w:tcPr>
            <w:tcW w:w="1792"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0000FF"/>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万根</w:t>
            </w:r>
          </w:p>
        </w:tc>
        <w:tc>
          <w:tcPr>
            <w:tcW w:w="1980"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kern w:val="0"/>
                <w:sz w:val="24"/>
                <w:szCs w:val="24"/>
                <w:u w:val="none"/>
                <w:lang w:val="en-US" w:eastAsia="zh-CN" w:bidi="ar"/>
              </w:rPr>
            </w:pPr>
            <w:r>
              <w:rPr>
                <w:rFonts w:hint="default" w:ascii="Times New Roman" w:hAnsi="Times New Roman" w:eastAsia="宋体" w:cs="Times New Roman"/>
                <w:i w:val="0"/>
                <w:color w:val="000000"/>
                <w:kern w:val="0"/>
                <w:sz w:val="24"/>
                <w:szCs w:val="24"/>
                <w:u w:val="none"/>
                <w:lang w:val="en-US" w:eastAsia="zh-CN" w:bidi="ar"/>
              </w:rPr>
              <w:t>0.7</w:t>
            </w:r>
            <w:r>
              <w:rPr>
                <w:rFonts w:hint="eastAsia" w:ascii="Times New Roman" w:hAnsi="Times New Roman" w:eastAsia="宋体" w:cs="Times New Roman"/>
                <w:i w:val="0"/>
                <w:color w:val="000000"/>
                <w:kern w:val="0"/>
                <w:sz w:val="24"/>
                <w:szCs w:val="24"/>
                <w:u w:val="none"/>
                <w:lang w:val="en-US" w:eastAsia="zh-CN" w:bidi="ar"/>
              </w:rPr>
              <w:t>8</w:t>
            </w:r>
          </w:p>
        </w:tc>
        <w:tc>
          <w:tcPr>
            <w:tcW w:w="226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kern w:val="0"/>
                <w:sz w:val="24"/>
                <w:szCs w:val="24"/>
                <w:u w:val="none"/>
                <w:lang w:val="en-US" w:eastAsia="zh-CN" w:bidi="ar"/>
              </w:rPr>
            </w:pPr>
            <w:r>
              <w:rPr>
                <w:rFonts w:hint="eastAsia" w:ascii="Times New Roman" w:hAnsi="Times New Roman" w:eastAsia="宋体" w:cs="Times New Roman"/>
                <w:i w:val="0"/>
                <w:color w:val="000000"/>
                <w:kern w:val="0"/>
                <w:sz w:val="24"/>
                <w:szCs w:val="24"/>
                <w:u w:val="none"/>
                <w:lang w:val="en-US" w:eastAsia="zh-CN" w:bidi="ar"/>
              </w:rPr>
              <w:t>3.5</w:t>
            </w:r>
          </w:p>
        </w:tc>
      </w:tr>
      <w:tr>
        <w:trPr>
          <w:cantSplit/>
          <w:trHeight w:val="363" w:hRule="exact"/>
        </w:trPr>
        <w:tc>
          <w:tcPr>
            <w:tcW w:w="2204"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top"/>
          </w:tcPr>
          <w:p>
            <w:pPr>
              <w:keepNext w:val="0"/>
              <w:keepLines w:val="0"/>
              <w:pageBreakBefore w:val="0"/>
              <w:widowControl/>
              <w:suppressLineNumbers w:val="0"/>
              <w:kinsoku/>
              <w:wordWrap/>
              <w:overflowPunct/>
              <w:topLinePunct w:val="0"/>
              <w:autoSpaceDE/>
              <w:autoSpaceDN/>
              <w:bidi w:val="0"/>
              <w:adjustRightInd w:val="0"/>
              <w:snapToGrid w:val="0"/>
              <w:jc w:val="left"/>
              <w:textAlignment w:val="top"/>
              <w:rPr>
                <w:rFonts w:hint="eastAsia" w:ascii="宋体" w:hAnsi="宋体" w:eastAsia="宋体" w:cs="宋体"/>
                <w:b/>
                <w:bCs/>
                <w:i w:val="0"/>
                <w:color w:val="0000FF"/>
                <w:kern w:val="0"/>
                <w:sz w:val="24"/>
                <w:szCs w:val="24"/>
                <w:u w:val="none"/>
                <w:lang w:val="en-US" w:eastAsia="zh-CN" w:bidi="ar"/>
              </w:rPr>
            </w:pPr>
            <w:r>
              <w:rPr>
                <w:rFonts w:hint="eastAsia" w:ascii="宋体" w:hAnsi="宋体" w:eastAsia="宋体" w:cs="宋体"/>
                <w:b/>
                <w:bCs/>
                <w:i w:val="0"/>
                <w:color w:val="000000"/>
                <w:kern w:val="0"/>
                <w:sz w:val="24"/>
                <w:szCs w:val="24"/>
                <w:u w:val="none"/>
                <w:lang w:val="en-US" w:eastAsia="zh-CN" w:bidi="ar"/>
              </w:rPr>
              <w:t>人造板</w:t>
            </w:r>
          </w:p>
        </w:tc>
        <w:tc>
          <w:tcPr>
            <w:tcW w:w="1792"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0000FF"/>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万立方米</w:t>
            </w:r>
          </w:p>
        </w:tc>
        <w:tc>
          <w:tcPr>
            <w:tcW w:w="1980"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kern w:val="0"/>
                <w:sz w:val="24"/>
                <w:szCs w:val="24"/>
                <w:u w:val="none"/>
                <w:lang w:val="en-US" w:eastAsia="zh-CN" w:bidi="ar"/>
              </w:rPr>
            </w:pPr>
            <w:r>
              <w:rPr>
                <w:rFonts w:hint="eastAsia" w:ascii="Times New Roman" w:hAnsi="Times New Roman" w:eastAsia="宋体" w:cs="Times New Roman"/>
                <w:i w:val="0"/>
                <w:color w:val="000000"/>
                <w:kern w:val="0"/>
                <w:sz w:val="24"/>
                <w:szCs w:val="24"/>
                <w:u w:val="none"/>
                <w:lang w:val="en-US" w:eastAsia="zh-CN" w:bidi="ar"/>
              </w:rPr>
              <w:t>0.03</w:t>
            </w:r>
          </w:p>
        </w:tc>
        <w:tc>
          <w:tcPr>
            <w:tcW w:w="226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kern w:val="0"/>
                <w:sz w:val="24"/>
                <w:szCs w:val="24"/>
                <w:u w:val="none"/>
                <w:lang w:val="en-US" w:eastAsia="zh-CN" w:bidi="ar"/>
              </w:rPr>
            </w:pPr>
            <w:r>
              <w:rPr>
                <w:rFonts w:hint="eastAsia" w:ascii="Times New Roman" w:hAnsi="Times New Roman" w:eastAsia="宋体" w:cs="Times New Roman"/>
                <w:i w:val="0"/>
                <w:color w:val="000000"/>
                <w:kern w:val="0"/>
                <w:sz w:val="24"/>
                <w:szCs w:val="24"/>
                <w:u w:val="none"/>
                <w:lang w:val="en-US" w:eastAsia="zh-CN" w:bidi="ar"/>
              </w:rPr>
              <w:t>-97.2</w:t>
            </w:r>
          </w:p>
        </w:tc>
      </w:tr>
      <w:tr>
        <w:trPr>
          <w:cantSplit/>
          <w:trHeight w:val="363" w:hRule="exact"/>
        </w:trPr>
        <w:tc>
          <w:tcPr>
            <w:tcW w:w="2204"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top"/>
          </w:tcPr>
          <w:p>
            <w:pPr>
              <w:keepNext w:val="0"/>
              <w:keepLines w:val="0"/>
              <w:pageBreakBefore w:val="0"/>
              <w:widowControl/>
              <w:suppressLineNumbers w:val="0"/>
              <w:kinsoku/>
              <w:wordWrap/>
              <w:overflowPunct/>
              <w:topLinePunct w:val="0"/>
              <w:autoSpaceDE/>
              <w:autoSpaceDN/>
              <w:bidi w:val="0"/>
              <w:adjustRightInd w:val="0"/>
              <w:snapToGrid w:val="0"/>
              <w:jc w:val="left"/>
              <w:textAlignment w:val="top"/>
              <w:rPr>
                <w:rFonts w:hint="eastAsia" w:ascii="宋体" w:hAnsi="宋体" w:eastAsia="宋体" w:cs="宋体"/>
                <w:b/>
                <w:bCs/>
                <w:i w:val="0"/>
                <w:color w:val="0000FF"/>
                <w:sz w:val="24"/>
                <w:szCs w:val="24"/>
                <w:u w:val="none"/>
              </w:rPr>
            </w:pPr>
            <w:r>
              <w:rPr>
                <w:rFonts w:hint="eastAsia" w:ascii="宋体" w:hAnsi="宋体" w:eastAsia="宋体" w:cs="宋体"/>
                <w:b/>
                <w:bCs/>
                <w:i w:val="0"/>
                <w:color w:val="000000"/>
                <w:kern w:val="0"/>
                <w:sz w:val="24"/>
                <w:szCs w:val="24"/>
                <w:u w:val="none"/>
                <w:lang w:val="en-US" w:eastAsia="zh-CN" w:bidi="ar"/>
              </w:rPr>
              <w:t>发电量</w:t>
            </w:r>
          </w:p>
        </w:tc>
        <w:tc>
          <w:tcPr>
            <w:tcW w:w="1792"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0000FF"/>
                <w:sz w:val="24"/>
                <w:szCs w:val="24"/>
                <w:u w:val="none"/>
              </w:rPr>
            </w:pPr>
            <w:r>
              <w:rPr>
                <w:rFonts w:hint="eastAsia" w:ascii="宋体" w:hAnsi="宋体" w:eastAsia="宋体" w:cs="宋体"/>
                <w:i w:val="0"/>
                <w:color w:val="000000"/>
                <w:kern w:val="0"/>
                <w:sz w:val="24"/>
                <w:szCs w:val="24"/>
                <w:u w:val="none"/>
                <w:lang w:val="en-US" w:eastAsia="zh-CN" w:bidi="ar"/>
              </w:rPr>
              <w:t>亿千瓦时</w:t>
            </w:r>
          </w:p>
        </w:tc>
        <w:tc>
          <w:tcPr>
            <w:tcW w:w="1980"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33.90</w:t>
            </w:r>
          </w:p>
        </w:tc>
        <w:tc>
          <w:tcPr>
            <w:tcW w:w="226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62.1</w:t>
            </w:r>
          </w:p>
        </w:tc>
      </w:tr>
      <w:tr>
        <w:trPr>
          <w:cantSplit/>
          <w:trHeight w:val="363" w:hRule="exact"/>
        </w:trPr>
        <w:tc>
          <w:tcPr>
            <w:tcW w:w="2204"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top"/>
          </w:tcPr>
          <w:p>
            <w:pPr>
              <w:keepNext w:val="0"/>
              <w:keepLines w:val="0"/>
              <w:pageBreakBefore w:val="0"/>
              <w:widowControl/>
              <w:suppressLineNumbers w:val="0"/>
              <w:kinsoku/>
              <w:wordWrap/>
              <w:overflowPunct/>
              <w:topLinePunct w:val="0"/>
              <w:autoSpaceDE/>
              <w:autoSpaceDN/>
              <w:bidi w:val="0"/>
              <w:adjustRightInd w:val="0"/>
              <w:snapToGrid w:val="0"/>
              <w:jc w:val="left"/>
              <w:textAlignment w:val="top"/>
              <w:rPr>
                <w:rFonts w:hint="eastAsia" w:ascii="宋体" w:hAnsi="宋体" w:eastAsia="宋体" w:cs="宋体"/>
                <w:b/>
                <w:bCs/>
                <w:i w:val="0"/>
                <w:color w:val="0000FF"/>
                <w:sz w:val="24"/>
                <w:szCs w:val="24"/>
                <w:u w:val="none"/>
              </w:rPr>
            </w:pPr>
            <w:r>
              <w:rPr>
                <w:rFonts w:hint="eastAsia" w:ascii="宋体" w:hAnsi="宋体" w:eastAsia="宋体" w:cs="宋体"/>
                <w:b/>
                <w:bCs/>
                <w:i w:val="0"/>
                <w:color w:val="000000"/>
                <w:kern w:val="0"/>
                <w:sz w:val="24"/>
                <w:szCs w:val="24"/>
                <w:u w:val="none"/>
                <w:lang w:val="en-US" w:eastAsia="zh-CN" w:bidi="ar"/>
              </w:rPr>
              <w:t>其中： 水电</w:t>
            </w:r>
          </w:p>
        </w:tc>
        <w:tc>
          <w:tcPr>
            <w:tcW w:w="1792"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0000FF"/>
                <w:sz w:val="24"/>
                <w:szCs w:val="24"/>
                <w:u w:val="none"/>
              </w:rPr>
            </w:pPr>
            <w:r>
              <w:rPr>
                <w:rFonts w:hint="eastAsia" w:ascii="宋体" w:hAnsi="宋体" w:eastAsia="宋体" w:cs="宋体"/>
                <w:i w:val="0"/>
                <w:color w:val="000000"/>
                <w:kern w:val="0"/>
                <w:sz w:val="24"/>
                <w:szCs w:val="24"/>
                <w:u w:val="none"/>
                <w:lang w:val="en-US" w:eastAsia="zh-CN" w:bidi="ar"/>
              </w:rPr>
              <w:t>亿千瓦时</w:t>
            </w:r>
          </w:p>
        </w:tc>
        <w:tc>
          <w:tcPr>
            <w:tcW w:w="1980"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13.32</w:t>
            </w:r>
          </w:p>
        </w:tc>
        <w:tc>
          <w:tcPr>
            <w:tcW w:w="226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9.2</w:t>
            </w:r>
          </w:p>
        </w:tc>
      </w:tr>
      <w:tr>
        <w:trPr>
          <w:cantSplit/>
          <w:trHeight w:val="363" w:hRule="exact"/>
        </w:trPr>
        <w:tc>
          <w:tcPr>
            <w:tcW w:w="2204"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top"/>
          </w:tcPr>
          <w:p>
            <w:pPr>
              <w:keepNext w:val="0"/>
              <w:keepLines w:val="0"/>
              <w:pageBreakBefore w:val="0"/>
              <w:widowControl/>
              <w:suppressLineNumbers w:val="0"/>
              <w:kinsoku/>
              <w:wordWrap/>
              <w:overflowPunct/>
              <w:topLinePunct w:val="0"/>
              <w:autoSpaceDE/>
              <w:autoSpaceDN/>
              <w:bidi w:val="0"/>
              <w:adjustRightInd w:val="0"/>
              <w:snapToGrid w:val="0"/>
              <w:jc w:val="left"/>
              <w:textAlignment w:val="top"/>
              <w:rPr>
                <w:rFonts w:hint="eastAsia" w:ascii="宋体" w:hAnsi="宋体" w:eastAsia="宋体" w:cs="宋体"/>
                <w:b/>
                <w:bCs/>
                <w:i w:val="0"/>
                <w:color w:val="0000FF"/>
                <w:sz w:val="24"/>
                <w:szCs w:val="24"/>
                <w:u w:val="none"/>
              </w:rPr>
            </w:pPr>
            <w:r>
              <w:rPr>
                <w:rFonts w:hint="eastAsia" w:ascii="宋体" w:hAnsi="宋体" w:eastAsia="宋体" w:cs="宋体"/>
                <w:b/>
                <w:bCs/>
                <w:i w:val="0"/>
                <w:color w:val="000000"/>
                <w:kern w:val="0"/>
                <w:sz w:val="24"/>
                <w:szCs w:val="24"/>
                <w:u w:val="none"/>
                <w:lang w:val="en-US" w:eastAsia="zh-CN" w:bidi="ar"/>
              </w:rPr>
              <w:t xml:space="preserve">       火电</w:t>
            </w:r>
          </w:p>
        </w:tc>
        <w:tc>
          <w:tcPr>
            <w:tcW w:w="1792"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0000FF"/>
                <w:sz w:val="24"/>
                <w:szCs w:val="24"/>
                <w:u w:val="none"/>
              </w:rPr>
            </w:pPr>
            <w:r>
              <w:rPr>
                <w:rFonts w:hint="eastAsia" w:ascii="宋体" w:hAnsi="宋体" w:eastAsia="宋体" w:cs="宋体"/>
                <w:i w:val="0"/>
                <w:color w:val="000000"/>
                <w:kern w:val="0"/>
                <w:sz w:val="24"/>
                <w:szCs w:val="24"/>
                <w:u w:val="none"/>
                <w:lang w:val="en-US" w:eastAsia="zh-CN" w:bidi="ar"/>
              </w:rPr>
              <w:t>亿千瓦时</w:t>
            </w:r>
          </w:p>
        </w:tc>
        <w:tc>
          <w:tcPr>
            <w:tcW w:w="1980"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8.08</w:t>
            </w:r>
          </w:p>
        </w:tc>
        <w:tc>
          <w:tcPr>
            <w:tcW w:w="226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319.4</w:t>
            </w:r>
          </w:p>
        </w:tc>
      </w:tr>
      <w:tr>
        <w:trPr>
          <w:cantSplit/>
          <w:trHeight w:val="363" w:hRule="exact"/>
        </w:trPr>
        <w:tc>
          <w:tcPr>
            <w:tcW w:w="2204"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top"/>
          </w:tcPr>
          <w:p>
            <w:pPr>
              <w:keepNext w:val="0"/>
              <w:keepLines w:val="0"/>
              <w:pageBreakBefore w:val="0"/>
              <w:widowControl/>
              <w:suppressLineNumbers w:val="0"/>
              <w:kinsoku/>
              <w:wordWrap/>
              <w:overflowPunct/>
              <w:topLinePunct w:val="0"/>
              <w:autoSpaceDE/>
              <w:autoSpaceDN/>
              <w:bidi w:val="0"/>
              <w:adjustRightInd w:val="0"/>
              <w:snapToGrid w:val="0"/>
              <w:jc w:val="left"/>
              <w:textAlignment w:val="top"/>
              <w:rPr>
                <w:rFonts w:hint="eastAsia" w:ascii="宋体" w:hAnsi="宋体" w:eastAsia="宋体" w:cs="宋体"/>
                <w:b/>
                <w:bCs/>
                <w:i w:val="0"/>
                <w:color w:val="0000FF"/>
                <w:sz w:val="24"/>
                <w:szCs w:val="24"/>
                <w:u w:val="none"/>
              </w:rPr>
            </w:pPr>
            <w:r>
              <w:rPr>
                <w:rFonts w:hint="eastAsia" w:ascii="宋体" w:hAnsi="宋体" w:eastAsia="宋体" w:cs="宋体"/>
                <w:b/>
                <w:bCs/>
                <w:i w:val="0"/>
                <w:color w:val="000000"/>
                <w:kern w:val="0"/>
                <w:sz w:val="24"/>
                <w:szCs w:val="24"/>
                <w:u w:val="none"/>
                <w:lang w:val="en-US" w:eastAsia="zh-CN" w:bidi="ar"/>
              </w:rPr>
              <w:t xml:space="preserve">       太阳能</w:t>
            </w:r>
          </w:p>
        </w:tc>
        <w:tc>
          <w:tcPr>
            <w:tcW w:w="1792"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0000FF"/>
                <w:sz w:val="24"/>
                <w:szCs w:val="24"/>
                <w:u w:val="none"/>
              </w:rPr>
            </w:pPr>
            <w:r>
              <w:rPr>
                <w:rFonts w:hint="eastAsia" w:ascii="宋体" w:hAnsi="宋体" w:eastAsia="宋体" w:cs="宋体"/>
                <w:i w:val="0"/>
                <w:color w:val="000000"/>
                <w:kern w:val="0"/>
                <w:sz w:val="24"/>
                <w:szCs w:val="24"/>
                <w:u w:val="none"/>
                <w:lang w:val="en-US" w:eastAsia="zh-CN" w:bidi="ar"/>
              </w:rPr>
              <w:t>亿千瓦时</w:t>
            </w:r>
          </w:p>
        </w:tc>
        <w:tc>
          <w:tcPr>
            <w:tcW w:w="1980"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12.50</w:t>
            </w:r>
          </w:p>
        </w:tc>
        <w:tc>
          <w:tcPr>
            <w:tcW w:w="226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sz w:val="24"/>
                <w:szCs w:val="24"/>
                <w:u w:val="none"/>
                <w:lang w:val="en-US" w:eastAsia="zh-CN"/>
              </w:rPr>
              <w:t>83.9</w:t>
            </w:r>
          </w:p>
        </w:tc>
      </w:tr>
      <w:tr>
        <w:trPr>
          <w:cantSplit/>
          <w:trHeight w:val="363" w:hRule="exact"/>
        </w:trPr>
        <w:tc>
          <w:tcPr>
            <w:tcW w:w="2204"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top"/>
          </w:tcPr>
          <w:p>
            <w:pPr>
              <w:keepNext w:val="0"/>
              <w:keepLines w:val="0"/>
              <w:pageBreakBefore w:val="0"/>
              <w:widowControl/>
              <w:suppressLineNumbers w:val="0"/>
              <w:kinsoku/>
              <w:wordWrap/>
              <w:overflowPunct/>
              <w:topLinePunct w:val="0"/>
              <w:autoSpaceDE/>
              <w:autoSpaceDN/>
              <w:bidi w:val="0"/>
              <w:adjustRightInd w:val="0"/>
              <w:snapToGrid w:val="0"/>
              <w:jc w:val="left"/>
              <w:textAlignment w:val="top"/>
              <w:rPr>
                <w:rFonts w:hint="eastAsia" w:ascii="宋体" w:hAnsi="宋体" w:eastAsia="宋体" w:cs="宋体"/>
                <w:b/>
                <w:bCs/>
                <w:i w:val="0"/>
                <w:color w:val="0000FF"/>
                <w:sz w:val="24"/>
                <w:szCs w:val="24"/>
                <w:u w:val="none"/>
              </w:rPr>
            </w:pPr>
            <w:r>
              <w:rPr>
                <w:rFonts w:hint="eastAsia" w:ascii="宋体" w:hAnsi="宋体" w:eastAsia="宋体" w:cs="宋体"/>
                <w:b/>
                <w:bCs/>
                <w:i w:val="0"/>
                <w:color w:val="000000"/>
                <w:kern w:val="0"/>
                <w:sz w:val="24"/>
                <w:szCs w:val="24"/>
                <w:u w:val="none"/>
                <w:lang w:val="en-US" w:eastAsia="zh-CN" w:bidi="ar"/>
              </w:rPr>
              <w:t>焙烤松脆食品</w:t>
            </w:r>
          </w:p>
        </w:tc>
        <w:tc>
          <w:tcPr>
            <w:tcW w:w="1792"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0000FF"/>
                <w:sz w:val="24"/>
                <w:szCs w:val="24"/>
                <w:u w:val="none"/>
              </w:rPr>
            </w:pPr>
            <w:r>
              <w:rPr>
                <w:rFonts w:hint="eastAsia" w:ascii="宋体" w:hAnsi="宋体" w:eastAsia="宋体" w:cs="宋体"/>
                <w:i w:val="0"/>
                <w:color w:val="000000"/>
                <w:kern w:val="0"/>
                <w:sz w:val="24"/>
                <w:szCs w:val="24"/>
                <w:u w:val="none"/>
                <w:lang w:val="en-US" w:eastAsia="zh-CN" w:bidi="ar"/>
              </w:rPr>
              <w:t>万吨</w:t>
            </w:r>
          </w:p>
        </w:tc>
        <w:tc>
          <w:tcPr>
            <w:tcW w:w="1980"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sz w:val="24"/>
                <w:szCs w:val="24"/>
                <w:u w:val="none"/>
                <w:lang w:val="en-US" w:eastAsia="zh-CN"/>
              </w:rPr>
              <w:t>0.76</w:t>
            </w:r>
          </w:p>
        </w:tc>
        <w:tc>
          <w:tcPr>
            <w:tcW w:w="226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eastAsia="zh-CN"/>
              </w:rPr>
            </w:pPr>
            <w:r>
              <w:rPr>
                <w:rFonts w:hint="eastAsia" w:ascii="Times New Roman" w:hAnsi="Times New Roman" w:eastAsia="宋体" w:cs="Times New Roman"/>
                <w:i w:val="0"/>
                <w:color w:val="000000"/>
                <w:kern w:val="0"/>
                <w:sz w:val="24"/>
                <w:szCs w:val="24"/>
                <w:u w:val="none"/>
                <w:lang w:val="en-US" w:eastAsia="zh-CN" w:bidi="ar"/>
              </w:rPr>
              <w:t>-23.1</w:t>
            </w:r>
          </w:p>
        </w:tc>
      </w:tr>
      <w:tr>
        <w:trPr>
          <w:cantSplit/>
          <w:trHeight w:val="363" w:hRule="exact"/>
        </w:trPr>
        <w:tc>
          <w:tcPr>
            <w:tcW w:w="2204"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top"/>
          </w:tcPr>
          <w:p>
            <w:pPr>
              <w:keepNext w:val="0"/>
              <w:keepLines w:val="0"/>
              <w:pageBreakBefore w:val="0"/>
              <w:widowControl/>
              <w:suppressLineNumbers w:val="0"/>
              <w:kinsoku/>
              <w:wordWrap/>
              <w:overflowPunct/>
              <w:topLinePunct w:val="0"/>
              <w:autoSpaceDE/>
              <w:autoSpaceDN/>
              <w:bidi w:val="0"/>
              <w:adjustRightInd w:val="0"/>
              <w:snapToGrid w:val="0"/>
              <w:jc w:val="left"/>
              <w:textAlignment w:val="top"/>
              <w:rPr>
                <w:rFonts w:hint="eastAsia" w:ascii="宋体" w:hAnsi="宋体" w:eastAsia="宋体" w:cs="宋体"/>
                <w:b/>
                <w:bCs/>
                <w:i w:val="0"/>
                <w:color w:val="0000FF"/>
                <w:sz w:val="24"/>
                <w:szCs w:val="24"/>
                <w:u w:val="none"/>
              </w:rPr>
            </w:pPr>
            <w:r>
              <w:rPr>
                <w:rFonts w:hint="eastAsia" w:ascii="宋体" w:hAnsi="宋体" w:eastAsia="宋体" w:cs="宋体"/>
                <w:b/>
                <w:bCs/>
                <w:i w:val="0"/>
                <w:color w:val="000000"/>
                <w:kern w:val="0"/>
                <w:sz w:val="24"/>
                <w:szCs w:val="24"/>
                <w:u w:val="none"/>
                <w:lang w:val="en-US" w:eastAsia="zh-CN" w:bidi="ar"/>
              </w:rPr>
              <w:t>小麦粉</w:t>
            </w:r>
          </w:p>
        </w:tc>
        <w:tc>
          <w:tcPr>
            <w:tcW w:w="1792"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0000FF"/>
                <w:sz w:val="24"/>
                <w:szCs w:val="24"/>
                <w:u w:val="none"/>
              </w:rPr>
            </w:pPr>
            <w:r>
              <w:rPr>
                <w:rFonts w:hint="eastAsia" w:ascii="宋体" w:hAnsi="宋体" w:eastAsia="宋体" w:cs="宋体"/>
                <w:i w:val="0"/>
                <w:color w:val="000000"/>
                <w:kern w:val="0"/>
                <w:sz w:val="24"/>
                <w:szCs w:val="24"/>
                <w:u w:val="none"/>
                <w:lang w:val="en-US" w:eastAsia="zh-CN" w:bidi="ar"/>
              </w:rPr>
              <w:t>万吨</w:t>
            </w:r>
          </w:p>
        </w:tc>
        <w:tc>
          <w:tcPr>
            <w:tcW w:w="1980"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sz w:val="24"/>
                <w:szCs w:val="24"/>
                <w:u w:val="none"/>
                <w:lang w:val="en-US" w:eastAsia="zh-CN"/>
              </w:rPr>
              <w:t>7.48</w:t>
            </w:r>
          </w:p>
        </w:tc>
        <w:tc>
          <w:tcPr>
            <w:tcW w:w="226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-6.5</w:t>
            </w:r>
          </w:p>
        </w:tc>
      </w:tr>
      <w:tr>
        <w:trPr>
          <w:cantSplit/>
          <w:trHeight w:val="363" w:hRule="exact"/>
        </w:trPr>
        <w:tc>
          <w:tcPr>
            <w:tcW w:w="2204"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top"/>
          </w:tcPr>
          <w:p>
            <w:pPr>
              <w:keepNext w:val="0"/>
              <w:keepLines w:val="0"/>
              <w:pageBreakBefore w:val="0"/>
              <w:widowControl/>
              <w:suppressLineNumbers w:val="0"/>
              <w:kinsoku/>
              <w:wordWrap/>
              <w:overflowPunct/>
              <w:topLinePunct w:val="0"/>
              <w:autoSpaceDE/>
              <w:autoSpaceDN/>
              <w:bidi w:val="0"/>
              <w:adjustRightInd w:val="0"/>
              <w:snapToGrid w:val="0"/>
              <w:jc w:val="left"/>
              <w:textAlignment w:val="top"/>
              <w:rPr>
                <w:rFonts w:hint="eastAsia" w:ascii="宋体" w:hAnsi="宋体" w:eastAsia="宋体" w:cs="宋体"/>
                <w:b/>
                <w:bCs/>
                <w:i w:val="0"/>
                <w:color w:val="0000FF"/>
                <w:sz w:val="24"/>
                <w:szCs w:val="24"/>
                <w:u w:val="none"/>
              </w:rPr>
            </w:pPr>
            <w:r>
              <w:rPr>
                <w:rFonts w:hint="eastAsia" w:ascii="宋体" w:hAnsi="宋体" w:eastAsia="宋体" w:cs="宋体"/>
                <w:b/>
                <w:bCs/>
                <w:i w:val="0"/>
                <w:color w:val="000000"/>
                <w:kern w:val="0"/>
                <w:sz w:val="24"/>
                <w:szCs w:val="24"/>
                <w:u w:val="none"/>
                <w:lang w:val="en-US" w:eastAsia="zh-CN" w:bidi="ar"/>
              </w:rPr>
              <w:t>纱</w:t>
            </w:r>
          </w:p>
        </w:tc>
        <w:tc>
          <w:tcPr>
            <w:tcW w:w="1792"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0000FF"/>
                <w:sz w:val="24"/>
                <w:szCs w:val="24"/>
                <w:u w:val="none"/>
              </w:rPr>
            </w:pPr>
            <w:r>
              <w:rPr>
                <w:rFonts w:hint="eastAsia" w:ascii="宋体" w:hAnsi="宋体" w:eastAsia="宋体" w:cs="宋体"/>
                <w:i w:val="0"/>
                <w:color w:val="000000"/>
                <w:kern w:val="0"/>
                <w:sz w:val="24"/>
                <w:szCs w:val="24"/>
                <w:u w:val="none"/>
                <w:lang w:val="en-US" w:eastAsia="zh-CN" w:bidi="ar"/>
              </w:rPr>
              <w:t>万吨</w:t>
            </w:r>
          </w:p>
        </w:tc>
        <w:tc>
          <w:tcPr>
            <w:tcW w:w="1980"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sz w:val="24"/>
                <w:szCs w:val="24"/>
                <w:u w:val="none"/>
                <w:lang w:val="en-US" w:eastAsia="zh-CN"/>
              </w:rPr>
              <w:t>4.88</w:t>
            </w:r>
          </w:p>
        </w:tc>
        <w:tc>
          <w:tcPr>
            <w:tcW w:w="226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71.0</w:t>
            </w:r>
          </w:p>
        </w:tc>
      </w:tr>
      <w:tr>
        <w:trPr>
          <w:cantSplit/>
          <w:trHeight w:val="363" w:hRule="exact"/>
        </w:trPr>
        <w:tc>
          <w:tcPr>
            <w:tcW w:w="2204"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top"/>
          </w:tcPr>
          <w:p>
            <w:pPr>
              <w:keepNext w:val="0"/>
              <w:keepLines w:val="0"/>
              <w:pageBreakBefore w:val="0"/>
              <w:widowControl/>
              <w:suppressLineNumbers w:val="0"/>
              <w:kinsoku/>
              <w:wordWrap/>
              <w:overflowPunct/>
              <w:topLinePunct w:val="0"/>
              <w:autoSpaceDE/>
              <w:autoSpaceDN/>
              <w:bidi w:val="0"/>
              <w:adjustRightInd w:val="0"/>
              <w:snapToGrid w:val="0"/>
              <w:jc w:val="left"/>
              <w:textAlignment w:val="top"/>
              <w:rPr>
                <w:rFonts w:hint="eastAsia" w:ascii="宋体" w:hAnsi="宋体" w:eastAsia="宋体" w:cs="宋体"/>
                <w:b/>
                <w:bCs/>
                <w:i w:val="0"/>
                <w:color w:val="0000FF"/>
                <w:sz w:val="24"/>
                <w:szCs w:val="24"/>
                <w:u w:val="none"/>
              </w:rPr>
            </w:pPr>
            <w:r>
              <w:rPr>
                <w:rFonts w:hint="eastAsia" w:ascii="宋体" w:hAnsi="宋体" w:eastAsia="宋体" w:cs="宋体"/>
                <w:b/>
                <w:bCs/>
                <w:i w:val="0"/>
                <w:color w:val="000000"/>
                <w:kern w:val="0"/>
                <w:sz w:val="24"/>
                <w:szCs w:val="24"/>
                <w:u w:val="none"/>
                <w:lang w:val="en-US" w:eastAsia="zh-CN" w:bidi="ar"/>
              </w:rPr>
              <w:t>服装</w:t>
            </w:r>
          </w:p>
        </w:tc>
        <w:tc>
          <w:tcPr>
            <w:tcW w:w="1792"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0000FF"/>
                <w:sz w:val="24"/>
                <w:szCs w:val="24"/>
                <w:u w:val="none"/>
              </w:rPr>
            </w:pPr>
            <w:r>
              <w:rPr>
                <w:rFonts w:hint="eastAsia" w:ascii="宋体" w:hAnsi="宋体" w:eastAsia="宋体" w:cs="宋体"/>
                <w:i w:val="0"/>
                <w:color w:val="000000"/>
                <w:kern w:val="0"/>
                <w:sz w:val="24"/>
                <w:szCs w:val="24"/>
                <w:u w:val="none"/>
                <w:lang w:val="en-US" w:eastAsia="zh-CN" w:bidi="ar"/>
              </w:rPr>
              <w:t>万件</w:t>
            </w:r>
          </w:p>
        </w:tc>
        <w:tc>
          <w:tcPr>
            <w:tcW w:w="1980"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1587.28</w:t>
            </w:r>
          </w:p>
        </w:tc>
        <w:tc>
          <w:tcPr>
            <w:tcW w:w="226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0.6</w:t>
            </w:r>
          </w:p>
        </w:tc>
      </w:tr>
      <w:tr>
        <w:trPr>
          <w:cantSplit/>
          <w:trHeight w:val="363" w:hRule="exact"/>
        </w:trPr>
        <w:tc>
          <w:tcPr>
            <w:tcW w:w="2204"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top"/>
          </w:tcPr>
          <w:p>
            <w:pPr>
              <w:keepNext w:val="0"/>
              <w:keepLines w:val="0"/>
              <w:pageBreakBefore w:val="0"/>
              <w:widowControl/>
              <w:suppressLineNumbers w:val="0"/>
              <w:kinsoku/>
              <w:wordWrap/>
              <w:overflowPunct/>
              <w:topLinePunct w:val="0"/>
              <w:autoSpaceDE/>
              <w:autoSpaceDN/>
              <w:bidi w:val="0"/>
              <w:adjustRightInd w:val="0"/>
              <w:snapToGrid w:val="0"/>
              <w:jc w:val="left"/>
              <w:textAlignment w:val="top"/>
              <w:rPr>
                <w:rFonts w:hint="eastAsia" w:ascii="宋体" w:hAnsi="宋体" w:eastAsia="宋体" w:cs="宋体"/>
                <w:b/>
                <w:bCs/>
                <w:i w:val="0"/>
                <w:color w:val="0000FF"/>
                <w:sz w:val="24"/>
                <w:szCs w:val="24"/>
                <w:u w:val="none"/>
              </w:rPr>
            </w:pPr>
            <w:r>
              <w:rPr>
                <w:rFonts w:hint="eastAsia" w:ascii="宋体" w:hAnsi="宋体" w:eastAsia="宋体" w:cs="宋体"/>
                <w:b/>
                <w:bCs/>
                <w:i w:val="0"/>
                <w:color w:val="000000"/>
                <w:kern w:val="0"/>
                <w:sz w:val="24"/>
                <w:szCs w:val="24"/>
                <w:u w:val="none"/>
                <w:lang w:val="en-US" w:eastAsia="zh-CN" w:bidi="ar"/>
              </w:rPr>
              <w:t>饲料</w:t>
            </w:r>
          </w:p>
        </w:tc>
        <w:tc>
          <w:tcPr>
            <w:tcW w:w="1792"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0000FF"/>
                <w:sz w:val="24"/>
                <w:szCs w:val="24"/>
                <w:u w:val="none"/>
              </w:rPr>
            </w:pPr>
            <w:r>
              <w:rPr>
                <w:rFonts w:hint="eastAsia" w:ascii="宋体" w:hAnsi="宋体" w:eastAsia="宋体" w:cs="宋体"/>
                <w:i w:val="0"/>
                <w:color w:val="000000"/>
                <w:kern w:val="0"/>
                <w:sz w:val="24"/>
                <w:szCs w:val="24"/>
                <w:u w:val="none"/>
                <w:lang w:val="en-US" w:eastAsia="zh-CN" w:bidi="ar"/>
              </w:rPr>
              <w:t>万吨</w:t>
            </w:r>
          </w:p>
        </w:tc>
        <w:tc>
          <w:tcPr>
            <w:tcW w:w="1980"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sz w:val="24"/>
                <w:szCs w:val="24"/>
                <w:u w:val="none"/>
                <w:lang w:val="en-US" w:eastAsia="zh-CN"/>
              </w:rPr>
              <w:t>4.32</w:t>
            </w:r>
          </w:p>
        </w:tc>
        <w:tc>
          <w:tcPr>
            <w:tcW w:w="226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3.1</w:t>
            </w:r>
          </w:p>
        </w:tc>
      </w:tr>
      <w:tr>
        <w:trPr>
          <w:cantSplit/>
          <w:trHeight w:val="363" w:hRule="exact"/>
        </w:trPr>
        <w:tc>
          <w:tcPr>
            <w:tcW w:w="2204"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top"/>
          </w:tcPr>
          <w:p>
            <w:pPr>
              <w:keepNext w:val="0"/>
              <w:keepLines w:val="0"/>
              <w:pageBreakBefore w:val="0"/>
              <w:widowControl/>
              <w:suppressLineNumbers w:val="0"/>
              <w:kinsoku/>
              <w:wordWrap/>
              <w:overflowPunct/>
              <w:topLinePunct w:val="0"/>
              <w:autoSpaceDE/>
              <w:autoSpaceDN/>
              <w:bidi w:val="0"/>
              <w:adjustRightInd w:val="0"/>
              <w:snapToGrid w:val="0"/>
              <w:jc w:val="left"/>
              <w:textAlignment w:val="top"/>
              <w:rPr>
                <w:rFonts w:hint="eastAsia" w:ascii="宋体" w:hAnsi="宋体" w:eastAsia="宋体" w:cs="宋体"/>
                <w:b/>
                <w:bCs/>
                <w:i w:val="0"/>
                <w:color w:val="0000FF"/>
                <w:sz w:val="24"/>
                <w:szCs w:val="24"/>
                <w:u w:val="none"/>
              </w:rPr>
            </w:pPr>
            <w:r>
              <w:rPr>
                <w:rFonts w:hint="eastAsia" w:ascii="宋体" w:hAnsi="宋体" w:eastAsia="宋体" w:cs="宋体"/>
                <w:b/>
                <w:bCs/>
                <w:i w:val="0"/>
                <w:color w:val="000000"/>
                <w:kern w:val="0"/>
                <w:sz w:val="24"/>
                <w:szCs w:val="24"/>
                <w:u w:val="none"/>
                <w:lang w:val="en-US" w:eastAsia="zh-CN" w:bidi="ar"/>
              </w:rPr>
              <w:t>冻肉</w:t>
            </w:r>
          </w:p>
        </w:tc>
        <w:tc>
          <w:tcPr>
            <w:tcW w:w="1792"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0000FF"/>
                <w:sz w:val="24"/>
                <w:szCs w:val="24"/>
                <w:u w:val="none"/>
              </w:rPr>
            </w:pPr>
            <w:r>
              <w:rPr>
                <w:rFonts w:hint="eastAsia" w:ascii="宋体" w:hAnsi="宋体" w:eastAsia="宋体" w:cs="宋体"/>
                <w:i w:val="0"/>
                <w:color w:val="000000"/>
                <w:kern w:val="0"/>
                <w:sz w:val="24"/>
                <w:szCs w:val="24"/>
                <w:u w:val="none"/>
                <w:lang w:val="en-US" w:eastAsia="zh-CN" w:bidi="ar"/>
              </w:rPr>
              <w:t>万吨</w:t>
            </w:r>
          </w:p>
        </w:tc>
        <w:tc>
          <w:tcPr>
            <w:tcW w:w="1980"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0.15</w:t>
            </w:r>
          </w:p>
        </w:tc>
        <w:tc>
          <w:tcPr>
            <w:tcW w:w="226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u w:val="none"/>
                <w:lang w:val="en-US"/>
              </w:rPr>
            </w:pPr>
            <w:r>
              <w:rPr>
                <w:rFonts w:hint="eastAsia" w:ascii="Times New Roman" w:hAnsi="Times New Roman" w:eastAsia="宋体" w:cs="Times New Roman"/>
                <w:i w:val="0"/>
                <w:color w:val="000000"/>
                <w:kern w:val="0"/>
                <w:sz w:val="24"/>
                <w:szCs w:val="24"/>
                <w:u w:val="none"/>
                <w:lang w:val="en-US" w:eastAsia="zh-CN" w:bidi="ar"/>
              </w:rPr>
              <w:t>-90.1</w:t>
            </w:r>
          </w:p>
        </w:tc>
      </w:tr>
      <w:tr>
        <w:trPr>
          <w:cantSplit/>
          <w:trHeight w:val="363" w:hRule="exact"/>
        </w:trPr>
        <w:tc>
          <w:tcPr>
            <w:tcW w:w="2204"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top"/>
          </w:tcPr>
          <w:p>
            <w:pPr>
              <w:keepNext w:val="0"/>
              <w:keepLines w:val="0"/>
              <w:pageBreakBefore w:val="0"/>
              <w:widowControl/>
              <w:suppressLineNumbers w:val="0"/>
              <w:kinsoku/>
              <w:wordWrap/>
              <w:overflowPunct/>
              <w:topLinePunct w:val="0"/>
              <w:autoSpaceDE/>
              <w:autoSpaceDN/>
              <w:bidi w:val="0"/>
              <w:adjustRightInd w:val="0"/>
              <w:snapToGrid w:val="0"/>
              <w:jc w:val="left"/>
              <w:textAlignment w:val="top"/>
              <w:rPr>
                <w:rFonts w:hint="eastAsia" w:ascii="宋体" w:hAnsi="宋体" w:eastAsia="宋体" w:cs="宋体"/>
                <w:b/>
                <w:bCs/>
                <w:i w:val="0"/>
                <w:color w:val="0000FF"/>
                <w:kern w:val="0"/>
                <w:sz w:val="24"/>
                <w:szCs w:val="24"/>
                <w:u w:val="none"/>
                <w:lang w:val="en-US" w:eastAsia="zh-CN" w:bidi="ar"/>
              </w:rPr>
            </w:pPr>
            <w:r>
              <w:rPr>
                <w:rFonts w:hint="eastAsia" w:ascii="宋体" w:hAnsi="宋体" w:eastAsia="宋体" w:cs="宋体"/>
                <w:b/>
                <w:bCs/>
                <w:i w:val="0"/>
                <w:color w:val="000000"/>
                <w:kern w:val="0"/>
                <w:sz w:val="24"/>
                <w:szCs w:val="24"/>
                <w:u w:val="none"/>
                <w:lang w:val="en-US" w:eastAsia="zh-CN" w:bidi="ar"/>
              </w:rPr>
              <w:t>中成药</w:t>
            </w:r>
          </w:p>
        </w:tc>
        <w:tc>
          <w:tcPr>
            <w:tcW w:w="1792"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0000FF"/>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万吨</w:t>
            </w:r>
          </w:p>
        </w:tc>
        <w:tc>
          <w:tcPr>
            <w:tcW w:w="1980"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kern w:val="0"/>
                <w:sz w:val="24"/>
                <w:szCs w:val="24"/>
                <w:u w:val="none"/>
                <w:lang w:val="en-US" w:eastAsia="zh-CN" w:bidi="ar"/>
              </w:rPr>
            </w:pPr>
            <w:r>
              <w:rPr>
                <w:rFonts w:hint="eastAsia" w:ascii="Times New Roman" w:hAnsi="Times New Roman" w:eastAsia="宋体" w:cs="Times New Roman"/>
                <w:i w:val="0"/>
                <w:color w:val="000000"/>
                <w:kern w:val="0"/>
                <w:sz w:val="24"/>
                <w:szCs w:val="24"/>
                <w:u w:val="none"/>
                <w:lang w:val="en-US" w:eastAsia="zh-CN" w:bidi="ar"/>
              </w:rPr>
              <w:t>0.14</w:t>
            </w:r>
          </w:p>
        </w:tc>
        <w:tc>
          <w:tcPr>
            <w:tcW w:w="2265" w:type="dxa"/>
            <w:tcBorders>
              <w:top w:val="single" w:color="auto" w:sz="4" w:space="0"/>
              <w:left w:val="single" w:color="auto" w:sz="4" w:space="0"/>
              <w:bottom w:val="single" w:color="auto" w:sz="4" w:space="0"/>
              <w:right w:val="single" w:color="auto"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kern w:val="0"/>
                <w:sz w:val="24"/>
                <w:szCs w:val="24"/>
                <w:u w:val="none"/>
                <w:lang w:val="en-US" w:eastAsia="zh-CN" w:bidi="ar"/>
              </w:rPr>
            </w:pPr>
            <w:r>
              <w:rPr>
                <w:rFonts w:hint="eastAsia" w:ascii="Times New Roman" w:hAnsi="Times New Roman" w:eastAsia="宋体" w:cs="Times New Roman"/>
                <w:i w:val="0"/>
                <w:color w:val="000000"/>
                <w:kern w:val="0"/>
                <w:sz w:val="24"/>
                <w:szCs w:val="24"/>
                <w:u w:val="none"/>
                <w:lang w:val="en-US" w:eastAsia="zh-CN" w:bidi="ar"/>
              </w:rPr>
              <w:t>39.0</w:t>
            </w:r>
          </w:p>
        </w:tc>
      </w:tr>
    </w:tbl>
    <w:p>
      <w:pPr>
        <w:keepNext w:val="0"/>
        <w:keepLines w:val="0"/>
        <w:pageBreakBefore w:val="0"/>
        <w:widowControl w:val="0"/>
        <w:kinsoku/>
        <w:wordWrap/>
        <w:overflowPunct/>
        <w:topLinePunct w:val="0"/>
        <w:autoSpaceDE/>
        <w:autoSpaceDN/>
        <w:bidi w:val="0"/>
        <w:adjustRightInd/>
        <w:snapToGrid/>
        <w:spacing w:line="560" w:lineRule="exact"/>
        <w:ind w:firstLine="653"/>
        <w:textAlignment w:val="auto"/>
        <w:rPr>
          <w:rFonts w:hint="default" w:ascii="Times New Roman" w:hAnsi="Times New Roman" w:eastAsia="方正仿宋简体" w:cs="Times New Roman"/>
          <w:color w:val="auto"/>
          <w:sz w:val="32"/>
          <w:szCs w:val="32"/>
          <w:highlight w:val="none"/>
        </w:rPr>
      </w:pPr>
    </w:p>
    <w:p>
      <w:pPr>
        <w:keepNext w:val="0"/>
        <w:keepLines w:val="0"/>
        <w:pageBreakBefore w:val="0"/>
        <w:widowControl w:val="0"/>
        <w:kinsoku/>
        <w:wordWrap/>
        <w:overflowPunct/>
        <w:topLinePunct w:val="0"/>
        <w:autoSpaceDE/>
        <w:autoSpaceDN/>
        <w:bidi w:val="0"/>
        <w:adjustRightInd/>
        <w:snapToGrid/>
        <w:spacing w:line="560" w:lineRule="exact"/>
        <w:ind w:firstLine="653"/>
        <w:textAlignment w:val="auto"/>
        <w:rPr>
          <w:rFonts w:hint="eastAsia" w:ascii="仿宋_GB2312" w:hAnsi="仿宋_GB2312" w:eastAsia="仿宋_GB2312" w:cs="仿宋_GB2312"/>
          <w:color w:val="0000FF"/>
          <w:sz w:val="32"/>
          <w:szCs w:val="32"/>
          <w:highlight w:val="yellow"/>
        </w:rPr>
      </w:pPr>
      <w:r>
        <w:rPr>
          <w:rFonts w:hint="default" w:ascii="Times New Roman" w:hAnsi="Times New Roman" w:eastAsia="方正仿宋简体" w:cs="Times New Roman"/>
          <w:color w:val="auto"/>
          <w:sz w:val="32"/>
          <w:szCs w:val="32"/>
          <w:highlight w:val="none"/>
        </w:rPr>
        <w:t>全年建筑业增加值比上年</w:t>
      </w:r>
      <w:r>
        <w:rPr>
          <w:rFonts w:hint="eastAsia" w:ascii="Times New Roman" w:hAnsi="Times New Roman" w:eastAsia="方正仿宋简体" w:cs="Times New Roman"/>
          <w:color w:val="auto"/>
          <w:sz w:val="32"/>
          <w:szCs w:val="32"/>
          <w:highlight w:val="none"/>
          <w:lang w:val="en-US" w:eastAsia="zh-CN"/>
        </w:rPr>
        <w:t>增长14.0</w:t>
      </w:r>
      <w:r>
        <w:rPr>
          <w:rFonts w:hint="default" w:ascii="Times New Roman" w:hAnsi="Times New Roman" w:eastAsia="方正仿宋简体" w:cs="Times New Roman"/>
          <w:color w:val="auto"/>
          <w:sz w:val="32"/>
          <w:szCs w:val="32"/>
          <w:highlight w:val="none"/>
        </w:rPr>
        <w:t>%。</w:t>
      </w:r>
    </w:p>
    <w:p>
      <w:pPr>
        <w:keepNext w:val="0"/>
        <w:keepLines w:val="0"/>
        <w:pageBreakBefore w:val="0"/>
        <w:widowControl w:val="0"/>
        <w:kinsoku/>
        <w:wordWrap/>
        <w:overflowPunct/>
        <w:topLinePunct w:val="0"/>
        <w:autoSpaceDE/>
        <w:autoSpaceDN/>
        <w:bidi w:val="0"/>
        <w:adjustRightInd/>
        <w:snapToGrid/>
        <w:spacing w:line="494" w:lineRule="exact"/>
        <w:textAlignment w:val="auto"/>
        <w:rPr>
          <w:rFonts w:hint="eastAsia" w:ascii="黑体" w:hAnsi="黑体" w:eastAsia="黑体" w:cs="黑体"/>
          <w:color w:val="0000FF"/>
          <w:sz w:val="32"/>
          <w:szCs w:val="32"/>
          <w:highlight w:val="none"/>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黑体" w:hAnsi="黑体" w:eastAsia="黑体" w:cs="黑体"/>
          <w:color w:val="000000" w:themeColor="text1"/>
          <w:sz w:val="32"/>
          <w:szCs w:val="32"/>
          <w:highlight w:val="none"/>
          <w14:textFill>
            <w14:solidFill>
              <w14:schemeClr w14:val="tx1"/>
            </w14:solidFill>
          </w14:textFill>
        </w:rPr>
      </w:pPr>
      <w:r>
        <w:drawing>
          <wp:anchor distT="0" distB="0" distL="114300" distR="114300" simplePos="0" relativeHeight="251677696" behindDoc="0" locked="0" layoutInCell="1" allowOverlap="1">
            <wp:simplePos x="0" y="0"/>
            <wp:positionH relativeFrom="column">
              <wp:posOffset>-23495</wp:posOffset>
            </wp:positionH>
            <wp:positionV relativeFrom="paragraph">
              <wp:posOffset>104775</wp:posOffset>
            </wp:positionV>
            <wp:extent cx="5267960" cy="2696845"/>
            <wp:effectExtent l="0" t="0" r="8890" b="8255"/>
            <wp:wrapSquare wrapText="bothSides"/>
            <wp:docPr id="118492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r>
        <w:rPr>
          <w:rFonts w:hint="eastAsia"/>
          <w:lang w:val="en-US" w:eastAsia="zh-CN"/>
        </w:rPr>
        <w:t xml:space="preserve">       </w:t>
      </w:r>
      <w:r>
        <w:rPr>
          <w:rFonts w:hint="eastAsia" w:ascii="黑体" w:hAnsi="黑体" w:eastAsia="黑体" w:cs="黑体"/>
          <w:color w:val="000000" w:themeColor="text1"/>
          <w:sz w:val="32"/>
          <w:szCs w:val="32"/>
          <w:highlight w:val="none"/>
          <w14:textFill>
            <w14:solidFill>
              <w14:schemeClr w14:val="tx1"/>
            </w14:solidFill>
          </w14:textFill>
        </w:rPr>
        <w:t>四、服务业</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方正仿宋简体" w:cs="Times New Roman"/>
          <w:color w:val="0000FF"/>
          <w:sz w:val="32"/>
          <w:szCs w:val="32"/>
          <w:highlight w:val="none"/>
          <w:lang w:val="en-US" w:eastAsia="zh-CN"/>
        </w:rPr>
      </w:pPr>
      <w:r>
        <w:rPr>
          <w:rFonts w:hint="default" w:ascii="Times New Roman" w:hAnsi="Times New Roman" w:eastAsia="方正仿宋简体" w:cs="Times New Roman"/>
          <w:color w:val="auto"/>
          <w:sz w:val="32"/>
          <w:szCs w:val="32"/>
          <w:highlight w:val="none"/>
          <w:lang w:val="en-US" w:eastAsia="zh-CN"/>
        </w:rPr>
        <w:t>全年服务业增加值比上年增长4.6%。其中，批发和零售业增加值增长6.3%；交通运输、仓储和邮政业增加值增长7.3%；住宿和餐饮业增加值增长13.4%；金融业增加值下降2.4%；房地产业增加值增长4.9%；其他服务业增加值增长4.4%。</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方正仿宋简体" w:cs="Times New Roman"/>
          <w:color w:val="0000FF"/>
          <w:sz w:val="32"/>
          <w:szCs w:val="32"/>
          <w:highlight w:val="yellow"/>
          <w:lang w:val="en-US" w:eastAsia="zh-CN"/>
        </w:rPr>
      </w:pPr>
      <w:r>
        <w:drawing>
          <wp:anchor distT="0" distB="0" distL="114300" distR="114300" simplePos="0" relativeHeight="251671552" behindDoc="0" locked="0" layoutInCell="1" allowOverlap="1">
            <wp:simplePos x="0" y="0"/>
            <wp:positionH relativeFrom="column">
              <wp:posOffset>95250</wp:posOffset>
            </wp:positionH>
            <wp:positionV relativeFrom="paragraph">
              <wp:posOffset>109220</wp:posOffset>
            </wp:positionV>
            <wp:extent cx="5267325" cy="2835910"/>
            <wp:effectExtent l="0" t="0" r="9525" b="2540"/>
            <wp:wrapSquare wrapText="bothSides"/>
            <wp:docPr id="118594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方正仿宋简体" w:cs="Times New Roman"/>
          <w:color w:val="auto"/>
          <w:sz w:val="32"/>
          <w:szCs w:val="32"/>
          <w:highlight w:val="none"/>
          <w:lang w:val="en-US" w:eastAsia="zh-CN"/>
        </w:rPr>
      </w:pPr>
      <w:r>
        <w:rPr>
          <w:rFonts w:hint="default" w:ascii="Times New Roman" w:hAnsi="Times New Roman" w:eastAsia="方正仿宋简体" w:cs="Times New Roman"/>
          <w:color w:val="auto"/>
          <w:sz w:val="32"/>
          <w:szCs w:val="32"/>
          <w:highlight w:val="none"/>
          <w:lang w:val="en-US" w:eastAsia="zh-CN"/>
        </w:rPr>
        <w:t>全</w:t>
      </w:r>
      <w:r>
        <w:rPr>
          <w:rFonts w:hint="eastAsia" w:ascii="Times New Roman" w:hAnsi="Times New Roman" w:eastAsia="方正仿宋简体" w:cs="Times New Roman"/>
          <w:color w:val="auto"/>
          <w:sz w:val="32"/>
          <w:szCs w:val="32"/>
          <w:highlight w:val="none"/>
          <w:lang w:val="en-US" w:eastAsia="zh-CN"/>
        </w:rPr>
        <w:t>年</w:t>
      </w:r>
      <w:r>
        <w:rPr>
          <w:rFonts w:hint="default" w:ascii="Times New Roman" w:hAnsi="Times New Roman" w:eastAsia="方正仿宋简体" w:cs="Times New Roman"/>
          <w:color w:val="auto"/>
          <w:sz w:val="32"/>
          <w:szCs w:val="32"/>
          <w:highlight w:val="none"/>
          <w:lang w:val="en-US" w:eastAsia="zh-CN"/>
        </w:rPr>
        <w:t>公路总里程已达到</w:t>
      </w:r>
      <w:r>
        <w:rPr>
          <w:rFonts w:hint="eastAsia" w:ascii="Times New Roman" w:hAnsi="Times New Roman" w:eastAsia="方正仿宋简体" w:cs="Times New Roman"/>
          <w:color w:val="auto"/>
          <w:sz w:val="32"/>
          <w:szCs w:val="32"/>
          <w:highlight w:val="none"/>
          <w:lang w:val="en-US" w:eastAsia="zh-CN"/>
        </w:rPr>
        <w:t>25012.35</w:t>
      </w:r>
      <w:r>
        <w:rPr>
          <w:rFonts w:hint="default" w:ascii="Times New Roman" w:hAnsi="Times New Roman" w:eastAsia="方正仿宋简体" w:cs="Times New Roman"/>
          <w:color w:val="auto"/>
          <w:sz w:val="32"/>
          <w:szCs w:val="32"/>
          <w:highlight w:val="none"/>
          <w:lang w:val="en-US" w:eastAsia="zh-CN"/>
        </w:rPr>
        <w:t>公里。</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方正仿宋简体" w:cs="Times New Roman"/>
          <w:color w:val="auto"/>
          <w:sz w:val="32"/>
          <w:szCs w:val="32"/>
          <w:highlight w:val="none"/>
          <w:lang w:val="en-US" w:eastAsia="zh-CN"/>
        </w:rPr>
      </w:pPr>
      <w:r>
        <w:rPr>
          <w:rFonts w:hint="default" w:ascii="Times New Roman" w:hAnsi="Times New Roman" w:eastAsia="方正仿宋简体" w:cs="Times New Roman"/>
          <w:color w:val="auto"/>
          <w:sz w:val="32"/>
          <w:szCs w:val="32"/>
          <w:highlight w:val="none"/>
          <w:lang w:val="en-US" w:eastAsia="zh-CN"/>
        </w:rPr>
        <w:t>全年公路旅客运输量</w:t>
      </w:r>
      <w:r>
        <w:rPr>
          <w:rFonts w:hint="eastAsia" w:ascii="Times New Roman" w:hAnsi="Times New Roman" w:eastAsia="方正仿宋简体" w:cs="Times New Roman"/>
          <w:color w:val="auto"/>
          <w:sz w:val="32"/>
          <w:szCs w:val="32"/>
          <w:highlight w:val="none"/>
          <w:lang w:val="en-US" w:eastAsia="zh-CN"/>
        </w:rPr>
        <w:t>833.27</w:t>
      </w:r>
      <w:r>
        <w:rPr>
          <w:rFonts w:hint="default" w:ascii="Times New Roman" w:hAnsi="Times New Roman" w:eastAsia="方正仿宋简体" w:cs="Times New Roman"/>
          <w:color w:val="auto"/>
          <w:sz w:val="32"/>
          <w:szCs w:val="32"/>
          <w:highlight w:val="none"/>
          <w:lang w:val="en-US" w:eastAsia="zh-CN"/>
        </w:rPr>
        <w:t>万人次，比上年</w:t>
      </w:r>
      <w:r>
        <w:rPr>
          <w:rFonts w:hint="eastAsia" w:ascii="Times New Roman" w:hAnsi="Times New Roman" w:eastAsia="方正仿宋简体" w:cs="Times New Roman"/>
          <w:color w:val="auto"/>
          <w:sz w:val="32"/>
          <w:szCs w:val="32"/>
          <w:highlight w:val="none"/>
          <w:lang w:val="en-US" w:eastAsia="zh-CN"/>
        </w:rPr>
        <w:t>下降1.3</w:t>
      </w:r>
      <w:r>
        <w:rPr>
          <w:rFonts w:hint="default" w:ascii="Times New Roman" w:hAnsi="Times New Roman" w:eastAsia="方正仿宋简体" w:cs="Times New Roman"/>
          <w:color w:val="auto"/>
          <w:sz w:val="32"/>
          <w:szCs w:val="32"/>
          <w:highlight w:val="none"/>
          <w:lang w:val="en-US" w:eastAsia="zh-CN"/>
        </w:rPr>
        <w:t>%；公路货物运输量</w:t>
      </w:r>
      <w:r>
        <w:rPr>
          <w:rFonts w:hint="eastAsia" w:ascii="Times New Roman" w:hAnsi="Times New Roman" w:eastAsia="方正仿宋简体" w:cs="Times New Roman"/>
          <w:color w:val="auto"/>
          <w:sz w:val="32"/>
          <w:szCs w:val="32"/>
          <w:highlight w:val="none"/>
          <w:lang w:val="en-US" w:eastAsia="zh-CN"/>
        </w:rPr>
        <w:t>2981.99</w:t>
      </w:r>
      <w:r>
        <w:rPr>
          <w:rFonts w:hint="default" w:ascii="Times New Roman" w:hAnsi="Times New Roman" w:eastAsia="方正仿宋简体" w:cs="Times New Roman"/>
          <w:color w:val="auto"/>
          <w:sz w:val="32"/>
          <w:szCs w:val="32"/>
          <w:highlight w:val="none"/>
          <w:lang w:val="en-US" w:eastAsia="zh-CN"/>
        </w:rPr>
        <w:t>万吨，比上年增长</w:t>
      </w:r>
      <w:r>
        <w:rPr>
          <w:rFonts w:hint="eastAsia" w:ascii="Times New Roman" w:hAnsi="Times New Roman" w:eastAsia="方正仿宋简体" w:cs="Times New Roman"/>
          <w:color w:val="auto"/>
          <w:sz w:val="32"/>
          <w:szCs w:val="32"/>
          <w:highlight w:val="none"/>
          <w:lang w:val="en-US" w:eastAsia="zh-CN"/>
        </w:rPr>
        <w:t>2.3</w:t>
      </w:r>
      <w:r>
        <w:rPr>
          <w:rFonts w:hint="default" w:ascii="Times New Roman" w:hAnsi="Times New Roman" w:eastAsia="方正仿宋简体" w:cs="Times New Roman"/>
          <w:color w:val="auto"/>
          <w:sz w:val="32"/>
          <w:szCs w:val="32"/>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方正仿宋简体" w:cs="Times New Roman"/>
          <w:color w:val="auto"/>
          <w:sz w:val="32"/>
          <w:szCs w:val="32"/>
          <w:highlight w:val="none"/>
          <w:lang w:val="en-US" w:eastAsia="zh-CN"/>
        </w:rPr>
      </w:pPr>
      <w:r>
        <w:rPr>
          <w:rFonts w:hint="eastAsia" w:ascii="Times New Roman" w:hAnsi="Times New Roman" w:eastAsia="方正仿宋简体" w:cs="Times New Roman"/>
          <w:color w:val="auto"/>
          <w:sz w:val="32"/>
          <w:szCs w:val="32"/>
          <w:highlight w:val="none"/>
          <w:lang w:val="en-US" w:eastAsia="zh-CN"/>
        </w:rPr>
        <w:t>全</w:t>
      </w:r>
      <w:r>
        <w:rPr>
          <w:rFonts w:hint="default" w:ascii="Times New Roman" w:hAnsi="Times New Roman" w:eastAsia="方正仿宋简体" w:cs="Times New Roman"/>
          <w:color w:val="auto"/>
          <w:sz w:val="32"/>
          <w:szCs w:val="32"/>
          <w:highlight w:val="none"/>
          <w:lang w:val="en-US" w:eastAsia="zh-CN"/>
        </w:rPr>
        <w:t>年航空旅客吞吐量181.93万人次，比上年增长5.6%；航空货邮吞吐量0.88万吨，比上年增长</w:t>
      </w:r>
      <w:r>
        <w:rPr>
          <w:rFonts w:hint="eastAsia" w:ascii="Times New Roman" w:hAnsi="Times New Roman" w:eastAsia="方正仿宋简体" w:cs="Times New Roman"/>
          <w:color w:val="auto"/>
          <w:sz w:val="32"/>
          <w:szCs w:val="32"/>
          <w:highlight w:val="none"/>
          <w:lang w:val="en-US" w:eastAsia="zh-CN"/>
        </w:rPr>
        <w:t>6.0</w:t>
      </w:r>
      <w:r>
        <w:rPr>
          <w:rFonts w:hint="default" w:ascii="Times New Roman" w:hAnsi="Times New Roman" w:eastAsia="方正仿宋简体" w:cs="Times New Roman"/>
          <w:color w:val="auto"/>
          <w:sz w:val="32"/>
          <w:szCs w:val="32"/>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方正仿宋简体" w:cs="Times New Roman"/>
          <w:color w:val="auto"/>
          <w:sz w:val="32"/>
          <w:szCs w:val="32"/>
          <w:highlight w:val="none"/>
          <w:lang w:val="en-US" w:eastAsia="zh-CN"/>
        </w:rPr>
      </w:pPr>
      <w:r>
        <w:rPr>
          <w:rFonts w:hint="default" w:ascii="Times New Roman" w:hAnsi="Times New Roman" w:eastAsia="方正仿宋简体" w:cs="Times New Roman"/>
          <w:color w:val="auto"/>
          <w:sz w:val="32"/>
          <w:szCs w:val="32"/>
          <w:highlight w:val="none"/>
          <w:lang w:val="en-US" w:eastAsia="zh-CN"/>
        </w:rPr>
        <w:t>全年铁路旅客运输量</w:t>
      </w:r>
      <w:r>
        <w:rPr>
          <w:rFonts w:hint="eastAsia" w:ascii="Times New Roman" w:hAnsi="Times New Roman" w:eastAsia="方正仿宋简体" w:cs="Times New Roman"/>
          <w:color w:val="auto"/>
          <w:sz w:val="32"/>
          <w:szCs w:val="32"/>
          <w:highlight w:val="none"/>
          <w:lang w:val="en-US" w:eastAsia="zh-CN"/>
        </w:rPr>
        <w:t>167.38</w:t>
      </w:r>
      <w:r>
        <w:rPr>
          <w:rFonts w:hint="default" w:ascii="Times New Roman" w:hAnsi="Times New Roman" w:eastAsia="方正仿宋简体" w:cs="Times New Roman"/>
          <w:color w:val="auto"/>
          <w:sz w:val="32"/>
          <w:szCs w:val="32"/>
          <w:highlight w:val="none"/>
          <w:lang w:val="en-US" w:eastAsia="zh-CN"/>
        </w:rPr>
        <w:t>万人次，比上年增长</w:t>
      </w:r>
      <w:r>
        <w:rPr>
          <w:rFonts w:hint="eastAsia" w:ascii="Times New Roman" w:hAnsi="Times New Roman" w:eastAsia="方正仿宋简体" w:cs="Times New Roman"/>
          <w:color w:val="auto"/>
          <w:sz w:val="32"/>
          <w:szCs w:val="32"/>
          <w:highlight w:val="none"/>
          <w:lang w:val="en-US" w:eastAsia="zh-CN"/>
        </w:rPr>
        <w:t>5.3</w:t>
      </w:r>
      <w:r>
        <w:rPr>
          <w:rFonts w:hint="default" w:ascii="Times New Roman" w:hAnsi="Times New Roman" w:eastAsia="方正仿宋简体" w:cs="Times New Roman"/>
          <w:color w:val="auto"/>
          <w:sz w:val="32"/>
          <w:szCs w:val="32"/>
          <w:highlight w:val="none"/>
          <w:lang w:val="en-US" w:eastAsia="zh-CN"/>
        </w:rPr>
        <w:t>%；铁路货物运输量</w:t>
      </w:r>
      <w:r>
        <w:rPr>
          <w:rFonts w:hint="eastAsia" w:ascii="Times New Roman" w:hAnsi="Times New Roman" w:eastAsia="方正仿宋简体" w:cs="Times New Roman"/>
          <w:color w:val="auto"/>
          <w:sz w:val="32"/>
          <w:szCs w:val="32"/>
          <w:highlight w:val="none"/>
          <w:lang w:val="en-US" w:eastAsia="zh-CN"/>
        </w:rPr>
        <w:t>55.43</w:t>
      </w:r>
      <w:r>
        <w:rPr>
          <w:rFonts w:hint="default" w:ascii="Times New Roman" w:hAnsi="Times New Roman" w:eastAsia="方正仿宋简体" w:cs="Times New Roman"/>
          <w:color w:val="auto"/>
          <w:sz w:val="32"/>
          <w:szCs w:val="32"/>
          <w:highlight w:val="none"/>
          <w:lang w:val="en-US" w:eastAsia="zh-CN"/>
        </w:rPr>
        <w:t>万吨，比上年</w:t>
      </w:r>
      <w:r>
        <w:rPr>
          <w:rFonts w:hint="eastAsia" w:ascii="Times New Roman" w:hAnsi="Times New Roman" w:eastAsia="方正仿宋简体" w:cs="Times New Roman"/>
          <w:color w:val="auto"/>
          <w:sz w:val="32"/>
          <w:szCs w:val="32"/>
          <w:highlight w:val="none"/>
          <w:lang w:val="en-US" w:eastAsia="zh-CN"/>
        </w:rPr>
        <w:t>增长2.1</w:t>
      </w:r>
      <w:r>
        <w:rPr>
          <w:rFonts w:hint="default" w:ascii="Times New Roman" w:hAnsi="Times New Roman" w:eastAsia="方正仿宋简体" w:cs="Times New Roman"/>
          <w:color w:val="auto"/>
          <w:sz w:val="32"/>
          <w:szCs w:val="32"/>
          <w:highlight w:val="none"/>
          <w:lang w:val="en-US" w:eastAsia="zh-CN"/>
        </w:rPr>
        <w:t>%。</w:t>
      </w:r>
    </w:p>
    <w:tbl>
      <w:tblPr>
        <w:tblStyle w:val="5"/>
        <w:tblW w:w="8277" w:type="dxa"/>
        <w:tblInd w:w="0" w:type="dxa"/>
        <w:shd w:val="clear" w:color="auto" w:fill="auto"/>
        <w:tblLayout w:type="fixed"/>
        <w:tblCellMar>
          <w:top w:w="0" w:type="dxa"/>
          <w:left w:w="0" w:type="dxa"/>
          <w:bottom w:w="0" w:type="dxa"/>
          <w:right w:w="0" w:type="dxa"/>
        </w:tblCellMar>
      </w:tblPr>
      <w:tblGrid>
        <w:gridCol w:w="1934"/>
        <w:gridCol w:w="1318"/>
        <w:gridCol w:w="2530"/>
        <w:gridCol w:w="2495"/>
      </w:tblGrid>
      <w:tr>
        <w:tblPrEx>
          <w:tblCellMar>
            <w:top w:w="0" w:type="dxa"/>
            <w:left w:w="0" w:type="dxa"/>
            <w:bottom w:w="0" w:type="dxa"/>
            <w:right w:w="0" w:type="dxa"/>
          </w:tblCellMar>
        </w:tblPrEx>
        <w:trPr>
          <w:trHeight w:val="306" w:hRule="atLeast"/>
        </w:trPr>
        <w:tc>
          <w:tcPr>
            <w:tcW w:w="8277" w:type="dxa"/>
            <w:gridSpan w:val="4"/>
            <w:tcBorders>
              <w:top w:val="nil"/>
              <w:left w:val="nil"/>
              <w:bottom w:val="nil"/>
              <w:right w:val="nil"/>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ascii="方正小标宋简体" w:hAnsi="方正小标宋简体" w:eastAsia="方正小标宋简体" w:cs="方正小标宋简体"/>
                <w:i w:val="0"/>
                <w:color w:val="auto"/>
                <w:sz w:val="40"/>
                <w:szCs w:val="40"/>
                <w:highlight w:val="yellow"/>
                <w:u w:val="none"/>
              </w:rPr>
            </w:pPr>
            <w:r>
              <w:rPr>
                <w:rFonts w:hint="eastAsia" w:ascii="方正小标宋简体" w:hAnsi="方正小标宋简体" w:eastAsia="方正小标宋简体" w:cs="方正小标宋简体"/>
                <w:i w:val="0"/>
                <w:color w:val="auto"/>
                <w:kern w:val="0"/>
                <w:sz w:val="28"/>
                <w:szCs w:val="28"/>
                <w:highlight w:val="none"/>
                <w:u w:val="none"/>
                <w:lang w:val="en-US" w:eastAsia="zh-CN" w:bidi="ar"/>
              </w:rPr>
              <w:t>2024年客货运输总量及增速</w:t>
            </w:r>
          </w:p>
        </w:tc>
      </w:tr>
      <w:tr>
        <w:tblPrEx>
          <w:tblCellMar>
            <w:top w:w="0" w:type="dxa"/>
            <w:left w:w="0" w:type="dxa"/>
            <w:bottom w:w="0" w:type="dxa"/>
            <w:right w:w="0" w:type="dxa"/>
          </w:tblCellMar>
        </w:tblPrEx>
        <w:trPr>
          <w:trHeight w:val="306" w:hRule="atLeast"/>
        </w:trPr>
        <w:tc>
          <w:tcPr>
            <w:tcW w:w="193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tcMar>
              <w:top w:w="15" w:type="dxa"/>
              <w:left w:w="15" w:type="dxa"/>
              <w:right w:w="15" w:type="dxa"/>
            </w:tcMar>
            <w:vAlign w:val="center"/>
          </w:tcPr>
          <w:p>
            <w:pPr>
              <w:keepNext w:val="0"/>
              <w:keepLines w:val="0"/>
              <w:widowControl/>
              <w:suppressLineNumbers w:val="0"/>
              <w:jc w:val="center"/>
              <w:textAlignment w:val="center"/>
              <w:rPr>
                <w:rFonts w:hint="eastAsia" w:ascii="黑体" w:hAnsi="黑体" w:eastAsia="黑体" w:cs="黑体"/>
                <w:b w:val="0"/>
                <w:bCs w:val="0"/>
                <w:i w:val="0"/>
                <w:color w:val="auto"/>
                <w:sz w:val="24"/>
                <w:szCs w:val="24"/>
                <w:highlight w:val="none"/>
                <w:u w:val="none"/>
              </w:rPr>
            </w:pPr>
            <w:r>
              <w:rPr>
                <w:rFonts w:hint="eastAsia" w:ascii="黑体" w:hAnsi="黑体" w:eastAsia="黑体" w:cs="黑体"/>
                <w:b w:val="0"/>
                <w:bCs w:val="0"/>
                <w:i w:val="0"/>
                <w:color w:val="auto"/>
                <w:kern w:val="0"/>
                <w:sz w:val="24"/>
                <w:szCs w:val="24"/>
                <w:highlight w:val="none"/>
                <w:u w:val="none"/>
                <w:lang w:val="en-US" w:eastAsia="zh-CN" w:bidi="ar"/>
              </w:rPr>
              <w:t>指标</w:t>
            </w:r>
          </w:p>
        </w:tc>
        <w:tc>
          <w:tcPr>
            <w:tcW w:w="1318"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tcMar>
              <w:top w:w="15" w:type="dxa"/>
              <w:left w:w="15" w:type="dxa"/>
              <w:right w:w="15" w:type="dxa"/>
            </w:tcMar>
            <w:vAlign w:val="center"/>
          </w:tcPr>
          <w:p>
            <w:pPr>
              <w:keepNext w:val="0"/>
              <w:keepLines w:val="0"/>
              <w:widowControl/>
              <w:suppressLineNumbers w:val="0"/>
              <w:jc w:val="center"/>
              <w:textAlignment w:val="center"/>
              <w:rPr>
                <w:rFonts w:hint="eastAsia" w:ascii="黑体" w:hAnsi="黑体" w:eastAsia="黑体" w:cs="黑体"/>
                <w:b w:val="0"/>
                <w:bCs w:val="0"/>
                <w:i w:val="0"/>
                <w:color w:val="auto"/>
                <w:sz w:val="24"/>
                <w:szCs w:val="24"/>
                <w:highlight w:val="none"/>
                <w:u w:val="none"/>
              </w:rPr>
            </w:pPr>
            <w:r>
              <w:rPr>
                <w:rFonts w:hint="eastAsia" w:ascii="黑体" w:hAnsi="黑体" w:eastAsia="黑体" w:cs="黑体"/>
                <w:b w:val="0"/>
                <w:bCs w:val="0"/>
                <w:i w:val="0"/>
                <w:color w:val="auto"/>
                <w:kern w:val="0"/>
                <w:sz w:val="24"/>
                <w:szCs w:val="24"/>
                <w:highlight w:val="none"/>
                <w:u w:val="none"/>
                <w:lang w:val="en-US" w:eastAsia="zh-CN" w:bidi="ar"/>
              </w:rPr>
              <w:t>单位</w:t>
            </w:r>
          </w:p>
        </w:tc>
        <w:tc>
          <w:tcPr>
            <w:tcW w:w="253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tcMar>
              <w:top w:w="15" w:type="dxa"/>
              <w:left w:w="15" w:type="dxa"/>
              <w:right w:w="15" w:type="dxa"/>
            </w:tcMar>
            <w:vAlign w:val="center"/>
          </w:tcPr>
          <w:p>
            <w:pPr>
              <w:keepNext w:val="0"/>
              <w:keepLines w:val="0"/>
              <w:widowControl/>
              <w:suppressLineNumbers w:val="0"/>
              <w:jc w:val="center"/>
              <w:textAlignment w:val="center"/>
              <w:rPr>
                <w:rFonts w:hint="eastAsia" w:ascii="黑体" w:hAnsi="黑体" w:eastAsia="黑体" w:cs="黑体"/>
                <w:b w:val="0"/>
                <w:bCs w:val="0"/>
                <w:i w:val="0"/>
                <w:color w:val="auto"/>
                <w:sz w:val="24"/>
                <w:szCs w:val="24"/>
                <w:highlight w:val="none"/>
                <w:u w:val="none"/>
              </w:rPr>
            </w:pPr>
            <w:r>
              <w:rPr>
                <w:rFonts w:hint="eastAsia" w:ascii="黑体" w:hAnsi="黑体" w:eastAsia="黑体" w:cs="黑体"/>
                <w:b w:val="0"/>
                <w:bCs w:val="0"/>
                <w:i w:val="0"/>
                <w:color w:val="auto"/>
                <w:kern w:val="0"/>
                <w:sz w:val="24"/>
                <w:szCs w:val="24"/>
                <w:highlight w:val="none"/>
                <w:u w:val="none"/>
                <w:lang w:val="en-US" w:eastAsia="zh-CN" w:bidi="ar"/>
              </w:rPr>
              <w:t>绝对数</w:t>
            </w:r>
          </w:p>
        </w:tc>
        <w:tc>
          <w:tcPr>
            <w:tcW w:w="2495"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noWrap/>
            <w:tcMar>
              <w:top w:w="15" w:type="dxa"/>
              <w:left w:w="15" w:type="dxa"/>
              <w:right w:w="15" w:type="dxa"/>
            </w:tcMar>
            <w:vAlign w:val="center"/>
          </w:tcPr>
          <w:p>
            <w:pPr>
              <w:keepNext w:val="0"/>
              <w:keepLines w:val="0"/>
              <w:widowControl/>
              <w:suppressLineNumbers w:val="0"/>
              <w:jc w:val="center"/>
              <w:textAlignment w:val="center"/>
              <w:rPr>
                <w:rFonts w:hint="eastAsia" w:ascii="黑体" w:hAnsi="黑体" w:eastAsia="黑体" w:cs="黑体"/>
                <w:b w:val="0"/>
                <w:bCs w:val="0"/>
                <w:i w:val="0"/>
                <w:color w:val="auto"/>
                <w:sz w:val="24"/>
                <w:szCs w:val="24"/>
                <w:highlight w:val="none"/>
                <w:u w:val="none"/>
              </w:rPr>
            </w:pPr>
            <w:r>
              <w:rPr>
                <w:rFonts w:hint="eastAsia" w:ascii="黑体" w:hAnsi="黑体" w:eastAsia="黑体" w:cs="黑体"/>
                <w:b w:val="0"/>
                <w:bCs w:val="0"/>
                <w:i w:val="0"/>
                <w:color w:val="auto"/>
                <w:kern w:val="0"/>
                <w:sz w:val="24"/>
                <w:szCs w:val="24"/>
                <w:highlight w:val="none"/>
                <w:u w:val="none"/>
                <w:lang w:val="en-US" w:eastAsia="zh-CN" w:bidi="ar"/>
              </w:rPr>
              <w:t>比上年增长（%）</w:t>
            </w:r>
          </w:p>
        </w:tc>
      </w:tr>
      <w:tr>
        <w:tblPrEx>
          <w:tblCellMar>
            <w:top w:w="0" w:type="dxa"/>
            <w:left w:w="0" w:type="dxa"/>
            <w:bottom w:w="0" w:type="dxa"/>
            <w:right w:w="0" w:type="dxa"/>
          </w:tblCellMar>
        </w:tblPrEx>
        <w:trPr>
          <w:trHeight w:val="306" w:hRule="atLeast"/>
        </w:trPr>
        <w:tc>
          <w:tcPr>
            <w:tcW w:w="193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highlight w:val="none"/>
                <w:u w:val="none"/>
              </w:rPr>
            </w:pPr>
            <w:r>
              <w:rPr>
                <w:rFonts w:hint="eastAsia" w:ascii="宋体" w:hAnsi="宋体" w:eastAsia="宋体" w:cs="宋体"/>
                <w:i w:val="0"/>
                <w:color w:val="auto"/>
                <w:kern w:val="0"/>
                <w:sz w:val="24"/>
                <w:szCs w:val="24"/>
                <w:highlight w:val="none"/>
                <w:u w:val="none"/>
                <w:lang w:val="en-US" w:eastAsia="zh-CN" w:bidi="ar"/>
              </w:rPr>
              <w:t>旅客运输总量</w:t>
            </w:r>
          </w:p>
        </w:tc>
        <w:tc>
          <w:tcPr>
            <w:tcW w:w="131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highlight w:val="none"/>
                <w:u w:val="none"/>
              </w:rPr>
            </w:pPr>
            <w:r>
              <w:rPr>
                <w:rFonts w:hint="eastAsia" w:ascii="宋体" w:hAnsi="宋体" w:eastAsia="宋体" w:cs="宋体"/>
                <w:i w:val="0"/>
                <w:color w:val="auto"/>
                <w:kern w:val="0"/>
                <w:sz w:val="24"/>
                <w:szCs w:val="24"/>
                <w:highlight w:val="none"/>
                <w:u w:val="none"/>
                <w:lang w:val="en-US" w:eastAsia="zh-CN" w:bidi="ar"/>
              </w:rPr>
              <w:t>万人次</w:t>
            </w:r>
          </w:p>
        </w:tc>
        <w:tc>
          <w:tcPr>
            <w:tcW w:w="2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kinsoku/>
              <w:wordWrap/>
              <w:overflowPunct/>
              <w:topLinePunct w:val="0"/>
              <w:autoSpaceDE/>
              <w:autoSpaceDN/>
              <w:bidi w:val="0"/>
              <w:adjustRightInd w:val="0"/>
              <w:snapToGrid w:val="0"/>
              <w:jc w:val="center"/>
              <w:rPr>
                <w:rFonts w:hint="default" w:ascii="Times New Roman" w:hAnsi="Times New Roman" w:eastAsia="宋体" w:cs="Times New Roman"/>
                <w:i w:val="0"/>
                <w:color w:val="auto"/>
                <w:sz w:val="24"/>
                <w:szCs w:val="24"/>
                <w:highlight w:val="none"/>
                <w:u w:val="none"/>
                <w:lang w:val="en-US" w:eastAsia="zh-CN"/>
              </w:rPr>
            </w:pPr>
            <w:r>
              <w:rPr>
                <w:rFonts w:hint="eastAsia" w:ascii="Times New Roman" w:hAnsi="Times New Roman" w:eastAsia="宋体" w:cs="Times New Roman"/>
                <w:i w:val="0"/>
                <w:color w:val="auto"/>
                <w:sz w:val="24"/>
                <w:szCs w:val="24"/>
                <w:highlight w:val="none"/>
                <w:u w:val="none"/>
                <w:lang w:val="en-US" w:eastAsia="zh-CN"/>
              </w:rPr>
              <w:t>1182.58</w:t>
            </w:r>
          </w:p>
        </w:tc>
        <w:tc>
          <w:tcPr>
            <w:tcW w:w="249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kinsoku/>
              <w:wordWrap/>
              <w:overflowPunct/>
              <w:topLinePunct w:val="0"/>
              <w:autoSpaceDE/>
              <w:autoSpaceDN/>
              <w:bidi w:val="0"/>
              <w:adjustRightInd w:val="0"/>
              <w:snapToGrid w:val="0"/>
              <w:jc w:val="center"/>
              <w:rPr>
                <w:rFonts w:hint="default" w:ascii="Times New Roman" w:hAnsi="Times New Roman" w:eastAsia="宋体" w:cs="Times New Roman"/>
                <w:i w:val="0"/>
                <w:color w:val="auto"/>
                <w:sz w:val="24"/>
                <w:szCs w:val="24"/>
                <w:highlight w:val="none"/>
                <w:u w:val="none"/>
                <w:lang w:val="en-US" w:eastAsia="zh-CN"/>
              </w:rPr>
            </w:pPr>
            <w:r>
              <w:rPr>
                <w:rFonts w:hint="eastAsia" w:ascii="Times New Roman" w:hAnsi="Times New Roman" w:eastAsia="宋体" w:cs="Times New Roman"/>
                <w:i w:val="0"/>
                <w:color w:val="auto"/>
                <w:sz w:val="24"/>
                <w:szCs w:val="24"/>
                <w:highlight w:val="none"/>
                <w:u w:val="none"/>
                <w:lang w:val="en-US" w:eastAsia="zh-CN"/>
              </w:rPr>
              <w:t>2.1</w:t>
            </w:r>
          </w:p>
        </w:tc>
      </w:tr>
      <w:tr>
        <w:tblPrEx>
          <w:tblCellMar>
            <w:top w:w="0" w:type="dxa"/>
            <w:left w:w="0" w:type="dxa"/>
            <w:bottom w:w="0" w:type="dxa"/>
            <w:right w:w="0" w:type="dxa"/>
          </w:tblCellMar>
        </w:tblPrEx>
        <w:trPr>
          <w:trHeight w:val="306" w:hRule="atLeast"/>
        </w:trPr>
        <w:tc>
          <w:tcPr>
            <w:tcW w:w="193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kern w:val="0"/>
                <w:sz w:val="24"/>
                <w:szCs w:val="24"/>
                <w:highlight w:val="none"/>
                <w:u w:val="none"/>
                <w:lang w:val="en-US" w:eastAsia="zh-CN" w:bidi="ar"/>
              </w:rPr>
            </w:pPr>
            <w:r>
              <w:rPr>
                <w:rFonts w:hint="eastAsia" w:ascii="宋体" w:hAnsi="宋体" w:eastAsia="宋体" w:cs="宋体"/>
                <w:i w:val="0"/>
                <w:color w:val="auto"/>
                <w:kern w:val="0"/>
                <w:sz w:val="24"/>
                <w:szCs w:val="24"/>
                <w:highlight w:val="none"/>
                <w:u w:val="none"/>
                <w:lang w:val="en-US" w:eastAsia="zh-CN" w:bidi="ar"/>
              </w:rPr>
              <w:t>公路</w:t>
            </w:r>
          </w:p>
        </w:tc>
        <w:tc>
          <w:tcPr>
            <w:tcW w:w="131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kern w:val="0"/>
                <w:sz w:val="24"/>
                <w:szCs w:val="24"/>
                <w:highlight w:val="none"/>
                <w:u w:val="none"/>
                <w:lang w:val="en-US" w:eastAsia="zh-CN" w:bidi="ar"/>
              </w:rPr>
            </w:pPr>
            <w:r>
              <w:rPr>
                <w:rFonts w:hint="eastAsia" w:ascii="宋体" w:hAnsi="宋体" w:eastAsia="宋体" w:cs="宋体"/>
                <w:i w:val="0"/>
                <w:color w:val="auto"/>
                <w:kern w:val="0"/>
                <w:sz w:val="24"/>
                <w:szCs w:val="24"/>
                <w:highlight w:val="none"/>
                <w:u w:val="none"/>
                <w:lang w:val="en-US" w:eastAsia="zh-CN" w:bidi="ar"/>
              </w:rPr>
              <w:t>万人次</w:t>
            </w:r>
          </w:p>
        </w:tc>
        <w:tc>
          <w:tcPr>
            <w:tcW w:w="2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auto"/>
                <w:kern w:val="0"/>
                <w:sz w:val="24"/>
                <w:szCs w:val="24"/>
                <w:highlight w:val="none"/>
                <w:u w:val="none"/>
                <w:lang w:val="en-US" w:eastAsia="zh-CN" w:bidi="ar"/>
              </w:rPr>
            </w:pPr>
            <w:r>
              <w:rPr>
                <w:rFonts w:hint="eastAsia" w:ascii="Times New Roman" w:hAnsi="Times New Roman" w:eastAsia="宋体" w:cs="Times New Roman"/>
                <w:i w:val="0"/>
                <w:color w:val="auto"/>
                <w:kern w:val="0"/>
                <w:sz w:val="24"/>
                <w:szCs w:val="24"/>
                <w:highlight w:val="none"/>
                <w:u w:val="none"/>
                <w:lang w:val="en-US" w:eastAsia="zh-CN" w:bidi="ar"/>
              </w:rPr>
              <w:t>833.27</w:t>
            </w:r>
          </w:p>
        </w:tc>
        <w:tc>
          <w:tcPr>
            <w:tcW w:w="249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auto"/>
                <w:kern w:val="0"/>
                <w:sz w:val="24"/>
                <w:szCs w:val="24"/>
                <w:highlight w:val="none"/>
                <w:u w:val="none"/>
                <w:lang w:val="en-US" w:eastAsia="zh-CN" w:bidi="ar"/>
              </w:rPr>
            </w:pPr>
            <w:r>
              <w:rPr>
                <w:rFonts w:hint="eastAsia" w:ascii="Times New Roman" w:hAnsi="Times New Roman" w:eastAsia="宋体" w:cs="Times New Roman"/>
                <w:i w:val="0"/>
                <w:color w:val="auto"/>
                <w:kern w:val="0"/>
                <w:sz w:val="24"/>
                <w:szCs w:val="24"/>
                <w:highlight w:val="none"/>
                <w:u w:val="none"/>
                <w:lang w:val="en-US" w:eastAsia="zh-CN" w:bidi="ar"/>
              </w:rPr>
              <w:t>-1.3</w:t>
            </w:r>
          </w:p>
        </w:tc>
      </w:tr>
      <w:tr>
        <w:tblPrEx>
          <w:tblCellMar>
            <w:top w:w="0" w:type="dxa"/>
            <w:left w:w="0" w:type="dxa"/>
            <w:bottom w:w="0" w:type="dxa"/>
            <w:right w:w="0" w:type="dxa"/>
          </w:tblCellMar>
        </w:tblPrEx>
        <w:trPr>
          <w:trHeight w:val="306" w:hRule="atLeast"/>
        </w:trPr>
        <w:tc>
          <w:tcPr>
            <w:tcW w:w="193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highlight w:val="none"/>
                <w:u w:val="none"/>
              </w:rPr>
            </w:pPr>
            <w:r>
              <w:rPr>
                <w:rFonts w:hint="eastAsia" w:ascii="宋体" w:hAnsi="宋体" w:eastAsia="宋体" w:cs="宋体"/>
                <w:i w:val="0"/>
                <w:color w:val="auto"/>
                <w:kern w:val="0"/>
                <w:sz w:val="24"/>
                <w:szCs w:val="24"/>
                <w:highlight w:val="none"/>
                <w:u w:val="none"/>
                <w:lang w:val="en-US" w:eastAsia="zh-CN" w:bidi="ar"/>
              </w:rPr>
              <w:t>民航</w:t>
            </w:r>
          </w:p>
        </w:tc>
        <w:tc>
          <w:tcPr>
            <w:tcW w:w="131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highlight w:val="none"/>
                <w:u w:val="none"/>
              </w:rPr>
            </w:pPr>
            <w:r>
              <w:rPr>
                <w:rFonts w:hint="eastAsia" w:ascii="宋体" w:hAnsi="宋体" w:eastAsia="宋体" w:cs="宋体"/>
                <w:i w:val="0"/>
                <w:color w:val="auto"/>
                <w:kern w:val="0"/>
                <w:sz w:val="24"/>
                <w:szCs w:val="24"/>
                <w:highlight w:val="none"/>
                <w:u w:val="none"/>
                <w:lang w:val="en-US" w:eastAsia="zh-CN" w:bidi="ar"/>
              </w:rPr>
              <w:t>万人次</w:t>
            </w:r>
          </w:p>
        </w:tc>
        <w:tc>
          <w:tcPr>
            <w:tcW w:w="2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auto"/>
                <w:sz w:val="24"/>
                <w:szCs w:val="24"/>
                <w:highlight w:val="none"/>
                <w:u w:val="none"/>
                <w:lang w:val="en-US"/>
              </w:rPr>
            </w:pPr>
            <w:r>
              <w:rPr>
                <w:rFonts w:hint="eastAsia" w:ascii="Times New Roman" w:hAnsi="Times New Roman" w:eastAsia="宋体" w:cs="Times New Roman"/>
                <w:i w:val="0"/>
                <w:color w:val="auto"/>
                <w:kern w:val="0"/>
                <w:sz w:val="24"/>
                <w:szCs w:val="24"/>
                <w:highlight w:val="none"/>
                <w:u w:val="none"/>
                <w:lang w:val="en-US" w:eastAsia="zh-CN" w:bidi="ar"/>
              </w:rPr>
              <w:t>181.93</w:t>
            </w:r>
          </w:p>
        </w:tc>
        <w:tc>
          <w:tcPr>
            <w:tcW w:w="249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auto"/>
                <w:sz w:val="24"/>
                <w:szCs w:val="24"/>
                <w:highlight w:val="none"/>
                <w:u w:val="none"/>
                <w:lang w:val="en-US"/>
              </w:rPr>
            </w:pPr>
            <w:r>
              <w:rPr>
                <w:rFonts w:hint="eastAsia" w:ascii="Times New Roman" w:hAnsi="Times New Roman" w:eastAsia="宋体" w:cs="Times New Roman"/>
                <w:i w:val="0"/>
                <w:color w:val="auto"/>
                <w:kern w:val="0"/>
                <w:sz w:val="24"/>
                <w:szCs w:val="24"/>
                <w:highlight w:val="none"/>
                <w:u w:val="none"/>
                <w:lang w:val="en-US" w:eastAsia="zh-CN" w:bidi="ar"/>
              </w:rPr>
              <w:t>5.6</w:t>
            </w:r>
          </w:p>
        </w:tc>
      </w:tr>
      <w:tr>
        <w:tblPrEx>
          <w:tblCellMar>
            <w:top w:w="0" w:type="dxa"/>
            <w:left w:w="0" w:type="dxa"/>
            <w:bottom w:w="0" w:type="dxa"/>
            <w:right w:w="0" w:type="dxa"/>
          </w:tblCellMar>
        </w:tblPrEx>
        <w:trPr>
          <w:trHeight w:val="306" w:hRule="atLeast"/>
        </w:trPr>
        <w:tc>
          <w:tcPr>
            <w:tcW w:w="193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highlight w:val="none"/>
                <w:u w:val="none"/>
              </w:rPr>
            </w:pPr>
            <w:r>
              <w:rPr>
                <w:rFonts w:hint="eastAsia" w:ascii="宋体" w:hAnsi="宋体" w:eastAsia="宋体" w:cs="宋体"/>
                <w:i w:val="0"/>
                <w:color w:val="auto"/>
                <w:kern w:val="0"/>
                <w:sz w:val="24"/>
                <w:szCs w:val="24"/>
                <w:highlight w:val="none"/>
                <w:u w:val="none"/>
                <w:lang w:val="en-US" w:eastAsia="zh-CN" w:bidi="ar"/>
              </w:rPr>
              <w:t>铁路</w:t>
            </w:r>
          </w:p>
        </w:tc>
        <w:tc>
          <w:tcPr>
            <w:tcW w:w="131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highlight w:val="none"/>
                <w:u w:val="none"/>
              </w:rPr>
            </w:pPr>
            <w:r>
              <w:rPr>
                <w:rFonts w:hint="eastAsia" w:ascii="宋体" w:hAnsi="宋体" w:eastAsia="宋体" w:cs="宋体"/>
                <w:i w:val="0"/>
                <w:color w:val="auto"/>
                <w:kern w:val="0"/>
                <w:sz w:val="24"/>
                <w:szCs w:val="24"/>
                <w:highlight w:val="none"/>
                <w:u w:val="none"/>
                <w:lang w:val="en-US" w:eastAsia="zh-CN" w:bidi="ar"/>
              </w:rPr>
              <w:t>万人次</w:t>
            </w:r>
          </w:p>
        </w:tc>
        <w:tc>
          <w:tcPr>
            <w:tcW w:w="2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kinsoku/>
              <w:wordWrap/>
              <w:overflowPunct/>
              <w:topLinePunct w:val="0"/>
              <w:autoSpaceDE/>
              <w:autoSpaceDN/>
              <w:bidi w:val="0"/>
              <w:adjustRightInd w:val="0"/>
              <w:snapToGrid w:val="0"/>
              <w:jc w:val="center"/>
              <w:rPr>
                <w:rFonts w:hint="default" w:ascii="Times New Roman" w:hAnsi="Times New Roman" w:eastAsia="宋体" w:cs="Times New Roman"/>
                <w:i w:val="0"/>
                <w:color w:val="auto"/>
                <w:sz w:val="24"/>
                <w:szCs w:val="24"/>
                <w:highlight w:val="none"/>
                <w:u w:val="none"/>
                <w:lang w:val="en-US" w:eastAsia="zh-CN"/>
              </w:rPr>
            </w:pPr>
            <w:r>
              <w:rPr>
                <w:rFonts w:hint="eastAsia" w:ascii="Times New Roman" w:hAnsi="Times New Roman" w:eastAsia="宋体" w:cs="Times New Roman"/>
                <w:i w:val="0"/>
                <w:color w:val="auto"/>
                <w:sz w:val="24"/>
                <w:szCs w:val="24"/>
                <w:highlight w:val="none"/>
                <w:u w:val="none"/>
                <w:lang w:val="en-US" w:eastAsia="zh-CN"/>
              </w:rPr>
              <w:t>167.38</w:t>
            </w:r>
          </w:p>
        </w:tc>
        <w:tc>
          <w:tcPr>
            <w:tcW w:w="249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kinsoku/>
              <w:wordWrap/>
              <w:overflowPunct/>
              <w:topLinePunct w:val="0"/>
              <w:autoSpaceDE/>
              <w:autoSpaceDN/>
              <w:bidi w:val="0"/>
              <w:adjustRightInd w:val="0"/>
              <w:snapToGrid w:val="0"/>
              <w:jc w:val="center"/>
              <w:rPr>
                <w:rFonts w:hint="default" w:ascii="Times New Roman" w:hAnsi="Times New Roman" w:eastAsia="宋体" w:cs="Times New Roman"/>
                <w:i w:val="0"/>
                <w:color w:val="auto"/>
                <w:sz w:val="24"/>
                <w:szCs w:val="24"/>
                <w:highlight w:val="none"/>
                <w:u w:val="none"/>
                <w:lang w:val="en-US" w:eastAsia="zh-CN"/>
              </w:rPr>
            </w:pPr>
            <w:r>
              <w:rPr>
                <w:rFonts w:hint="eastAsia" w:ascii="Times New Roman" w:hAnsi="Times New Roman" w:eastAsia="宋体" w:cs="Times New Roman"/>
                <w:i w:val="0"/>
                <w:color w:val="auto"/>
                <w:sz w:val="24"/>
                <w:szCs w:val="24"/>
                <w:highlight w:val="none"/>
                <w:u w:val="none"/>
                <w:lang w:val="en-US" w:eastAsia="zh-CN"/>
              </w:rPr>
              <w:t>5.3</w:t>
            </w:r>
          </w:p>
        </w:tc>
      </w:tr>
      <w:tr>
        <w:tblPrEx>
          <w:tblCellMar>
            <w:top w:w="0" w:type="dxa"/>
            <w:left w:w="0" w:type="dxa"/>
            <w:bottom w:w="0" w:type="dxa"/>
            <w:right w:w="0" w:type="dxa"/>
          </w:tblCellMar>
        </w:tblPrEx>
        <w:trPr>
          <w:trHeight w:val="306" w:hRule="atLeast"/>
        </w:trPr>
        <w:tc>
          <w:tcPr>
            <w:tcW w:w="193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highlight w:val="none"/>
                <w:u w:val="none"/>
              </w:rPr>
            </w:pPr>
            <w:r>
              <w:rPr>
                <w:rFonts w:hint="eastAsia" w:ascii="宋体" w:hAnsi="宋体" w:eastAsia="宋体" w:cs="宋体"/>
                <w:i w:val="0"/>
                <w:color w:val="auto"/>
                <w:kern w:val="0"/>
                <w:sz w:val="24"/>
                <w:szCs w:val="24"/>
                <w:highlight w:val="none"/>
                <w:u w:val="none"/>
                <w:lang w:val="en-US" w:eastAsia="zh-CN" w:bidi="ar"/>
              </w:rPr>
              <w:t>货物运输总量</w:t>
            </w:r>
          </w:p>
        </w:tc>
        <w:tc>
          <w:tcPr>
            <w:tcW w:w="131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highlight w:val="none"/>
                <w:u w:val="none"/>
              </w:rPr>
            </w:pPr>
            <w:r>
              <w:rPr>
                <w:rFonts w:hint="eastAsia" w:ascii="宋体" w:hAnsi="宋体" w:eastAsia="宋体" w:cs="宋体"/>
                <w:i w:val="0"/>
                <w:color w:val="auto"/>
                <w:kern w:val="0"/>
                <w:sz w:val="24"/>
                <w:szCs w:val="24"/>
                <w:highlight w:val="none"/>
                <w:u w:val="none"/>
                <w:lang w:val="en-US" w:eastAsia="zh-CN" w:bidi="ar"/>
              </w:rPr>
              <w:t>万吨</w:t>
            </w:r>
          </w:p>
        </w:tc>
        <w:tc>
          <w:tcPr>
            <w:tcW w:w="2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kinsoku/>
              <w:wordWrap/>
              <w:overflowPunct/>
              <w:topLinePunct w:val="0"/>
              <w:autoSpaceDE/>
              <w:autoSpaceDN/>
              <w:bidi w:val="0"/>
              <w:adjustRightInd w:val="0"/>
              <w:snapToGrid w:val="0"/>
              <w:jc w:val="center"/>
              <w:rPr>
                <w:rFonts w:hint="default" w:ascii="Times New Roman" w:hAnsi="Times New Roman" w:eastAsia="宋体" w:cs="Times New Roman"/>
                <w:i w:val="0"/>
                <w:color w:val="auto"/>
                <w:sz w:val="24"/>
                <w:szCs w:val="24"/>
                <w:highlight w:val="none"/>
                <w:u w:val="none"/>
                <w:lang w:val="en-US" w:eastAsia="zh-CN"/>
              </w:rPr>
            </w:pPr>
            <w:r>
              <w:rPr>
                <w:rFonts w:hint="eastAsia" w:ascii="Times New Roman" w:hAnsi="Times New Roman" w:eastAsia="宋体" w:cs="Times New Roman"/>
                <w:i w:val="0"/>
                <w:color w:val="auto"/>
                <w:sz w:val="24"/>
                <w:szCs w:val="24"/>
                <w:highlight w:val="none"/>
                <w:u w:val="none"/>
                <w:lang w:val="en-US" w:eastAsia="zh-CN"/>
              </w:rPr>
              <w:t>3038.30</w:t>
            </w:r>
          </w:p>
        </w:tc>
        <w:tc>
          <w:tcPr>
            <w:tcW w:w="249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kinsoku/>
              <w:wordWrap/>
              <w:overflowPunct/>
              <w:topLinePunct w:val="0"/>
              <w:autoSpaceDE/>
              <w:autoSpaceDN/>
              <w:bidi w:val="0"/>
              <w:adjustRightInd w:val="0"/>
              <w:snapToGrid w:val="0"/>
              <w:jc w:val="center"/>
              <w:rPr>
                <w:rFonts w:hint="default" w:ascii="Times New Roman" w:hAnsi="Times New Roman" w:eastAsia="宋体" w:cs="Times New Roman"/>
                <w:i w:val="0"/>
                <w:color w:val="auto"/>
                <w:sz w:val="24"/>
                <w:szCs w:val="24"/>
                <w:highlight w:val="none"/>
                <w:u w:val="none"/>
                <w:lang w:val="en-US" w:eastAsia="zh-CN"/>
              </w:rPr>
            </w:pPr>
            <w:r>
              <w:rPr>
                <w:rFonts w:hint="eastAsia" w:ascii="Times New Roman" w:hAnsi="Times New Roman" w:eastAsia="宋体" w:cs="Times New Roman"/>
                <w:i w:val="0"/>
                <w:color w:val="auto"/>
                <w:sz w:val="24"/>
                <w:szCs w:val="24"/>
                <w:highlight w:val="none"/>
                <w:u w:val="none"/>
                <w:lang w:val="en-US" w:eastAsia="zh-CN"/>
              </w:rPr>
              <w:t>1.2</w:t>
            </w:r>
          </w:p>
        </w:tc>
      </w:tr>
      <w:tr>
        <w:tblPrEx>
          <w:tblCellMar>
            <w:top w:w="0" w:type="dxa"/>
            <w:left w:w="0" w:type="dxa"/>
            <w:bottom w:w="0" w:type="dxa"/>
            <w:right w:w="0" w:type="dxa"/>
          </w:tblCellMar>
        </w:tblPrEx>
        <w:trPr>
          <w:trHeight w:val="306" w:hRule="atLeast"/>
        </w:trPr>
        <w:tc>
          <w:tcPr>
            <w:tcW w:w="193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kern w:val="0"/>
                <w:sz w:val="24"/>
                <w:szCs w:val="24"/>
                <w:highlight w:val="none"/>
                <w:u w:val="none"/>
                <w:lang w:val="en-US" w:eastAsia="zh-CN" w:bidi="ar"/>
              </w:rPr>
            </w:pPr>
            <w:r>
              <w:rPr>
                <w:rFonts w:hint="eastAsia" w:ascii="宋体" w:hAnsi="宋体" w:eastAsia="宋体" w:cs="宋体"/>
                <w:i w:val="0"/>
                <w:color w:val="auto"/>
                <w:kern w:val="0"/>
                <w:sz w:val="24"/>
                <w:szCs w:val="24"/>
                <w:highlight w:val="none"/>
                <w:u w:val="none"/>
                <w:lang w:val="en-US" w:eastAsia="zh-CN" w:bidi="ar"/>
              </w:rPr>
              <w:t>公路</w:t>
            </w:r>
          </w:p>
        </w:tc>
        <w:tc>
          <w:tcPr>
            <w:tcW w:w="131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kern w:val="0"/>
                <w:sz w:val="24"/>
                <w:szCs w:val="24"/>
                <w:highlight w:val="none"/>
                <w:u w:val="none"/>
                <w:lang w:val="en-US" w:eastAsia="zh-CN" w:bidi="ar"/>
              </w:rPr>
            </w:pPr>
            <w:r>
              <w:rPr>
                <w:rFonts w:hint="eastAsia" w:ascii="宋体" w:hAnsi="宋体" w:eastAsia="宋体" w:cs="宋体"/>
                <w:i w:val="0"/>
                <w:color w:val="auto"/>
                <w:kern w:val="0"/>
                <w:sz w:val="24"/>
                <w:szCs w:val="24"/>
                <w:highlight w:val="none"/>
                <w:u w:val="none"/>
                <w:lang w:val="en-US" w:eastAsia="zh-CN" w:bidi="ar"/>
              </w:rPr>
              <w:t>万吨</w:t>
            </w:r>
          </w:p>
        </w:tc>
        <w:tc>
          <w:tcPr>
            <w:tcW w:w="2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auto"/>
                <w:kern w:val="0"/>
                <w:sz w:val="24"/>
                <w:szCs w:val="24"/>
                <w:highlight w:val="none"/>
                <w:u w:val="none"/>
                <w:lang w:val="en-US" w:eastAsia="zh-CN" w:bidi="ar"/>
              </w:rPr>
            </w:pPr>
            <w:r>
              <w:rPr>
                <w:rFonts w:hint="eastAsia" w:ascii="Times New Roman" w:hAnsi="Times New Roman" w:eastAsia="宋体" w:cs="Times New Roman"/>
                <w:i w:val="0"/>
                <w:color w:val="auto"/>
                <w:kern w:val="0"/>
                <w:sz w:val="24"/>
                <w:szCs w:val="24"/>
                <w:highlight w:val="none"/>
                <w:u w:val="none"/>
                <w:lang w:val="en-US" w:eastAsia="zh-CN" w:bidi="ar"/>
              </w:rPr>
              <w:t>2981.99</w:t>
            </w:r>
          </w:p>
        </w:tc>
        <w:tc>
          <w:tcPr>
            <w:tcW w:w="249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auto"/>
                <w:kern w:val="0"/>
                <w:sz w:val="24"/>
                <w:szCs w:val="24"/>
                <w:highlight w:val="none"/>
                <w:u w:val="none"/>
                <w:lang w:val="en-US" w:eastAsia="zh-CN" w:bidi="ar"/>
              </w:rPr>
            </w:pPr>
            <w:r>
              <w:rPr>
                <w:rFonts w:hint="eastAsia" w:ascii="Times New Roman" w:hAnsi="Times New Roman" w:eastAsia="宋体" w:cs="Times New Roman"/>
                <w:i w:val="0"/>
                <w:color w:val="auto"/>
                <w:kern w:val="0"/>
                <w:sz w:val="24"/>
                <w:szCs w:val="24"/>
                <w:highlight w:val="none"/>
                <w:u w:val="none"/>
                <w:lang w:val="en-US" w:eastAsia="zh-CN" w:bidi="ar"/>
              </w:rPr>
              <w:t>2.3</w:t>
            </w:r>
          </w:p>
        </w:tc>
      </w:tr>
      <w:tr>
        <w:tblPrEx>
          <w:tblCellMar>
            <w:top w:w="0" w:type="dxa"/>
            <w:left w:w="0" w:type="dxa"/>
            <w:bottom w:w="0" w:type="dxa"/>
            <w:right w:w="0" w:type="dxa"/>
          </w:tblCellMar>
        </w:tblPrEx>
        <w:trPr>
          <w:trHeight w:val="306" w:hRule="atLeast"/>
        </w:trPr>
        <w:tc>
          <w:tcPr>
            <w:tcW w:w="193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highlight w:val="none"/>
                <w:u w:val="none"/>
              </w:rPr>
            </w:pPr>
            <w:r>
              <w:rPr>
                <w:rFonts w:hint="eastAsia" w:ascii="宋体" w:hAnsi="宋体" w:eastAsia="宋体" w:cs="宋体"/>
                <w:i w:val="0"/>
                <w:color w:val="auto"/>
                <w:kern w:val="0"/>
                <w:sz w:val="24"/>
                <w:szCs w:val="24"/>
                <w:highlight w:val="none"/>
                <w:u w:val="none"/>
                <w:lang w:val="en-US" w:eastAsia="zh-CN" w:bidi="ar"/>
              </w:rPr>
              <w:t>民航</w:t>
            </w:r>
          </w:p>
        </w:tc>
        <w:tc>
          <w:tcPr>
            <w:tcW w:w="131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highlight w:val="none"/>
                <w:u w:val="none"/>
              </w:rPr>
            </w:pPr>
            <w:r>
              <w:rPr>
                <w:rFonts w:hint="eastAsia" w:ascii="宋体" w:hAnsi="宋体" w:eastAsia="宋体" w:cs="宋体"/>
                <w:i w:val="0"/>
                <w:color w:val="auto"/>
                <w:kern w:val="0"/>
                <w:sz w:val="24"/>
                <w:szCs w:val="24"/>
                <w:highlight w:val="none"/>
                <w:u w:val="none"/>
                <w:lang w:val="en-US" w:eastAsia="zh-CN" w:bidi="ar"/>
              </w:rPr>
              <w:t>万吨</w:t>
            </w:r>
          </w:p>
        </w:tc>
        <w:tc>
          <w:tcPr>
            <w:tcW w:w="2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auto"/>
                <w:kern w:val="0"/>
                <w:sz w:val="24"/>
                <w:szCs w:val="24"/>
                <w:highlight w:val="none"/>
                <w:u w:val="none"/>
                <w:lang w:val="en-US" w:eastAsia="zh-CN" w:bidi="ar"/>
              </w:rPr>
            </w:pPr>
            <w:r>
              <w:rPr>
                <w:rFonts w:hint="eastAsia" w:ascii="Times New Roman" w:hAnsi="Times New Roman" w:eastAsia="宋体" w:cs="Times New Roman"/>
                <w:i w:val="0"/>
                <w:color w:val="auto"/>
                <w:kern w:val="0"/>
                <w:sz w:val="24"/>
                <w:szCs w:val="24"/>
                <w:highlight w:val="none"/>
                <w:u w:val="none"/>
                <w:lang w:val="en-US" w:eastAsia="zh-CN" w:bidi="ar"/>
              </w:rPr>
              <w:t>0.88</w:t>
            </w:r>
          </w:p>
        </w:tc>
        <w:tc>
          <w:tcPr>
            <w:tcW w:w="249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auto"/>
                <w:kern w:val="0"/>
                <w:sz w:val="24"/>
                <w:szCs w:val="24"/>
                <w:highlight w:val="none"/>
                <w:u w:val="none"/>
                <w:lang w:val="en-US" w:eastAsia="zh-CN" w:bidi="ar"/>
              </w:rPr>
            </w:pPr>
            <w:r>
              <w:rPr>
                <w:rFonts w:hint="eastAsia" w:ascii="Times New Roman" w:hAnsi="Times New Roman" w:eastAsia="宋体" w:cs="Times New Roman"/>
                <w:i w:val="0"/>
                <w:color w:val="auto"/>
                <w:kern w:val="0"/>
                <w:sz w:val="24"/>
                <w:szCs w:val="24"/>
                <w:highlight w:val="none"/>
                <w:u w:val="none"/>
                <w:lang w:val="en-US" w:eastAsia="zh-CN" w:bidi="ar"/>
              </w:rPr>
              <w:t>6.0</w:t>
            </w:r>
          </w:p>
        </w:tc>
      </w:tr>
      <w:tr>
        <w:tblPrEx>
          <w:tblCellMar>
            <w:top w:w="0" w:type="dxa"/>
            <w:left w:w="0" w:type="dxa"/>
            <w:bottom w:w="0" w:type="dxa"/>
            <w:right w:w="0" w:type="dxa"/>
          </w:tblCellMar>
        </w:tblPrEx>
        <w:trPr>
          <w:trHeight w:val="306" w:hRule="atLeast"/>
        </w:trPr>
        <w:tc>
          <w:tcPr>
            <w:tcW w:w="1934"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highlight w:val="none"/>
                <w:u w:val="none"/>
              </w:rPr>
            </w:pPr>
            <w:r>
              <w:rPr>
                <w:rFonts w:hint="eastAsia" w:ascii="宋体" w:hAnsi="宋体" w:eastAsia="宋体" w:cs="宋体"/>
                <w:i w:val="0"/>
                <w:color w:val="auto"/>
                <w:kern w:val="0"/>
                <w:sz w:val="24"/>
                <w:szCs w:val="24"/>
                <w:highlight w:val="none"/>
                <w:u w:val="none"/>
                <w:lang w:val="en-US" w:eastAsia="zh-CN" w:bidi="ar"/>
              </w:rPr>
              <w:t>铁路</w:t>
            </w:r>
          </w:p>
        </w:tc>
        <w:tc>
          <w:tcPr>
            <w:tcW w:w="1318"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auto"/>
                <w:sz w:val="24"/>
                <w:szCs w:val="24"/>
                <w:highlight w:val="none"/>
                <w:u w:val="none"/>
              </w:rPr>
            </w:pPr>
            <w:r>
              <w:rPr>
                <w:rFonts w:hint="eastAsia" w:ascii="宋体" w:hAnsi="宋体" w:eastAsia="宋体" w:cs="宋体"/>
                <w:i w:val="0"/>
                <w:color w:val="auto"/>
                <w:kern w:val="0"/>
                <w:sz w:val="24"/>
                <w:szCs w:val="24"/>
                <w:highlight w:val="none"/>
                <w:u w:val="none"/>
                <w:lang w:val="en-US" w:eastAsia="zh-CN" w:bidi="ar"/>
              </w:rPr>
              <w:t>万吨</w:t>
            </w:r>
          </w:p>
        </w:tc>
        <w:tc>
          <w:tcPr>
            <w:tcW w:w="253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kinsoku/>
              <w:wordWrap/>
              <w:overflowPunct/>
              <w:topLinePunct w:val="0"/>
              <w:autoSpaceDE/>
              <w:autoSpaceDN/>
              <w:bidi w:val="0"/>
              <w:adjustRightInd w:val="0"/>
              <w:snapToGrid w:val="0"/>
              <w:jc w:val="center"/>
              <w:rPr>
                <w:rFonts w:hint="default" w:ascii="Times New Roman" w:hAnsi="Times New Roman" w:eastAsia="宋体" w:cs="Times New Roman"/>
                <w:i w:val="0"/>
                <w:color w:val="auto"/>
                <w:sz w:val="24"/>
                <w:szCs w:val="24"/>
                <w:highlight w:val="none"/>
                <w:u w:val="none"/>
                <w:lang w:val="en-US" w:eastAsia="zh-CN"/>
              </w:rPr>
            </w:pPr>
            <w:r>
              <w:rPr>
                <w:rFonts w:hint="eastAsia" w:ascii="Times New Roman" w:hAnsi="Times New Roman" w:eastAsia="宋体" w:cs="Times New Roman"/>
                <w:i w:val="0"/>
                <w:color w:val="auto"/>
                <w:sz w:val="24"/>
                <w:szCs w:val="24"/>
                <w:highlight w:val="none"/>
                <w:u w:val="none"/>
                <w:lang w:val="en-US" w:eastAsia="zh-CN"/>
              </w:rPr>
              <w:t>55.43</w:t>
            </w:r>
          </w:p>
        </w:tc>
        <w:tc>
          <w:tcPr>
            <w:tcW w:w="2495"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keepNext w:val="0"/>
              <w:keepLines w:val="0"/>
              <w:pageBreakBefore w:val="0"/>
              <w:kinsoku/>
              <w:wordWrap/>
              <w:overflowPunct/>
              <w:topLinePunct w:val="0"/>
              <w:autoSpaceDE/>
              <w:autoSpaceDN/>
              <w:bidi w:val="0"/>
              <w:adjustRightInd w:val="0"/>
              <w:snapToGrid w:val="0"/>
              <w:jc w:val="center"/>
              <w:rPr>
                <w:rFonts w:hint="default" w:ascii="Times New Roman" w:hAnsi="Times New Roman" w:eastAsia="宋体" w:cs="Times New Roman"/>
                <w:i w:val="0"/>
                <w:color w:val="auto"/>
                <w:sz w:val="24"/>
                <w:szCs w:val="24"/>
                <w:highlight w:val="none"/>
                <w:u w:val="none"/>
                <w:lang w:val="en-US" w:eastAsia="zh-CN"/>
              </w:rPr>
            </w:pPr>
            <w:r>
              <w:rPr>
                <w:rFonts w:hint="eastAsia" w:ascii="Times New Roman" w:hAnsi="Times New Roman" w:eastAsia="宋体" w:cs="Times New Roman"/>
                <w:i w:val="0"/>
                <w:color w:val="auto"/>
                <w:sz w:val="24"/>
                <w:szCs w:val="24"/>
                <w:highlight w:val="none"/>
                <w:u w:val="none"/>
                <w:lang w:val="en-US" w:eastAsia="zh-CN"/>
              </w:rPr>
              <w:t>2.1</w:t>
            </w:r>
          </w:p>
        </w:tc>
      </w:tr>
    </w:tbl>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方正仿宋简体" w:cs="Times New Roman"/>
          <w:color w:val="0000FF"/>
          <w:sz w:val="32"/>
          <w:szCs w:val="32"/>
          <w:highlight w:val="yellow"/>
        </w:rPr>
      </w:pPr>
      <w:r>
        <w:rPr>
          <w:rFonts w:hint="default" w:ascii="Times New Roman" w:hAnsi="Times New Roman" w:eastAsia="方正仿宋简体" w:cs="Times New Roman"/>
          <w:color w:val="auto"/>
          <w:sz w:val="32"/>
          <w:szCs w:val="32"/>
          <w:highlight w:val="none"/>
        </w:rPr>
        <w:t>年末全地区民用汽车保有量</w:t>
      </w:r>
      <w:r>
        <w:rPr>
          <w:rFonts w:hint="eastAsia" w:ascii="Times New Roman" w:hAnsi="Times New Roman" w:eastAsia="方正仿宋简体" w:cs="Times New Roman"/>
          <w:color w:val="auto"/>
          <w:sz w:val="32"/>
          <w:szCs w:val="32"/>
          <w:highlight w:val="none"/>
          <w:lang w:val="en-US" w:eastAsia="zh-CN"/>
        </w:rPr>
        <w:t>54.72</w:t>
      </w:r>
      <w:r>
        <w:rPr>
          <w:rFonts w:hint="default" w:ascii="Times New Roman" w:hAnsi="Times New Roman" w:eastAsia="方正仿宋简体" w:cs="Times New Roman"/>
          <w:color w:val="auto"/>
          <w:sz w:val="32"/>
          <w:szCs w:val="32"/>
          <w:highlight w:val="none"/>
          <w:lang w:val="en-US" w:eastAsia="zh-CN"/>
        </w:rPr>
        <w:t>万辆</w:t>
      </w:r>
      <w:r>
        <w:rPr>
          <w:rFonts w:hint="default" w:ascii="Times New Roman" w:hAnsi="Times New Roman" w:eastAsia="方正仿宋简体" w:cs="Times New Roman"/>
          <w:color w:val="auto"/>
          <w:sz w:val="32"/>
          <w:szCs w:val="32"/>
          <w:highlight w:val="none"/>
        </w:rPr>
        <w:t>（包括</w:t>
      </w:r>
      <w:r>
        <w:rPr>
          <w:rFonts w:hint="default" w:ascii="Times New Roman" w:hAnsi="Times New Roman" w:eastAsia="方正仿宋简体" w:cs="Times New Roman"/>
          <w:color w:val="auto"/>
          <w:sz w:val="32"/>
          <w:szCs w:val="32"/>
          <w:highlight w:val="none"/>
          <w:lang w:eastAsia="zh-CN"/>
        </w:rPr>
        <w:t>拖拉机</w:t>
      </w:r>
      <w:r>
        <w:rPr>
          <w:rFonts w:hint="eastAsia" w:ascii="Times New Roman" w:hAnsi="Times New Roman" w:eastAsia="方正仿宋简体" w:cs="Times New Roman"/>
          <w:color w:val="auto"/>
          <w:sz w:val="32"/>
          <w:szCs w:val="32"/>
          <w:highlight w:val="none"/>
          <w:lang w:val="en-US" w:eastAsia="zh-CN"/>
        </w:rPr>
        <w:t>2.82</w:t>
      </w:r>
      <w:r>
        <w:rPr>
          <w:rFonts w:hint="default" w:ascii="Times New Roman" w:hAnsi="Times New Roman" w:eastAsia="方正仿宋简体" w:cs="Times New Roman"/>
          <w:color w:val="auto"/>
          <w:sz w:val="32"/>
          <w:szCs w:val="32"/>
          <w:highlight w:val="none"/>
          <w:lang w:val="en-US" w:eastAsia="zh-CN"/>
        </w:rPr>
        <w:t>万辆</w:t>
      </w:r>
      <w:r>
        <w:rPr>
          <w:rFonts w:hint="default" w:ascii="Times New Roman" w:hAnsi="Times New Roman" w:eastAsia="方正仿宋简体" w:cs="Times New Roman"/>
          <w:color w:val="auto"/>
          <w:sz w:val="32"/>
          <w:szCs w:val="32"/>
          <w:highlight w:val="none"/>
        </w:rPr>
        <w:t>），</w:t>
      </w:r>
      <w:r>
        <w:rPr>
          <w:rFonts w:hint="default" w:ascii="Times New Roman" w:hAnsi="Times New Roman" w:eastAsia="方正仿宋简体" w:cs="Times New Roman"/>
          <w:color w:val="auto"/>
          <w:sz w:val="32"/>
          <w:szCs w:val="32"/>
          <w:highlight w:val="none"/>
          <w:u w:val="none"/>
        </w:rPr>
        <w:t>比上年末增加</w:t>
      </w:r>
      <w:r>
        <w:rPr>
          <w:rFonts w:hint="eastAsia" w:ascii="Times New Roman" w:hAnsi="Times New Roman" w:eastAsia="方正仿宋简体" w:cs="Times New Roman"/>
          <w:color w:val="auto"/>
          <w:sz w:val="32"/>
          <w:szCs w:val="32"/>
          <w:highlight w:val="none"/>
          <w:u w:val="none"/>
          <w:lang w:val="en-US" w:eastAsia="zh-CN"/>
        </w:rPr>
        <w:t>4.81</w:t>
      </w:r>
      <w:r>
        <w:rPr>
          <w:rFonts w:hint="default" w:ascii="Times New Roman" w:hAnsi="Times New Roman" w:eastAsia="方正仿宋简体" w:cs="Times New Roman"/>
          <w:color w:val="auto"/>
          <w:sz w:val="32"/>
          <w:szCs w:val="32"/>
          <w:highlight w:val="none"/>
          <w:u w:val="none"/>
        </w:rPr>
        <w:t>万辆</w:t>
      </w:r>
      <w:r>
        <w:rPr>
          <w:rFonts w:hint="eastAsia" w:ascii="Times New Roman" w:hAnsi="Times New Roman" w:eastAsia="方正仿宋简体" w:cs="Times New Roman"/>
          <w:color w:val="auto"/>
          <w:sz w:val="32"/>
          <w:szCs w:val="32"/>
          <w:highlight w:val="none"/>
          <w:u w:val="none"/>
          <w:lang w:eastAsia="zh-CN"/>
        </w:rPr>
        <w:t>。</w:t>
      </w:r>
      <w:r>
        <w:rPr>
          <w:rFonts w:hint="default" w:ascii="Times New Roman" w:hAnsi="Times New Roman" w:eastAsia="方正仿宋简体" w:cs="Times New Roman"/>
          <w:color w:val="auto"/>
          <w:sz w:val="32"/>
          <w:szCs w:val="32"/>
          <w:highlight w:val="none"/>
        </w:rPr>
        <w:t>其中，汽车</w:t>
      </w:r>
      <w:r>
        <w:rPr>
          <w:rFonts w:hint="eastAsia" w:ascii="Times New Roman" w:hAnsi="Times New Roman" w:eastAsia="方正仿宋简体" w:cs="Times New Roman"/>
          <w:color w:val="auto"/>
          <w:sz w:val="32"/>
          <w:szCs w:val="32"/>
          <w:highlight w:val="none"/>
          <w:lang w:val="en-US" w:eastAsia="zh-CN"/>
        </w:rPr>
        <w:t>37.26</w:t>
      </w:r>
      <w:r>
        <w:rPr>
          <w:rFonts w:hint="default" w:ascii="Times New Roman" w:hAnsi="Times New Roman" w:eastAsia="方正仿宋简体" w:cs="Times New Roman"/>
          <w:color w:val="auto"/>
          <w:sz w:val="32"/>
          <w:szCs w:val="32"/>
          <w:highlight w:val="none"/>
          <w:lang w:val="en-US" w:eastAsia="zh-CN"/>
        </w:rPr>
        <w:t>万辆</w:t>
      </w:r>
      <w:r>
        <w:rPr>
          <w:rFonts w:hint="eastAsia" w:ascii="Times New Roman" w:hAnsi="Times New Roman" w:eastAsia="方正仿宋简体" w:cs="Times New Roman"/>
          <w:color w:val="auto"/>
          <w:sz w:val="32"/>
          <w:szCs w:val="32"/>
          <w:highlight w:val="none"/>
          <w:lang w:val="en-US" w:eastAsia="zh-CN"/>
        </w:rPr>
        <w:t>，</w:t>
      </w:r>
      <w:r>
        <w:rPr>
          <w:rFonts w:hint="default" w:ascii="Times New Roman" w:hAnsi="Times New Roman" w:eastAsia="方正仿宋简体" w:cs="Times New Roman"/>
          <w:color w:val="auto"/>
          <w:sz w:val="32"/>
          <w:szCs w:val="32"/>
          <w:highlight w:val="none"/>
        </w:rPr>
        <w:t>增加</w:t>
      </w:r>
      <w:r>
        <w:rPr>
          <w:rFonts w:hint="eastAsia" w:ascii="Times New Roman" w:hAnsi="Times New Roman" w:eastAsia="方正仿宋简体" w:cs="Times New Roman"/>
          <w:color w:val="auto"/>
          <w:sz w:val="32"/>
          <w:szCs w:val="32"/>
          <w:highlight w:val="none"/>
          <w:lang w:val="en-US" w:eastAsia="zh-CN"/>
        </w:rPr>
        <w:t>3.13</w:t>
      </w:r>
      <w:r>
        <w:rPr>
          <w:rFonts w:hint="default" w:ascii="Times New Roman" w:hAnsi="Times New Roman" w:eastAsia="方正仿宋简体" w:cs="Times New Roman"/>
          <w:color w:val="auto"/>
          <w:sz w:val="32"/>
          <w:szCs w:val="32"/>
          <w:highlight w:val="none"/>
        </w:rPr>
        <w:t>万辆；摩托车</w:t>
      </w:r>
      <w:r>
        <w:rPr>
          <w:rFonts w:hint="eastAsia" w:ascii="Times New Roman" w:hAnsi="Times New Roman" w:eastAsia="方正仿宋简体" w:cs="Times New Roman"/>
          <w:color w:val="auto"/>
          <w:sz w:val="32"/>
          <w:szCs w:val="32"/>
          <w:highlight w:val="none"/>
          <w:lang w:val="en-US" w:eastAsia="zh-CN"/>
        </w:rPr>
        <w:t>14.11</w:t>
      </w:r>
      <w:r>
        <w:rPr>
          <w:rFonts w:hint="default" w:ascii="Times New Roman" w:hAnsi="Times New Roman" w:eastAsia="方正仿宋简体" w:cs="Times New Roman"/>
          <w:color w:val="auto"/>
          <w:sz w:val="32"/>
          <w:szCs w:val="32"/>
          <w:highlight w:val="none"/>
          <w:lang w:val="en-US" w:eastAsia="zh-CN"/>
        </w:rPr>
        <w:t>万辆</w:t>
      </w:r>
      <w:r>
        <w:rPr>
          <w:rFonts w:hint="default" w:ascii="Times New Roman" w:hAnsi="Times New Roman" w:eastAsia="方正仿宋简体" w:cs="Times New Roman"/>
          <w:color w:val="auto"/>
          <w:sz w:val="32"/>
          <w:szCs w:val="32"/>
          <w:highlight w:val="none"/>
        </w:rPr>
        <w:t>，增加</w:t>
      </w:r>
      <w:r>
        <w:rPr>
          <w:rFonts w:hint="default" w:ascii="Times New Roman" w:hAnsi="Times New Roman" w:eastAsia="方正仿宋简体" w:cs="Times New Roman"/>
          <w:color w:val="auto"/>
          <w:sz w:val="32"/>
          <w:szCs w:val="32"/>
          <w:highlight w:val="none"/>
          <w:lang w:val="en-US" w:eastAsia="zh-CN"/>
        </w:rPr>
        <w:t>1.</w:t>
      </w:r>
      <w:r>
        <w:rPr>
          <w:rFonts w:hint="eastAsia" w:ascii="Times New Roman" w:hAnsi="Times New Roman" w:eastAsia="方正仿宋简体" w:cs="Times New Roman"/>
          <w:color w:val="auto"/>
          <w:sz w:val="32"/>
          <w:szCs w:val="32"/>
          <w:highlight w:val="none"/>
          <w:lang w:val="en-US" w:eastAsia="zh-CN"/>
        </w:rPr>
        <w:t>88</w:t>
      </w:r>
      <w:r>
        <w:rPr>
          <w:rFonts w:hint="default" w:ascii="Times New Roman" w:hAnsi="Times New Roman" w:eastAsia="方正仿宋简体" w:cs="Times New Roman"/>
          <w:color w:val="auto"/>
          <w:sz w:val="32"/>
          <w:szCs w:val="32"/>
          <w:highlight w:val="none"/>
        </w:rPr>
        <w:t>万辆；挂车</w:t>
      </w:r>
      <w:r>
        <w:rPr>
          <w:rFonts w:hint="eastAsia" w:ascii="Times New Roman" w:hAnsi="Times New Roman" w:eastAsia="方正仿宋简体" w:cs="Times New Roman"/>
          <w:color w:val="auto"/>
          <w:sz w:val="32"/>
          <w:szCs w:val="32"/>
          <w:highlight w:val="none"/>
          <w:lang w:val="en-US" w:eastAsia="zh-CN"/>
        </w:rPr>
        <w:t>0.53</w:t>
      </w:r>
      <w:r>
        <w:rPr>
          <w:rFonts w:hint="default" w:ascii="Times New Roman" w:hAnsi="Times New Roman" w:eastAsia="方正仿宋简体" w:cs="Times New Roman"/>
          <w:color w:val="auto"/>
          <w:sz w:val="32"/>
          <w:szCs w:val="32"/>
          <w:highlight w:val="none"/>
          <w:lang w:val="en-US" w:eastAsia="zh-CN"/>
        </w:rPr>
        <w:t>万辆，</w:t>
      </w:r>
      <w:r>
        <w:rPr>
          <w:rFonts w:hint="default" w:ascii="Times New Roman" w:hAnsi="Times New Roman" w:eastAsia="方正仿宋简体" w:cs="Times New Roman"/>
          <w:color w:val="auto"/>
          <w:sz w:val="32"/>
          <w:szCs w:val="32"/>
          <w:highlight w:val="none"/>
          <w:lang w:eastAsia="zh-CN"/>
        </w:rPr>
        <w:t>减少</w:t>
      </w:r>
      <w:r>
        <w:rPr>
          <w:rFonts w:hint="default" w:ascii="Times New Roman" w:hAnsi="Times New Roman" w:eastAsia="方正仿宋简体" w:cs="Times New Roman"/>
          <w:color w:val="auto"/>
          <w:sz w:val="32"/>
          <w:szCs w:val="32"/>
          <w:highlight w:val="none"/>
        </w:rPr>
        <w:t>0.0</w:t>
      </w:r>
      <w:r>
        <w:rPr>
          <w:rFonts w:hint="eastAsia" w:ascii="Times New Roman" w:hAnsi="Times New Roman" w:eastAsia="方正仿宋简体" w:cs="Times New Roman"/>
          <w:color w:val="auto"/>
          <w:sz w:val="32"/>
          <w:szCs w:val="32"/>
          <w:highlight w:val="none"/>
          <w:lang w:val="en-US" w:eastAsia="zh-CN"/>
        </w:rPr>
        <w:t>3</w:t>
      </w:r>
      <w:r>
        <w:rPr>
          <w:rFonts w:hint="default" w:ascii="Times New Roman" w:hAnsi="Times New Roman" w:eastAsia="方正仿宋简体" w:cs="Times New Roman"/>
          <w:color w:val="auto"/>
          <w:sz w:val="32"/>
          <w:szCs w:val="32"/>
          <w:highlight w:val="none"/>
        </w:rPr>
        <w:t>万辆。个人车辆拥有量达到</w:t>
      </w:r>
      <w:r>
        <w:rPr>
          <w:rFonts w:hint="eastAsia" w:ascii="Times New Roman" w:hAnsi="Times New Roman" w:eastAsia="方正仿宋简体" w:cs="Times New Roman"/>
          <w:color w:val="auto"/>
          <w:sz w:val="32"/>
          <w:szCs w:val="32"/>
          <w:highlight w:val="none"/>
          <w:lang w:val="en-US" w:eastAsia="zh-CN"/>
        </w:rPr>
        <w:t>46.32</w:t>
      </w:r>
      <w:r>
        <w:rPr>
          <w:rFonts w:hint="default" w:ascii="Times New Roman" w:hAnsi="Times New Roman" w:eastAsia="方正仿宋简体" w:cs="Times New Roman"/>
          <w:color w:val="auto"/>
          <w:sz w:val="32"/>
          <w:szCs w:val="32"/>
          <w:highlight w:val="none"/>
          <w:lang w:val="en-US" w:eastAsia="zh-CN"/>
        </w:rPr>
        <w:t>万辆</w:t>
      </w:r>
      <w:r>
        <w:rPr>
          <w:rFonts w:hint="default" w:ascii="Times New Roman" w:hAnsi="Times New Roman" w:eastAsia="方正仿宋简体" w:cs="Times New Roman"/>
          <w:color w:val="auto"/>
          <w:sz w:val="32"/>
          <w:szCs w:val="32"/>
          <w:highlight w:val="none"/>
        </w:rPr>
        <w:t>，增加</w:t>
      </w:r>
      <w:r>
        <w:rPr>
          <w:rFonts w:hint="default" w:ascii="Times New Roman" w:hAnsi="Times New Roman" w:eastAsia="方正仿宋简体" w:cs="Times New Roman"/>
          <w:color w:val="auto"/>
          <w:sz w:val="32"/>
          <w:szCs w:val="32"/>
          <w:highlight w:val="none"/>
          <w:lang w:val="en-US" w:eastAsia="zh-CN"/>
        </w:rPr>
        <w:t>4.</w:t>
      </w:r>
      <w:r>
        <w:rPr>
          <w:rFonts w:hint="eastAsia" w:ascii="Times New Roman" w:hAnsi="Times New Roman" w:eastAsia="方正仿宋简体" w:cs="Times New Roman"/>
          <w:color w:val="auto"/>
          <w:sz w:val="32"/>
          <w:szCs w:val="32"/>
          <w:highlight w:val="none"/>
          <w:lang w:val="en-US" w:eastAsia="zh-CN"/>
        </w:rPr>
        <w:t>85</w:t>
      </w:r>
      <w:r>
        <w:rPr>
          <w:rFonts w:hint="default" w:ascii="Times New Roman" w:hAnsi="Times New Roman" w:eastAsia="方正仿宋简体" w:cs="Times New Roman"/>
          <w:color w:val="auto"/>
          <w:sz w:val="32"/>
          <w:szCs w:val="32"/>
          <w:highlight w:val="none"/>
        </w:rPr>
        <w:t>万辆。</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黑体" w:hAnsi="黑体" w:eastAsia="黑体" w:cs="黑体"/>
          <w:color w:val="auto"/>
          <w:sz w:val="32"/>
          <w:szCs w:val="32"/>
          <w:highlight w:val="none"/>
        </w:rPr>
      </w:pPr>
      <w:r>
        <w:rPr>
          <w:rFonts w:hint="default" w:ascii="Times New Roman" w:hAnsi="Times New Roman" w:eastAsia="方正仿宋简体" w:cs="Times New Roman"/>
          <w:color w:val="auto"/>
          <w:sz w:val="32"/>
          <w:szCs w:val="32"/>
          <w:highlight w:val="none"/>
          <w:lang w:eastAsia="zh-CN"/>
        </w:rPr>
        <w:t>全年邮电业务</w:t>
      </w:r>
      <w:r>
        <w:rPr>
          <w:rFonts w:hint="eastAsia" w:ascii="Times New Roman" w:hAnsi="Times New Roman" w:eastAsia="方正仿宋简体" w:cs="Times New Roman"/>
          <w:color w:val="auto"/>
          <w:sz w:val="32"/>
          <w:szCs w:val="32"/>
          <w:highlight w:val="none"/>
          <w:lang w:eastAsia="zh-CN"/>
        </w:rPr>
        <w:t>收入</w:t>
      </w:r>
      <w:r>
        <w:rPr>
          <w:rFonts w:hint="default" w:ascii="Times New Roman" w:hAnsi="Times New Roman" w:eastAsia="方正仿宋简体" w:cs="Times New Roman"/>
          <w:color w:val="auto"/>
          <w:sz w:val="32"/>
          <w:szCs w:val="32"/>
          <w:highlight w:val="none"/>
          <w:lang w:eastAsia="zh-CN"/>
        </w:rPr>
        <w:t>达</w:t>
      </w:r>
      <w:r>
        <w:rPr>
          <w:rFonts w:hint="eastAsia" w:ascii="Times New Roman" w:hAnsi="Times New Roman" w:eastAsia="方正仿宋简体" w:cs="Times New Roman"/>
          <w:color w:val="auto"/>
          <w:sz w:val="32"/>
          <w:szCs w:val="32"/>
          <w:highlight w:val="none"/>
          <w:lang w:val="en-US" w:eastAsia="zh-CN"/>
        </w:rPr>
        <w:t>21.58</w:t>
      </w:r>
      <w:r>
        <w:rPr>
          <w:rFonts w:hint="default" w:ascii="Times New Roman" w:hAnsi="Times New Roman" w:eastAsia="方正仿宋简体" w:cs="Times New Roman"/>
          <w:color w:val="auto"/>
          <w:sz w:val="32"/>
          <w:szCs w:val="32"/>
          <w:highlight w:val="none"/>
          <w:lang w:eastAsia="zh-CN"/>
        </w:rPr>
        <w:t>亿元，比上年</w:t>
      </w:r>
      <w:r>
        <w:rPr>
          <w:rFonts w:hint="eastAsia" w:ascii="Times New Roman" w:hAnsi="Times New Roman" w:eastAsia="方正仿宋简体" w:cs="Times New Roman"/>
          <w:color w:val="auto"/>
          <w:sz w:val="32"/>
          <w:szCs w:val="32"/>
          <w:highlight w:val="none"/>
          <w:lang w:val="en-US" w:eastAsia="zh-CN"/>
        </w:rPr>
        <w:t>下降1.1</w:t>
      </w:r>
      <w:r>
        <w:rPr>
          <w:rFonts w:hint="default" w:ascii="Times New Roman" w:hAnsi="Times New Roman" w:eastAsia="方正仿宋简体" w:cs="Times New Roman"/>
          <w:color w:val="auto"/>
          <w:sz w:val="32"/>
          <w:szCs w:val="32"/>
          <w:highlight w:val="none"/>
          <w:lang w:eastAsia="zh-CN"/>
        </w:rPr>
        <w:t>%。其中，邮政业务</w:t>
      </w:r>
      <w:r>
        <w:rPr>
          <w:rFonts w:hint="eastAsia" w:ascii="Times New Roman" w:hAnsi="Times New Roman" w:eastAsia="方正仿宋简体" w:cs="Times New Roman"/>
          <w:color w:val="auto"/>
          <w:sz w:val="32"/>
          <w:szCs w:val="32"/>
          <w:highlight w:val="none"/>
          <w:lang w:eastAsia="zh-CN"/>
        </w:rPr>
        <w:t>收入</w:t>
      </w:r>
      <w:r>
        <w:rPr>
          <w:rFonts w:hint="eastAsia" w:ascii="Times New Roman" w:hAnsi="Times New Roman" w:eastAsia="方正仿宋简体" w:cs="Times New Roman"/>
          <w:color w:val="auto"/>
          <w:sz w:val="32"/>
          <w:szCs w:val="32"/>
          <w:highlight w:val="none"/>
          <w:lang w:val="en-US" w:eastAsia="zh-CN"/>
        </w:rPr>
        <w:t>3.74</w:t>
      </w:r>
      <w:r>
        <w:rPr>
          <w:rFonts w:hint="default" w:ascii="Times New Roman" w:hAnsi="Times New Roman" w:eastAsia="方正仿宋简体" w:cs="Times New Roman"/>
          <w:color w:val="auto"/>
          <w:sz w:val="32"/>
          <w:szCs w:val="32"/>
          <w:highlight w:val="none"/>
          <w:lang w:eastAsia="zh-CN"/>
        </w:rPr>
        <w:t>亿元，增长</w:t>
      </w:r>
      <w:r>
        <w:rPr>
          <w:rFonts w:hint="eastAsia" w:ascii="Times New Roman" w:hAnsi="Times New Roman" w:eastAsia="方正仿宋简体" w:cs="Times New Roman"/>
          <w:color w:val="auto"/>
          <w:sz w:val="32"/>
          <w:szCs w:val="32"/>
          <w:highlight w:val="none"/>
          <w:lang w:val="en-US" w:eastAsia="zh-CN"/>
        </w:rPr>
        <w:t>25.9</w:t>
      </w:r>
      <w:r>
        <w:rPr>
          <w:rFonts w:hint="default" w:ascii="Times New Roman" w:hAnsi="Times New Roman" w:eastAsia="方正仿宋简体" w:cs="Times New Roman"/>
          <w:color w:val="auto"/>
          <w:sz w:val="32"/>
          <w:szCs w:val="32"/>
          <w:highlight w:val="none"/>
          <w:lang w:eastAsia="zh-CN"/>
        </w:rPr>
        <w:t>%；电信</w:t>
      </w:r>
      <w:r>
        <w:rPr>
          <w:rFonts w:hint="eastAsia" w:ascii="Times New Roman" w:hAnsi="Times New Roman" w:eastAsia="方正仿宋简体" w:cs="Times New Roman"/>
          <w:color w:val="auto"/>
          <w:sz w:val="32"/>
          <w:szCs w:val="32"/>
          <w:highlight w:val="none"/>
          <w:lang w:eastAsia="zh-CN"/>
        </w:rPr>
        <w:t>业</w:t>
      </w:r>
      <w:r>
        <w:rPr>
          <w:rFonts w:hint="default" w:ascii="Times New Roman" w:hAnsi="Times New Roman" w:eastAsia="方正仿宋简体" w:cs="Times New Roman"/>
          <w:color w:val="auto"/>
          <w:sz w:val="32"/>
          <w:szCs w:val="32"/>
          <w:highlight w:val="none"/>
          <w:lang w:eastAsia="zh-CN"/>
        </w:rPr>
        <w:t>务</w:t>
      </w:r>
      <w:r>
        <w:rPr>
          <w:rFonts w:hint="eastAsia" w:ascii="Times New Roman" w:hAnsi="Times New Roman" w:eastAsia="方正仿宋简体" w:cs="Times New Roman"/>
          <w:color w:val="auto"/>
          <w:sz w:val="32"/>
          <w:szCs w:val="32"/>
          <w:highlight w:val="none"/>
          <w:lang w:eastAsia="zh-CN"/>
        </w:rPr>
        <w:t>收入</w:t>
      </w:r>
      <w:r>
        <w:rPr>
          <w:rFonts w:hint="eastAsia" w:ascii="Times New Roman" w:hAnsi="Times New Roman" w:eastAsia="方正仿宋简体" w:cs="Times New Roman"/>
          <w:color w:val="auto"/>
          <w:sz w:val="32"/>
          <w:szCs w:val="32"/>
          <w:highlight w:val="none"/>
          <w:lang w:val="en-US" w:eastAsia="zh-CN"/>
        </w:rPr>
        <w:t>17.84</w:t>
      </w:r>
      <w:r>
        <w:rPr>
          <w:rFonts w:hint="default" w:ascii="Times New Roman" w:hAnsi="Times New Roman" w:eastAsia="方正仿宋简体" w:cs="Times New Roman"/>
          <w:color w:val="auto"/>
          <w:sz w:val="32"/>
          <w:szCs w:val="32"/>
          <w:highlight w:val="none"/>
          <w:lang w:val="en-US" w:eastAsia="zh-CN"/>
        </w:rPr>
        <w:t>亿元</w:t>
      </w:r>
      <w:r>
        <w:rPr>
          <w:rFonts w:hint="default" w:ascii="Times New Roman" w:hAnsi="Times New Roman" w:eastAsia="方正仿宋简体" w:cs="Times New Roman"/>
          <w:color w:val="auto"/>
          <w:sz w:val="32"/>
          <w:szCs w:val="32"/>
          <w:highlight w:val="none"/>
          <w:lang w:eastAsia="zh-CN"/>
        </w:rPr>
        <w:t>，</w:t>
      </w:r>
      <w:r>
        <w:rPr>
          <w:rFonts w:hint="eastAsia" w:ascii="Times New Roman" w:hAnsi="Times New Roman" w:eastAsia="方正仿宋简体" w:cs="Times New Roman"/>
          <w:color w:val="auto"/>
          <w:sz w:val="32"/>
          <w:szCs w:val="32"/>
          <w:highlight w:val="none"/>
          <w:lang w:val="en-US" w:eastAsia="zh-CN"/>
        </w:rPr>
        <w:t>下降5.4</w:t>
      </w:r>
      <w:r>
        <w:rPr>
          <w:rFonts w:hint="default" w:ascii="Times New Roman" w:hAnsi="Times New Roman" w:eastAsia="方正仿宋简体" w:cs="Times New Roman"/>
          <w:color w:val="auto"/>
          <w:sz w:val="32"/>
          <w:szCs w:val="32"/>
          <w:highlight w:val="none"/>
          <w:lang w:eastAsia="zh-CN"/>
        </w:rPr>
        <w:t>%。</w:t>
      </w:r>
      <w:r>
        <w:rPr>
          <w:rFonts w:hint="default" w:ascii="Times New Roman" w:hAnsi="Times New Roman" w:eastAsia="方正仿宋简体" w:cs="Times New Roman"/>
          <w:color w:val="auto"/>
          <w:sz w:val="32"/>
          <w:szCs w:val="32"/>
          <w:highlight w:val="none"/>
        </w:rPr>
        <w:t>快递业务量</w:t>
      </w:r>
      <w:r>
        <w:rPr>
          <w:rFonts w:hint="eastAsia" w:ascii="Times New Roman" w:hAnsi="Times New Roman" w:eastAsia="方正仿宋简体" w:cs="Times New Roman"/>
          <w:color w:val="auto"/>
          <w:sz w:val="32"/>
          <w:szCs w:val="32"/>
          <w:highlight w:val="none"/>
          <w:lang w:val="en-US" w:eastAsia="zh-CN"/>
        </w:rPr>
        <w:t>2271.07</w:t>
      </w:r>
      <w:r>
        <w:rPr>
          <w:rFonts w:hint="default" w:ascii="Times New Roman" w:hAnsi="Times New Roman" w:eastAsia="方正仿宋简体" w:cs="Times New Roman"/>
          <w:color w:val="auto"/>
          <w:sz w:val="32"/>
          <w:szCs w:val="32"/>
          <w:highlight w:val="none"/>
        </w:rPr>
        <w:t>万件，快递业务收入</w:t>
      </w:r>
      <w:r>
        <w:rPr>
          <w:rFonts w:hint="eastAsia" w:ascii="Times New Roman" w:hAnsi="Times New Roman" w:eastAsia="方正仿宋简体" w:cs="Times New Roman"/>
          <w:color w:val="auto"/>
          <w:sz w:val="32"/>
          <w:szCs w:val="32"/>
          <w:highlight w:val="none"/>
          <w:lang w:val="en-US" w:eastAsia="zh-CN"/>
        </w:rPr>
        <w:t>2.37</w:t>
      </w:r>
      <w:r>
        <w:rPr>
          <w:rFonts w:hint="default" w:ascii="Times New Roman" w:hAnsi="Times New Roman" w:eastAsia="方正仿宋简体" w:cs="Times New Roman"/>
          <w:color w:val="auto"/>
          <w:sz w:val="32"/>
          <w:szCs w:val="32"/>
          <w:highlight w:val="none"/>
        </w:rPr>
        <w:t>亿元。</w:t>
      </w:r>
    </w:p>
    <w:p>
      <w:pPr>
        <w:keepNext w:val="0"/>
        <w:keepLines w:val="0"/>
        <w:pageBreakBefore w:val="0"/>
        <w:widowControl w:val="0"/>
        <w:kinsoku/>
        <w:wordWrap/>
        <w:overflowPunct/>
        <w:topLinePunct w:val="0"/>
        <w:autoSpaceDE/>
        <w:autoSpaceDN/>
        <w:bidi w:val="0"/>
        <w:adjustRightInd/>
        <w:snapToGrid/>
        <w:spacing w:line="560" w:lineRule="exact"/>
        <w:ind w:firstLine="653"/>
        <w:textAlignment w:val="auto"/>
        <w:rPr>
          <w:rFonts w:hint="eastAsia" w:ascii="黑体" w:hAnsi="黑体" w:eastAsia="黑体" w:cs="黑体"/>
          <w:color w:val="auto"/>
          <w:sz w:val="32"/>
          <w:szCs w:val="32"/>
          <w:highlight w:val="none"/>
        </w:rPr>
      </w:pPr>
      <w:r>
        <w:rPr>
          <w:rFonts w:hint="eastAsia" w:ascii="黑体" w:hAnsi="黑体" w:eastAsia="黑体" w:cs="黑体"/>
          <w:color w:val="auto"/>
          <w:sz w:val="32"/>
          <w:szCs w:val="32"/>
          <w:highlight w:val="none"/>
        </w:rPr>
        <w:t>五、固定资产投资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color w:val="auto"/>
          <w:sz w:val="32"/>
          <w:szCs w:val="32"/>
          <w:highlight w:val="yellow"/>
        </w:rPr>
      </w:pPr>
      <w:r>
        <w:rPr>
          <w:rFonts w:hint="default" w:ascii="Times New Roman" w:hAnsi="Times New Roman" w:eastAsia="方正仿宋简体" w:cs="Times New Roman"/>
          <w:color w:val="auto"/>
          <w:sz w:val="32"/>
          <w:szCs w:val="32"/>
          <w:highlight w:val="none"/>
        </w:rPr>
        <w:t>全年固定资产投资（不含农户）比上年增长2.5%。分产业看，第一产业投资下降43.9%；第二产业投资增长32.8%；第三产业投资下降23.4%。分主体看，国有投资下降12.8%；民间投资增长52.2%。分类型看，建筑安装工程投资增长25.9%；设备购置投资下降15.6%；其他费用投资下降58.6%；基础设施投资增长7.6%。</w:t>
      </w:r>
    </w:p>
    <w:p>
      <w:pPr>
        <w:ind w:firstLine="420" w:firstLineChars="200"/>
        <w:rPr>
          <w:rFonts w:hint="eastAsia"/>
          <w:color w:val="0000FF"/>
          <w:highlight w:val="yellow"/>
        </w:rPr>
      </w:pPr>
    </w:p>
    <w:p>
      <w:pPr>
        <w:ind w:firstLine="420" w:firstLineChars="200"/>
        <w:rPr>
          <w:rFonts w:hint="eastAsia"/>
          <w:color w:val="0000FF"/>
          <w:highlight w:val="yellow"/>
        </w:rPr>
      </w:pPr>
      <w:r>
        <w:drawing>
          <wp:anchor distT="0" distB="0" distL="114300" distR="114300" simplePos="0" relativeHeight="251666432" behindDoc="0" locked="0" layoutInCell="1" allowOverlap="1">
            <wp:simplePos x="0" y="0"/>
            <wp:positionH relativeFrom="column">
              <wp:posOffset>57150</wp:posOffset>
            </wp:positionH>
            <wp:positionV relativeFrom="paragraph">
              <wp:posOffset>2677795</wp:posOffset>
            </wp:positionV>
            <wp:extent cx="5259070" cy="2658110"/>
            <wp:effectExtent l="0" t="0" r="17780" b="8890"/>
            <wp:wrapNone/>
            <wp:docPr id="966136"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r>
        <w:drawing>
          <wp:anchor distT="0" distB="0" distL="114300" distR="114300" simplePos="0" relativeHeight="251678720" behindDoc="0" locked="0" layoutInCell="1" allowOverlap="1">
            <wp:simplePos x="0" y="0"/>
            <wp:positionH relativeFrom="column">
              <wp:posOffset>47625</wp:posOffset>
            </wp:positionH>
            <wp:positionV relativeFrom="paragraph">
              <wp:posOffset>102870</wp:posOffset>
            </wp:positionV>
            <wp:extent cx="5271135" cy="2392680"/>
            <wp:effectExtent l="0" t="0" r="5715" b="7620"/>
            <wp:wrapSquare wrapText="bothSides"/>
            <wp:docPr id="96621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p>
    <w:p>
      <w:pPr>
        <w:ind w:firstLine="420" w:firstLineChars="200"/>
        <w:rPr>
          <w:rFonts w:hint="eastAsia"/>
          <w:color w:val="0000FF"/>
          <w:highlight w:val="yellow"/>
        </w:rPr>
      </w:pPr>
    </w:p>
    <w:p>
      <w:pPr>
        <w:rPr>
          <w:color w:val="0000FF"/>
          <w:highlight w:val="yellow"/>
        </w:rPr>
      </w:pPr>
    </w:p>
    <w:p>
      <w:pPr>
        <w:rPr>
          <w:color w:val="0000FF"/>
          <w:highlight w:val="yellow"/>
        </w:rPr>
      </w:pPr>
    </w:p>
    <w:p>
      <w:pPr>
        <w:rPr>
          <w:color w:val="0000FF"/>
          <w:highlight w:val="yellow"/>
        </w:rPr>
      </w:pPr>
    </w:p>
    <w:p>
      <w:pPr>
        <w:rPr>
          <w:color w:val="0000FF"/>
          <w:highlight w:val="yellow"/>
        </w:rPr>
      </w:pPr>
    </w:p>
    <w:p>
      <w:pPr>
        <w:rPr>
          <w:color w:val="0000FF"/>
          <w:highlight w:val="yellow"/>
        </w:rPr>
      </w:pPr>
    </w:p>
    <w:p>
      <w:pPr>
        <w:rPr>
          <w:color w:val="0000FF"/>
          <w:highlight w:val="yellow"/>
        </w:rPr>
      </w:pPr>
    </w:p>
    <w:p>
      <w:pPr>
        <w:rPr>
          <w:color w:val="0000FF"/>
          <w:highlight w:val="yellow"/>
        </w:rPr>
      </w:pPr>
    </w:p>
    <w:p>
      <w:pPr>
        <w:rPr>
          <w:color w:val="0000FF"/>
          <w:highlight w:val="yellow"/>
        </w:rPr>
      </w:pPr>
    </w:p>
    <w:p>
      <w:pPr>
        <w:rPr>
          <w:color w:val="0000FF"/>
          <w:highlight w:val="yellow"/>
        </w:rPr>
      </w:pPr>
    </w:p>
    <w:p>
      <w:pPr>
        <w:rPr>
          <w:color w:val="0000FF"/>
          <w:highlight w:val="yellow"/>
        </w:rPr>
      </w:pPr>
    </w:p>
    <w:p>
      <w:pPr>
        <w:rPr>
          <w:color w:val="0000FF"/>
          <w:highlight w:val="yellow"/>
        </w:rPr>
      </w:pPr>
    </w:p>
    <w:p>
      <w:pPr>
        <w:rPr>
          <w:color w:val="0000FF"/>
          <w:highlight w:val="yellow"/>
        </w:rPr>
      </w:pPr>
    </w:p>
    <w:p>
      <w:pPr>
        <w:rPr>
          <w:color w:val="0000FF"/>
          <w:highlight w:val="yellow"/>
        </w:rPr>
      </w:pPr>
    </w:p>
    <w:p>
      <w:pPr>
        <w:rPr>
          <w:color w:val="0000FF"/>
          <w:highlight w:val="yellow"/>
        </w:rPr>
      </w:pPr>
    </w:p>
    <w:p>
      <w:pPr>
        <w:rPr>
          <w:color w:val="0000FF"/>
          <w:highlight w:val="yellow"/>
        </w:rPr>
      </w:pPr>
    </w:p>
    <w:p>
      <w:pPr>
        <w:rPr>
          <w:color w:val="0000FF"/>
          <w:highlight w:val="yellow"/>
        </w:rPr>
      </w:pPr>
    </w:p>
    <w:tbl>
      <w:tblPr>
        <w:tblStyle w:val="5"/>
        <w:tblW w:w="8304" w:type="dxa"/>
        <w:tblInd w:w="0" w:type="dxa"/>
        <w:shd w:val="clear" w:color="auto" w:fill="auto"/>
        <w:tblLayout w:type="fixed"/>
        <w:tblCellMar>
          <w:top w:w="0" w:type="dxa"/>
          <w:left w:w="0" w:type="dxa"/>
          <w:bottom w:w="0" w:type="dxa"/>
          <w:right w:w="0" w:type="dxa"/>
        </w:tblCellMar>
      </w:tblPr>
      <w:tblGrid>
        <w:gridCol w:w="2310"/>
        <w:gridCol w:w="1844"/>
        <w:gridCol w:w="2300"/>
        <w:gridCol w:w="1850"/>
      </w:tblGrid>
      <w:tr>
        <w:tblPrEx>
          <w:tblCellMar>
            <w:top w:w="0" w:type="dxa"/>
            <w:left w:w="0" w:type="dxa"/>
            <w:bottom w:w="0" w:type="dxa"/>
            <w:right w:w="0" w:type="dxa"/>
          </w:tblCellMar>
        </w:tblPrEx>
        <w:trPr>
          <w:trHeight w:val="599" w:hRule="atLeast"/>
        </w:trPr>
        <w:tc>
          <w:tcPr>
            <w:tcW w:w="8304" w:type="dxa"/>
            <w:gridSpan w:val="4"/>
            <w:tcBorders>
              <w:top w:val="nil"/>
              <w:left w:val="nil"/>
              <w:bottom w:val="nil"/>
              <w:right w:val="nil"/>
            </w:tcBorders>
            <w:shd w:val="clear" w:color="auto" w:fill="auto"/>
            <w:noWrap/>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i w:val="0"/>
                <w:color w:val="0000FF"/>
                <w:sz w:val="24"/>
                <w:szCs w:val="24"/>
                <w:highlight w:val="none"/>
                <w:u w:val="none"/>
              </w:rPr>
            </w:pPr>
            <w:r>
              <w:rPr>
                <w:rFonts w:hint="eastAsia" w:ascii="方正小标宋简体" w:hAnsi="方正小标宋简体" w:eastAsia="方正小标宋简体" w:cs="方正小标宋简体"/>
                <w:i w:val="0"/>
                <w:color w:val="auto"/>
                <w:kern w:val="0"/>
                <w:sz w:val="28"/>
                <w:szCs w:val="28"/>
                <w:highlight w:val="none"/>
                <w:u w:val="none"/>
                <w:lang w:val="en-US" w:eastAsia="zh-CN" w:bidi="ar"/>
              </w:rPr>
              <w:t>2024年分行业固定资产投资（不含农户）增速</w:t>
            </w:r>
          </w:p>
        </w:tc>
      </w:tr>
      <w:tr>
        <w:tblPrEx>
          <w:shd w:val="clear" w:color="auto" w:fill="auto"/>
          <w:tblCellMar>
            <w:top w:w="0" w:type="dxa"/>
            <w:left w:w="0" w:type="dxa"/>
            <w:bottom w:w="0" w:type="dxa"/>
            <w:right w:w="0" w:type="dxa"/>
          </w:tblCellMar>
        </w:tblPrEx>
        <w:trPr>
          <w:trHeight w:val="520" w:hRule="atLeast"/>
        </w:trPr>
        <w:tc>
          <w:tcPr>
            <w:tcW w:w="231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10" w:type="dxa"/>
              <w:left w:w="10" w:type="dxa"/>
              <w:right w:w="10" w:type="dxa"/>
            </w:tcMar>
            <w:vAlign w:val="center"/>
          </w:tcPr>
          <w:p>
            <w:pPr>
              <w:keepNext w:val="0"/>
              <w:keepLines w:val="0"/>
              <w:widowControl/>
              <w:suppressLineNumbers w:val="0"/>
              <w:jc w:val="center"/>
              <w:textAlignment w:val="center"/>
              <w:rPr>
                <w:rFonts w:hint="eastAsia" w:ascii="黑体" w:hAnsi="黑体" w:eastAsia="黑体" w:cs="黑体"/>
                <w:b w:val="0"/>
                <w:bCs w:val="0"/>
                <w:i w:val="0"/>
                <w:iCs w:val="0"/>
                <w:color w:val="auto"/>
                <w:kern w:val="0"/>
                <w:sz w:val="24"/>
                <w:szCs w:val="24"/>
                <w:highlight w:val="none"/>
                <w:u w:val="none"/>
                <w:lang w:val="en-US" w:eastAsia="zh-CN" w:bidi="ar"/>
              </w:rPr>
            </w:pPr>
            <w:r>
              <w:rPr>
                <w:rFonts w:hint="eastAsia" w:ascii="黑体" w:hAnsi="黑体" w:eastAsia="黑体" w:cs="黑体"/>
                <w:b w:val="0"/>
                <w:bCs w:val="0"/>
                <w:i w:val="0"/>
                <w:iCs w:val="0"/>
                <w:color w:val="auto"/>
                <w:kern w:val="0"/>
                <w:sz w:val="24"/>
                <w:szCs w:val="24"/>
                <w:highlight w:val="none"/>
                <w:u w:val="none"/>
                <w:lang w:val="en-US" w:eastAsia="zh-CN" w:bidi="ar"/>
              </w:rPr>
              <w:t>行 业</w:t>
            </w:r>
          </w:p>
        </w:tc>
        <w:tc>
          <w:tcPr>
            <w:tcW w:w="1844"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10" w:type="dxa"/>
              <w:left w:w="10" w:type="dxa"/>
              <w:right w:w="10" w:type="dxa"/>
            </w:tcMar>
            <w:vAlign w:val="center"/>
          </w:tcPr>
          <w:p>
            <w:pPr>
              <w:keepNext w:val="0"/>
              <w:keepLines w:val="0"/>
              <w:widowControl/>
              <w:suppressLineNumbers w:val="0"/>
              <w:jc w:val="center"/>
              <w:textAlignment w:val="center"/>
              <w:rPr>
                <w:rFonts w:hint="eastAsia" w:ascii="黑体" w:hAnsi="黑体" w:eastAsia="黑体" w:cs="黑体"/>
                <w:b w:val="0"/>
                <w:bCs w:val="0"/>
                <w:i w:val="0"/>
                <w:iCs w:val="0"/>
                <w:color w:val="auto"/>
                <w:kern w:val="0"/>
                <w:sz w:val="24"/>
                <w:szCs w:val="24"/>
                <w:highlight w:val="none"/>
                <w:u w:val="none"/>
                <w:lang w:val="en-US" w:eastAsia="zh-CN" w:bidi="ar"/>
              </w:rPr>
            </w:pPr>
            <w:r>
              <w:rPr>
                <w:rFonts w:hint="eastAsia" w:ascii="黑体" w:hAnsi="黑体" w:eastAsia="黑体" w:cs="黑体"/>
                <w:b w:val="0"/>
                <w:bCs w:val="0"/>
                <w:i w:val="0"/>
                <w:iCs w:val="0"/>
                <w:color w:val="auto"/>
                <w:kern w:val="0"/>
                <w:sz w:val="24"/>
                <w:szCs w:val="24"/>
                <w:highlight w:val="none"/>
                <w:u w:val="none"/>
                <w:lang w:val="en-US" w:eastAsia="zh-CN" w:bidi="ar"/>
              </w:rPr>
              <w:t>比上年增长（%）</w:t>
            </w:r>
          </w:p>
        </w:tc>
        <w:tc>
          <w:tcPr>
            <w:tcW w:w="230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10" w:type="dxa"/>
              <w:left w:w="10" w:type="dxa"/>
              <w:right w:w="10" w:type="dxa"/>
            </w:tcMar>
            <w:vAlign w:val="center"/>
          </w:tcPr>
          <w:p>
            <w:pPr>
              <w:keepNext w:val="0"/>
              <w:keepLines w:val="0"/>
              <w:widowControl/>
              <w:suppressLineNumbers w:val="0"/>
              <w:jc w:val="center"/>
              <w:textAlignment w:val="center"/>
              <w:rPr>
                <w:rFonts w:hint="eastAsia" w:ascii="黑体" w:hAnsi="黑体" w:eastAsia="黑体" w:cs="黑体"/>
                <w:b w:val="0"/>
                <w:bCs w:val="0"/>
                <w:i w:val="0"/>
                <w:iCs w:val="0"/>
                <w:color w:val="auto"/>
                <w:kern w:val="0"/>
                <w:sz w:val="24"/>
                <w:szCs w:val="24"/>
                <w:highlight w:val="none"/>
                <w:u w:val="none"/>
                <w:lang w:val="en-US" w:eastAsia="zh-CN" w:bidi="ar"/>
              </w:rPr>
            </w:pPr>
            <w:r>
              <w:rPr>
                <w:rFonts w:hint="eastAsia" w:ascii="黑体" w:hAnsi="黑体" w:eastAsia="黑体" w:cs="黑体"/>
                <w:b w:val="0"/>
                <w:bCs w:val="0"/>
                <w:i w:val="0"/>
                <w:iCs w:val="0"/>
                <w:color w:val="auto"/>
                <w:kern w:val="0"/>
                <w:sz w:val="24"/>
                <w:szCs w:val="24"/>
                <w:highlight w:val="none"/>
                <w:u w:val="none"/>
                <w:lang w:val="en-US" w:eastAsia="zh-CN" w:bidi="ar"/>
              </w:rPr>
              <w:t>行 业</w:t>
            </w:r>
          </w:p>
        </w:tc>
        <w:tc>
          <w:tcPr>
            <w:tcW w:w="1850"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Mar>
              <w:top w:w="10" w:type="dxa"/>
              <w:left w:w="10" w:type="dxa"/>
              <w:right w:w="10" w:type="dxa"/>
            </w:tcMar>
            <w:vAlign w:val="center"/>
          </w:tcPr>
          <w:p>
            <w:pPr>
              <w:keepNext w:val="0"/>
              <w:keepLines w:val="0"/>
              <w:widowControl/>
              <w:suppressLineNumbers w:val="0"/>
              <w:jc w:val="center"/>
              <w:textAlignment w:val="center"/>
              <w:rPr>
                <w:rFonts w:hint="eastAsia" w:ascii="黑体" w:hAnsi="黑体" w:eastAsia="黑体" w:cs="黑体"/>
                <w:b w:val="0"/>
                <w:bCs w:val="0"/>
                <w:i w:val="0"/>
                <w:iCs w:val="0"/>
                <w:color w:val="auto"/>
                <w:kern w:val="0"/>
                <w:sz w:val="24"/>
                <w:szCs w:val="24"/>
                <w:highlight w:val="none"/>
                <w:u w:val="none"/>
                <w:lang w:val="en-US" w:eastAsia="zh-CN" w:bidi="ar"/>
              </w:rPr>
            </w:pPr>
            <w:r>
              <w:rPr>
                <w:rFonts w:hint="eastAsia" w:ascii="黑体" w:hAnsi="黑体" w:eastAsia="黑体" w:cs="黑体"/>
                <w:b w:val="0"/>
                <w:bCs w:val="0"/>
                <w:i w:val="0"/>
                <w:iCs w:val="0"/>
                <w:color w:val="auto"/>
                <w:kern w:val="0"/>
                <w:sz w:val="24"/>
                <w:szCs w:val="24"/>
                <w:highlight w:val="none"/>
                <w:u w:val="none"/>
                <w:lang w:val="en-US" w:eastAsia="zh-CN" w:bidi="ar"/>
              </w:rPr>
              <w:t>比上年增长（%）</w:t>
            </w:r>
          </w:p>
        </w:tc>
      </w:tr>
      <w:tr>
        <w:tblPrEx>
          <w:tblCellMar>
            <w:top w:w="0" w:type="dxa"/>
            <w:left w:w="0" w:type="dxa"/>
            <w:bottom w:w="0" w:type="dxa"/>
            <w:right w:w="0" w:type="dxa"/>
          </w:tblCellMar>
        </w:tblPrEx>
        <w:trPr>
          <w:trHeight w:val="510" w:hRule="atLeast"/>
        </w:trPr>
        <w:tc>
          <w:tcPr>
            <w:tcW w:w="231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eastAsia" w:ascii="宋体" w:hAnsi="宋体" w:eastAsia="宋体" w:cs="宋体"/>
                <w:b/>
                <w:bCs/>
                <w:i w:val="0"/>
                <w:color w:val="0000FF"/>
                <w:sz w:val="21"/>
                <w:szCs w:val="21"/>
                <w:highlight w:val="none"/>
                <w:u w:val="none"/>
              </w:rPr>
            </w:pPr>
            <w:r>
              <w:rPr>
                <w:rFonts w:hint="eastAsia" w:ascii="宋体" w:hAnsi="宋体" w:eastAsia="宋体" w:cs="宋体"/>
                <w:b/>
                <w:bCs/>
                <w:i w:val="0"/>
                <w:color w:val="000000"/>
                <w:kern w:val="0"/>
                <w:sz w:val="21"/>
                <w:szCs w:val="21"/>
                <w:highlight w:val="none"/>
                <w:u w:val="none"/>
                <w:lang w:val="en-US" w:eastAsia="zh-CN" w:bidi="ar"/>
              </w:rPr>
              <w:t>总 计</w:t>
            </w:r>
          </w:p>
        </w:tc>
        <w:tc>
          <w:tcPr>
            <w:tcW w:w="1844"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2.5</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b/>
                <w:bCs/>
                <w:i w:val="0"/>
                <w:color w:val="0000FF"/>
                <w:sz w:val="21"/>
                <w:szCs w:val="21"/>
                <w:highlight w:val="none"/>
                <w:u w:val="none"/>
              </w:rPr>
            </w:pPr>
            <w:r>
              <w:rPr>
                <w:rStyle w:val="13"/>
                <w:b/>
                <w:bCs/>
                <w:sz w:val="20"/>
                <w:szCs w:val="20"/>
                <w:highlight w:val="none"/>
                <w:lang w:val="en-US" w:eastAsia="zh-CN" w:bidi="ar"/>
              </w:rPr>
              <w:t>信息传输、软件和信息技术服务业</w:t>
            </w:r>
          </w:p>
        </w:tc>
        <w:tc>
          <w:tcPr>
            <w:tcW w:w="1850"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54.0</w:t>
            </w:r>
          </w:p>
        </w:tc>
      </w:tr>
      <w:tr>
        <w:tblPrEx>
          <w:tblCellMar>
            <w:top w:w="0" w:type="dxa"/>
            <w:left w:w="0" w:type="dxa"/>
            <w:bottom w:w="0" w:type="dxa"/>
            <w:right w:w="0" w:type="dxa"/>
          </w:tblCellMar>
        </w:tblPrEx>
        <w:trPr>
          <w:trHeight w:val="510" w:hRule="atLeast"/>
        </w:trPr>
        <w:tc>
          <w:tcPr>
            <w:tcW w:w="231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FF"/>
                <w:sz w:val="21"/>
                <w:szCs w:val="21"/>
                <w:highlight w:val="none"/>
                <w:u w:val="none"/>
              </w:rPr>
            </w:pPr>
            <w:r>
              <w:rPr>
                <w:rStyle w:val="13"/>
                <w:b/>
                <w:bCs/>
                <w:sz w:val="21"/>
                <w:szCs w:val="21"/>
                <w:highlight w:val="none"/>
                <w:lang w:val="en-US" w:eastAsia="zh-CN" w:bidi="ar"/>
              </w:rPr>
              <w:t>采矿业</w:t>
            </w:r>
          </w:p>
        </w:tc>
        <w:tc>
          <w:tcPr>
            <w:tcW w:w="1844"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-48.4</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FF"/>
                <w:sz w:val="21"/>
                <w:szCs w:val="21"/>
                <w:highlight w:val="none"/>
                <w:u w:val="none"/>
              </w:rPr>
            </w:pPr>
            <w:r>
              <w:rPr>
                <w:rStyle w:val="13"/>
                <w:b/>
                <w:bCs/>
                <w:sz w:val="21"/>
                <w:szCs w:val="21"/>
                <w:highlight w:val="none"/>
                <w:lang w:val="en-US" w:eastAsia="zh-CN" w:bidi="ar"/>
              </w:rPr>
              <w:t>房地产业</w:t>
            </w:r>
          </w:p>
        </w:tc>
        <w:tc>
          <w:tcPr>
            <w:tcW w:w="1850"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-52.1</w:t>
            </w:r>
          </w:p>
        </w:tc>
      </w:tr>
      <w:tr>
        <w:tblPrEx>
          <w:tblCellMar>
            <w:top w:w="0" w:type="dxa"/>
            <w:left w:w="0" w:type="dxa"/>
            <w:bottom w:w="0" w:type="dxa"/>
            <w:right w:w="0" w:type="dxa"/>
          </w:tblCellMar>
        </w:tblPrEx>
        <w:trPr>
          <w:trHeight w:val="510" w:hRule="atLeast"/>
        </w:trPr>
        <w:tc>
          <w:tcPr>
            <w:tcW w:w="231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FF"/>
                <w:sz w:val="21"/>
                <w:szCs w:val="21"/>
                <w:highlight w:val="none"/>
                <w:u w:val="none"/>
              </w:rPr>
            </w:pPr>
            <w:r>
              <w:rPr>
                <w:rStyle w:val="13"/>
                <w:b/>
                <w:bCs/>
                <w:sz w:val="21"/>
                <w:szCs w:val="21"/>
                <w:highlight w:val="none"/>
                <w:lang w:val="en-US" w:eastAsia="zh-CN" w:bidi="ar"/>
              </w:rPr>
              <w:t>制造业</w:t>
            </w:r>
          </w:p>
        </w:tc>
        <w:tc>
          <w:tcPr>
            <w:tcW w:w="1844"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132.0</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FF"/>
                <w:sz w:val="21"/>
                <w:szCs w:val="21"/>
                <w:highlight w:val="none"/>
                <w:u w:val="none"/>
              </w:rPr>
            </w:pPr>
            <w:r>
              <w:rPr>
                <w:rStyle w:val="13"/>
                <w:b/>
                <w:bCs/>
                <w:sz w:val="21"/>
                <w:szCs w:val="21"/>
                <w:highlight w:val="none"/>
                <w:lang w:val="en-US" w:eastAsia="zh-CN" w:bidi="ar"/>
              </w:rPr>
              <w:t>科学研究和技术服务业</w:t>
            </w:r>
          </w:p>
        </w:tc>
        <w:tc>
          <w:tcPr>
            <w:tcW w:w="1850"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100.0</w:t>
            </w:r>
          </w:p>
        </w:tc>
      </w:tr>
      <w:tr>
        <w:tblPrEx>
          <w:tblCellMar>
            <w:top w:w="0" w:type="dxa"/>
            <w:left w:w="0" w:type="dxa"/>
            <w:bottom w:w="0" w:type="dxa"/>
            <w:right w:w="0" w:type="dxa"/>
          </w:tblCellMar>
        </w:tblPrEx>
        <w:trPr>
          <w:trHeight w:val="510" w:hRule="atLeast"/>
        </w:trPr>
        <w:tc>
          <w:tcPr>
            <w:tcW w:w="231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b/>
                <w:bCs/>
                <w:i w:val="0"/>
                <w:color w:val="0000FF"/>
                <w:sz w:val="21"/>
                <w:szCs w:val="21"/>
                <w:highlight w:val="none"/>
                <w:u w:val="none"/>
              </w:rPr>
            </w:pPr>
            <w:r>
              <w:rPr>
                <w:rStyle w:val="13"/>
                <w:b/>
                <w:bCs/>
                <w:sz w:val="20"/>
                <w:szCs w:val="20"/>
                <w:highlight w:val="none"/>
                <w:lang w:val="en-US" w:eastAsia="zh-CN" w:bidi="ar"/>
              </w:rPr>
              <w:t>电力、燃气及水的生产和供应业</w:t>
            </w:r>
          </w:p>
        </w:tc>
        <w:tc>
          <w:tcPr>
            <w:tcW w:w="1844"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64.4</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b/>
                <w:bCs/>
                <w:i w:val="0"/>
                <w:color w:val="0000FF"/>
                <w:sz w:val="21"/>
                <w:szCs w:val="21"/>
                <w:highlight w:val="none"/>
                <w:u w:val="none"/>
              </w:rPr>
            </w:pPr>
            <w:r>
              <w:rPr>
                <w:rStyle w:val="13"/>
                <w:b/>
                <w:bCs/>
                <w:sz w:val="20"/>
                <w:szCs w:val="20"/>
                <w:highlight w:val="none"/>
                <w:lang w:val="en-US" w:eastAsia="zh-CN" w:bidi="ar"/>
              </w:rPr>
              <w:t>水利、环境和公共设施管理业</w:t>
            </w:r>
          </w:p>
        </w:tc>
        <w:tc>
          <w:tcPr>
            <w:tcW w:w="1850"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11.7</w:t>
            </w:r>
          </w:p>
        </w:tc>
      </w:tr>
      <w:tr>
        <w:tblPrEx>
          <w:tblCellMar>
            <w:top w:w="0" w:type="dxa"/>
            <w:left w:w="0" w:type="dxa"/>
            <w:bottom w:w="0" w:type="dxa"/>
            <w:right w:w="0" w:type="dxa"/>
          </w:tblCellMar>
        </w:tblPrEx>
        <w:trPr>
          <w:trHeight w:val="510" w:hRule="atLeast"/>
        </w:trPr>
        <w:tc>
          <w:tcPr>
            <w:tcW w:w="231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FF"/>
                <w:sz w:val="22"/>
                <w:szCs w:val="22"/>
                <w:highlight w:val="none"/>
                <w:u w:val="none"/>
              </w:rPr>
            </w:pPr>
            <w:r>
              <w:rPr>
                <w:rStyle w:val="13"/>
                <w:b/>
                <w:bCs/>
                <w:sz w:val="22"/>
                <w:szCs w:val="22"/>
                <w:highlight w:val="none"/>
                <w:lang w:val="en-US" w:eastAsia="zh-CN" w:bidi="ar"/>
              </w:rPr>
              <w:t>批发和零售业</w:t>
            </w:r>
          </w:p>
        </w:tc>
        <w:tc>
          <w:tcPr>
            <w:tcW w:w="1844"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8.5</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FF"/>
                <w:sz w:val="22"/>
                <w:szCs w:val="22"/>
                <w:highlight w:val="none"/>
                <w:u w:val="none"/>
              </w:rPr>
            </w:pPr>
            <w:r>
              <w:rPr>
                <w:rStyle w:val="13"/>
                <w:b/>
                <w:bCs/>
                <w:sz w:val="22"/>
                <w:szCs w:val="22"/>
                <w:highlight w:val="none"/>
                <w:lang w:val="en-US" w:eastAsia="zh-CN" w:bidi="ar"/>
              </w:rPr>
              <w:t>教</w:t>
            </w:r>
            <w:r>
              <w:rPr>
                <w:rStyle w:val="11"/>
                <w:rFonts w:eastAsia="宋体"/>
                <w:b/>
                <w:bCs/>
                <w:sz w:val="22"/>
                <w:szCs w:val="22"/>
                <w:highlight w:val="none"/>
                <w:lang w:val="en-US" w:eastAsia="zh-CN" w:bidi="ar"/>
              </w:rPr>
              <w:t xml:space="preserve">  </w:t>
            </w:r>
            <w:r>
              <w:rPr>
                <w:rStyle w:val="13"/>
                <w:b/>
                <w:bCs/>
                <w:sz w:val="22"/>
                <w:szCs w:val="22"/>
                <w:highlight w:val="none"/>
                <w:lang w:val="en-US" w:eastAsia="zh-CN" w:bidi="ar"/>
              </w:rPr>
              <w:t>育</w:t>
            </w:r>
          </w:p>
        </w:tc>
        <w:tc>
          <w:tcPr>
            <w:tcW w:w="1850"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-37.0</w:t>
            </w:r>
          </w:p>
        </w:tc>
      </w:tr>
      <w:tr>
        <w:tblPrEx>
          <w:tblCellMar>
            <w:top w:w="0" w:type="dxa"/>
            <w:left w:w="0" w:type="dxa"/>
            <w:bottom w:w="0" w:type="dxa"/>
            <w:right w:w="0" w:type="dxa"/>
          </w:tblCellMar>
        </w:tblPrEx>
        <w:trPr>
          <w:trHeight w:val="510" w:hRule="atLeast"/>
        </w:trPr>
        <w:tc>
          <w:tcPr>
            <w:tcW w:w="231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FF"/>
                <w:sz w:val="22"/>
                <w:szCs w:val="22"/>
                <w:highlight w:val="none"/>
                <w:u w:val="none"/>
              </w:rPr>
            </w:pPr>
            <w:r>
              <w:rPr>
                <w:rStyle w:val="13"/>
                <w:b/>
                <w:bCs/>
                <w:sz w:val="21"/>
                <w:szCs w:val="21"/>
                <w:highlight w:val="none"/>
                <w:lang w:val="en-US" w:eastAsia="zh-CN" w:bidi="ar"/>
              </w:rPr>
              <w:t>交通运输、仓储和邮政业</w:t>
            </w:r>
          </w:p>
        </w:tc>
        <w:tc>
          <w:tcPr>
            <w:tcW w:w="1844"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-11.2</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FF"/>
                <w:sz w:val="22"/>
                <w:szCs w:val="22"/>
                <w:highlight w:val="none"/>
                <w:u w:val="none"/>
              </w:rPr>
            </w:pPr>
            <w:r>
              <w:rPr>
                <w:rStyle w:val="13"/>
                <w:b/>
                <w:bCs/>
                <w:sz w:val="22"/>
                <w:szCs w:val="22"/>
                <w:highlight w:val="none"/>
                <w:lang w:val="en-US" w:eastAsia="zh-CN" w:bidi="ar"/>
              </w:rPr>
              <w:t>卫生和社会工作</w:t>
            </w:r>
          </w:p>
        </w:tc>
        <w:tc>
          <w:tcPr>
            <w:tcW w:w="1850"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-50.1</w:t>
            </w:r>
          </w:p>
        </w:tc>
      </w:tr>
      <w:tr>
        <w:tblPrEx>
          <w:tblCellMar>
            <w:top w:w="0" w:type="dxa"/>
            <w:left w:w="0" w:type="dxa"/>
            <w:bottom w:w="0" w:type="dxa"/>
            <w:right w:w="0" w:type="dxa"/>
          </w:tblCellMar>
        </w:tblPrEx>
        <w:trPr>
          <w:trHeight w:val="510" w:hRule="atLeast"/>
        </w:trPr>
        <w:tc>
          <w:tcPr>
            <w:tcW w:w="231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FF"/>
                <w:sz w:val="22"/>
                <w:szCs w:val="22"/>
                <w:highlight w:val="none"/>
                <w:u w:val="none"/>
              </w:rPr>
            </w:pPr>
            <w:r>
              <w:rPr>
                <w:rStyle w:val="13"/>
                <w:b/>
                <w:bCs/>
                <w:sz w:val="22"/>
                <w:szCs w:val="22"/>
                <w:highlight w:val="none"/>
                <w:lang w:val="en-US" w:eastAsia="zh-CN" w:bidi="ar"/>
              </w:rPr>
              <w:t>住宿和餐饮业</w:t>
            </w:r>
          </w:p>
        </w:tc>
        <w:tc>
          <w:tcPr>
            <w:tcW w:w="1844"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-65.5</w:t>
            </w:r>
          </w:p>
        </w:tc>
        <w:tc>
          <w:tcPr>
            <w:tcW w:w="2300" w:type="dxa"/>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b/>
                <w:bCs/>
                <w:i w:val="0"/>
                <w:color w:val="0000FF"/>
                <w:sz w:val="22"/>
                <w:szCs w:val="22"/>
                <w:highlight w:val="none"/>
                <w:u w:val="none"/>
              </w:rPr>
            </w:pPr>
            <w:r>
              <w:rPr>
                <w:rStyle w:val="13"/>
                <w:b/>
                <w:bCs/>
                <w:sz w:val="22"/>
                <w:szCs w:val="22"/>
                <w:highlight w:val="none"/>
                <w:lang w:val="en-US" w:eastAsia="zh-CN" w:bidi="ar"/>
              </w:rPr>
              <w:t>文化、体育和娱乐业</w:t>
            </w:r>
          </w:p>
        </w:tc>
        <w:tc>
          <w:tcPr>
            <w:tcW w:w="1850" w:type="dxa"/>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pPr>
              <w:keepNext w:val="0"/>
              <w:keepLines w:val="0"/>
              <w:widowControl/>
              <w:suppressLineNumbers w:val="0"/>
              <w:jc w:val="center"/>
              <w:textAlignment w:val="center"/>
              <w:rPr>
                <w:rFonts w:hint="default" w:ascii="Times New Roman" w:hAnsi="Times New Roman" w:eastAsia="宋体" w:cs="Times New Roman"/>
                <w:i w:val="0"/>
                <w:color w:val="0000FF"/>
                <w:sz w:val="24"/>
                <w:szCs w:val="24"/>
                <w:highlight w:val="none"/>
                <w:u w:val="none"/>
              </w:rPr>
            </w:pPr>
            <w:r>
              <w:rPr>
                <w:rFonts w:hint="eastAsia" w:ascii="Times New Roman" w:hAnsi="Times New Roman" w:eastAsia="宋体" w:cs="Times New Roman"/>
                <w:i w:val="0"/>
                <w:color w:val="000000"/>
                <w:kern w:val="0"/>
                <w:sz w:val="24"/>
                <w:szCs w:val="24"/>
                <w:highlight w:val="none"/>
                <w:u w:val="none"/>
                <w:lang w:val="en-US" w:eastAsia="zh-CN" w:bidi="ar"/>
              </w:rPr>
              <w:t>-44.3</w:t>
            </w:r>
          </w:p>
        </w:tc>
      </w:tr>
    </w:tbl>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color w:val="auto"/>
          <w:sz w:val="32"/>
          <w:szCs w:val="32"/>
          <w:highlight w:val="none"/>
        </w:rPr>
      </w:pPr>
      <w:r>
        <w:rPr>
          <w:rFonts w:hint="default" w:ascii="Times New Roman" w:hAnsi="Times New Roman" w:eastAsia="黑体" w:cs="Times New Roman"/>
          <w:color w:val="auto"/>
          <w:sz w:val="32"/>
          <w:szCs w:val="32"/>
          <w:highlight w:val="none"/>
        </w:rPr>
        <w:t>六、国内外贸易</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color w:val="auto"/>
          <w:sz w:val="32"/>
          <w:szCs w:val="32"/>
          <w:highlight w:val="yellow"/>
        </w:rPr>
      </w:pPr>
      <w:r>
        <w:rPr>
          <w:rFonts w:hint="default" w:ascii="Times New Roman" w:hAnsi="Times New Roman" w:eastAsia="方正仿宋简体" w:cs="Times New Roman"/>
          <w:color w:val="auto"/>
          <w:sz w:val="32"/>
          <w:szCs w:val="32"/>
          <w:highlight w:val="none"/>
        </w:rPr>
        <w:t>全年社会消费品零售总额比上年增长8.3%。按经营地统计，城镇消费品零售额增长9.8%；乡村消费品零售额增长3.7%。按消费类型统计，商品零售额增长7.0%；餐饮收入额增长21.7%。</w:t>
      </w:r>
    </w:p>
    <w:p>
      <w:pPr>
        <w:rPr>
          <w:rFonts w:hint="eastAsia"/>
          <w:color w:val="0000FF"/>
          <w:highlight w:val="yellow"/>
        </w:rPr>
      </w:pPr>
      <w:r>
        <w:drawing>
          <wp:anchor distT="0" distB="0" distL="114300" distR="114300" simplePos="0" relativeHeight="251661312" behindDoc="0" locked="0" layoutInCell="1" allowOverlap="1">
            <wp:simplePos x="0" y="0"/>
            <wp:positionH relativeFrom="column">
              <wp:posOffset>53340</wp:posOffset>
            </wp:positionH>
            <wp:positionV relativeFrom="paragraph">
              <wp:posOffset>94615</wp:posOffset>
            </wp:positionV>
            <wp:extent cx="5268595" cy="3095625"/>
            <wp:effectExtent l="0" t="0" r="8255" b="9525"/>
            <wp:wrapNone/>
            <wp:docPr id="96679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p>
    <w:p>
      <w:pPr>
        <w:rPr>
          <w:rFonts w:hint="eastAsia"/>
          <w:color w:val="0000FF"/>
          <w:highlight w:val="yellow"/>
        </w:rPr>
      </w:pP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Times New Roman" w:hAnsi="Times New Roman" w:eastAsia="方正仿宋简体" w:cs="Times New Roman"/>
          <w:color w:val="0000FF"/>
          <w:sz w:val="32"/>
          <w:szCs w:val="32"/>
          <w:highlight w:val="none"/>
        </w:rPr>
      </w:pP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Times New Roman" w:hAnsi="Times New Roman" w:eastAsia="方正仿宋简体" w:cs="Times New Roman"/>
          <w:color w:val="0000FF"/>
          <w:sz w:val="32"/>
          <w:szCs w:val="32"/>
          <w:highlight w:val="none"/>
        </w:rPr>
      </w:pP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Times New Roman" w:hAnsi="Times New Roman" w:eastAsia="方正仿宋简体" w:cs="Times New Roman"/>
          <w:color w:val="0000FF"/>
          <w:sz w:val="32"/>
          <w:szCs w:val="32"/>
          <w:highlight w:val="none"/>
        </w:rPr>
      </w:pP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Times New Roman" w:hAnsi="Times New Roman" w:eastAsia="方正仿宋简体" w:cs="Times New Roman"/>
          <w:color w:val="0000FF"/>
          <w:sz w:val="32"/>
          <w:szCs w:val="32"/>
          <w:highlight w:val="none"/>
        </w:rPr>
      </w:pP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Times New Roman" w:hAnsi="Times New Roman" w:eastAsia="方正仿宋简体" w:cs="Times New Roman"/>
          <w:color w:val="0000FF"/>
          <w:sz w:val="32"/>
          <w:szCs w:val="32"/>
          <w:highlight w:val="none"/>
        </w:rPr>
      </w:pP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Times New Roman" w:hAnsi="Times New Roman" w:eastAsia="方正仿宋简体" w:cs="Times New Roman"/>
          <w:color w:val="0000FF"/>
          <w:sz w:val="32"/>
          <w:szCs w:val="32"/>
          <w:highlight w:val="none"/>
        </w:rPr>
      </w:pP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Times New Roman" w:hAnsi="Times New Roman" w:eastAsia="方正仿宋简体" w:cs="Times New Roman"/>
          <w:color w:val="0000FF"/>
          <w:sz w:val="32"/>
          <w:szCs w:val="32"/>
          <w:highlight w:val="none"/>
        </w:rPr>
      </w:pP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Times New Roman" w:hAnsi="Times New Roman" w:eastAsia="方正仿宋简体" w:cs="Times New Roman"/>
          <w:color w:val="0000FF"/>
          <w:sz w:val="32"/>
          <w:szCs w:val="32"/>
          <w:highlight w:val="none"/>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color w:val="auto"/>
          <w:sz w:val="32"/>
          <w:szCs w:val="32"/>
          <w:highlight w:val="none"/>
        </w:rPr>
      </w:pPr>
      <w:r>
        <w:rPr>
          <w:rFonts w:hint="default" w:ascii="Times New Roman" w:hAnsi="Times New Roman" w:eastAsia="方正仿宋简体" w:cs="Times New Roman"/>
          <w:color w:val="auto"/>
          <w:sz w:val="32"/>
          <w:szCs w:val="32"/>
          <w:highlight w:val="none"/>
        </w:rPr>
        <w:t>全年限额以上单位商品零售额中，粮油、食品类增长5.9%；饮料类增长59.3%；烟酒类增长70.1%；服装类、鞋帽、针纺织品类增长3.2%；化妆品类增长18.1%；书报杂志类增长3.1%；家用电器和音像器材类增长23.0%；文化办公用品类增长157.1%；石油及制品类增长25.5%；日用品类下降31.9%；中西药品类下降18.3%；煤炭及制品类下降61.3%；建筑及装潢材料类下降33.9%；汽车类下降1.0%。</w:t>
      </w:r>
    </w:p>
    <w:p>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黑体" w:hAnsi="黑体" w:eastAsia="黑体" w:cs="黑体"/>
          <w:color w:val="auto"/>
          <w:sz w:val="32"/>
          <w:szCs w:val="32"/>
          <w:highlight w:val="none"/>
        </w:rPr>
      </w:pPr>
      <w:r>
        <w:rPr>
          <w:rFonts w:hint="eastAsia" w:ascii="黑体" w:hAnsi="黑体" w:eastAsia="黑体" w:cs="黑体"/>
          <w:color w:val="auto"/>
          <w:sz w:val="32"/>
          <w:szCs w:val="32"/>
          <w:highlight w:val="none"/>
        </w:rPr>
        <w:t>七、财政金融</w:t>
      </w:r>
    </w:p>
    <w:p>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方正仿宋简体" w:cs="Times New Roman"/>
          <w:color w:val="auto"/>
          <w:sz w:val="32"/>
          <w:szCs w:val="32"/>
          <w:highlight w:val="yellow"/>
        </w:rPr>
      </w:pPr>
      <w:r>
        <w:rPr>
          <w:rFonts w:hint="default" w:ascii="Times New Roman" w:hAnsi="Times New Roman" w:eastAsia="方正仿宋简体" w:cs="Times New Roman"/>
          <w:color w:val="auto"/>
          <w:sz w:val="32"/>
          <w:szCs w:val="32"/>
          <w:highlight w:val="none"/>
        </w:rPr>
        <w:t>全年全地区</w:t>
      </w:r>
      <w:r>
        <w:rPr>
          <w:rFonts w:hint="default" w:ascii="Times New Roman" w:hAnsi="Times New Roman" w:eastAsia="方正仿宋简体" w:cs="Times New Roman"/>
          <w:color w:val="auto"/>
          <w:sz w:val="32"/>
          <w:szCs w:val="32"/>
          <w:highlight w:val="none"/>
          <w:lang w:eastAsia="zh-CN"/>
        </w:rPr>
        <w:t>一般公共财政预算收入</w:t>
      </w:r>
      <w:r>
        <w:rPr>
          <w:rFonts w:hint="default" w:ascii="Times New Roman" w:hAnsi="Times New Roman" w:eastAsia="方正仿宋简体" w:cs="Times New Roman"/>
          <w:color w:val="auto"/>
          <w:sz w:val="32"/>
          <w:szCs w:val="32"/>
          <w:highlight w:val="none"/>
          <w:lang w:val="en-US" w:eastAsia="zh-CN"/>
        </w:rPr>
        <w:t>比上年同期增长</w:t>
      </w:r>
      <w:r>
        <w:rPr>
          <w:rFonts w:hint="eastAsia" w:ascii="Times New Roman" w:hAnsi="Times New Roman" w:eastAsia="方正仿宋简体" w:cs="Times New Roman"/>
          <w:color w:val="auto"/>
          <w:sz w:val="32"/>
          <w:szCs w:val="32"/>
          <w:highlight w:val="none"/>
          <w:lang w:val="en-US" w:eastAsia="zh-CN"/>
        </w:rPr>
        <w:t>16.1</w:t>
      </w:r>
      <w:r>
        <w:rPr>
          <w:rFonts w:hint="default" w:ascii="Times New Roman" w:hAnsi="Times New Roman" w:eastAsia="方正仿宋简体" w:cs="Times New Roman"/>
          <w:color w:val="auto"/>
          <w:sz w:val="32"/>
          <w:szCs w:val="32"/>
          <w:highlight w:val="none"/>
          <w:lang w:val="en-US" w:eastAsia="zh-CN"/>
        </w:rPr>
        <w:t>%。其中，</w:t>
      </w:r>
      <w:r>
        <w:rPr>
          <w:rFonts w:hint="default" w:ascii="Times New Roman" w:hAnsi="Times New Roman" w:eastAsia="方正仿宋简体" w:cs="Times New Roman"/>
          <w:b w:val="0"/>
          <w:bCs w:val="0"/>
          <w:color w:val="auto"/>
          <w:sz w:val="32"/>
          <w:szCs w:val="32"/>
          <w:highlight w:val="none"/>
          <w:lang w:val="en-US" w:eastAsia="zh-CN"/>
        </w:rPr>
        <w:t>税收收入增长</w:t>
      </w:r>
      <w:r>
        <w:rPr>
          <w:rFonts w:hint="eastAsia" w:ascii="Times New Roman" w:hAnsi="Times New Roman" w:eastAsia="方正仿宋简体" w:cs="Times New Roman"/>
          <w:b w:val="0"/>
          <w:bCs w:val="0"/>
          <w:color w:val="auto"/>
          <w:sz w:val="32"/>
          <w:szCs w:val="32"/>
          <w:highlight w:val="none"/>
          <w:lang w:val="en-US" w:eastAsia="zh-CN"/>
        </w:rPr>
        <w:t>7.6</w:t>
      </w:r>
      <w:r>
        <w:rPr>
          <w:rFonts w:hint="default" w:ascii="Times New Roman" w:hAnsi="Times New Roman" w:eastAsia="方正仿宋简体" w:cs="Times New Roman"/>
          <w:b w:val="0"/>
          <w:bCs w:val="0"/>
          <w:color w:val="auto"/>
          <w:sz w:val="32"/>
          <w:szCs w:val="32"/>
          <w:highlight w:val="none"/>
          <w:lang w:val="en-US" w:eastAsia="zh-CN"/>
        </w:rPr>
        <w:t>%；非税收入增长</w:t>
      </w:r>
      <w:r>
        <w:rPr>
          <w:rFonts w:hint="eastAsia" w:ascii="Times New Roman" w:hAnsi="Times New Roman" w:eastAsia="方正仿宋简体" w:cs="Times New Roman"/>
          <w:b w:val="0"/>
          <w:bCs w:val="0"/>
          <w:color w:val="auto"/>
          <w:sz w:val="32"/>
          <w:szCs w:val="32"/>
          <w:highlight w:val="none"/>
          <w:lang w:val="en-US" w:eastAsia="zh-CN"/>
        </w:rPr>
        <w:t>24.8</w:t>
      </w:r>
      <w:r>
        <w:rPr>
          <w:rFonts w:hint="default" w:ascii="Times New Roman" w:hAnsi="Times New Roman" w:eastAsia="方正仿宋简体" w:cs="Times New Roman"/>
          <w:color w:val="auto"/>
          <w:sz w:val="32"/>
          <w:szCs w:val="32"/>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default" w:ascii="Times New Roman" w:hAnsi="Times New Roman" w:eastAsia="方正仿宋简体" w:cs="Times New Roman"/>
          <w:color w:val="auto"/>
          <w:sz w:val="32"/>
          <w:szCs w:val="32"/>
          <w:highlight w:val="none"/>
        </w:rPr>
      </w:pPr>
      <w:r>
        <w:rPr>
          <w:rFonts w:hint="default" w:ascii="Times New Roman" w:hAnsi="Times New Roman" w:eastAsia="方正仿宋简体" w:cs="Times New Roman"/>
          <w:color w:val="auto"/>
          <w:sz w:val="32"/>
          <w:szCs w:val="32"/>
          <w:highlight w:val="none"/>
        </w:rPr>
        <w:t>一般公共财政预算支出完成</w:t>
      </w:r>
      <w:r>
        <w:rPr>
          <w:rFonts w:hint="default" w:ascii="Times New Roman" w:hAnsi="Times New Roman" w:eastAsia="方正仿宋简体" w:cs="Times New Roman"/>
          <w:color w:val="auto"/>
          <w:sz w:val="32"/>
          <w:szCs w:val="32"/>
          <w:highlight w:val="none"/>
          <w:lang w:eastAsia="zh-CN"/>
        </w:rPr>
        <w:t>比上年</w:t>
      </w:r>
      <w:r>
        <w:rPr>
          <w:rFonts w:hint="eastAsia" w:ascii="Times New Roman" w:hAnsi="Times New Roman" w:eastAsia="方正仿宋简体" w:cs="Times New Roman"/>
          <w:color w:val="auto"/>
          <w:sz w:val="32"/>
          <w:szCs w:val="32"/>
          <w:highlight w:val="none"/>
          <w:lang w:val="en-US" w:eastAsia="zh-CN"/>
        </w:rPr>
        <w:t>增长0.03</w:t>
      </w:r>
      <w:r>
        <w:rPr>
          <w:rFonts w:hint="default" w:ascii="Times New Roman" w:hAnsi="Times New Roman" w:eastAsia="方正仿宋简体" w:cs="Times New Roman"/>
          <w:color w:val="auto"/>
          <w:sz w:val="32"/>
          <w:szCs w:val="32"/>
          <w:highlight w:val="none"/>
        </w:rPr>
        <w:t>%。财政自给率由上年的</w:t>
      </w:r>
      <w:r>
        <w:rPr>
          <w:rFonts w:hint="eastAsia" w:ascii="Times New Roman" w:hAnsi="Times New Roman" w:eastAsia="方正仿宋简体" w:cs="Times New Roman"/>
          <w:color w:val="auto"/>
          <w:sz w:val="32"/>
          <w:szCs w:val="32"/>
          <w:highlight w:val="none"/>
          <w:lang w:val="en-US" w:eastAsia="zh-CN"/>
        </w:rPr>
        <w:t>10.66</w:t>
      </w:r>
      <w:r>
        <w:rPr>
          <w:rFonts w:hint="default" w:ascii="Times New Roman" w:hAnsi="Times New Roman" w:eastAsia="方正仿宋简体" w:cs="Times New Roman"/>
          <w:color w:val="auto"/>
          <w:sz w:val="32"/>
          <w:szCs w:val="32"/>
          <w:highlight w:val="none"/>
        </w:rPr>
        <w:t>%升至</w:t>
      </w:r>
      <w:r>
        <w:rPr>
          <w:rFonts w:hint="default" w:ascii="Times New Roman" w:hAnsi="Times New Roman" w:eastAsia="方正仿宋简体" w:cs="Times New Roman"/>
          <w:color w:val="auto"/>
          <w:sz w:val="32"/>
          <w:szCs w:val="32"/>
          <w:highlight w:val="none"/>
          <w:lang w:val="en-US" w:eastAsia="zh-CN"/>
        </w:rPr>
        <w:t>1</w:t>
      </w:r>
      <w:r>
        <w:rPr>
          <w:rFonts w:hint="eastAsia" w:ascii="Times New Roman" w:hAnsi="Times New Roman" w:eastAsia="方正仿宋简体" w:cs="Times New Roman"/>
          <w:color w:val="auto"/>
          <w:sz w:val="32"/>
          <w:szCs w:val="32"/>
          <w:highlight w:val="none"/>
          <w:lang w:val="en-US" w:eastAsia="zh-CN"/>
        </w:rPr>
        <w:t>2.38</w:t>
      </w:r>
      <w:r>
        <w:rPr>
          <w:rFonts w:hint="default" w:ascii="Times New Roman" w:hAnsi="Times New Roman" w:eastAsia="方正仿宋简体" w:cs="Times New Roman"/>
          <w:color w:val="auto"/>
          <w:sz w:val="32"/>
          <w:szCs w:val="32"/>
          <w:highlight w:val="none"/>
        </w:rPr>
        <w:t>%，增长</w:t>
      </w:r>
      <w:r>
        <w:rPr>
          <w:rFonts w:hint="eastAsia" w:ascii="Times New Roman" w:hAnsi="Times New Roman" w:eastAsia="方正仿宋简体" w:cs="Times New Roman"/>
          <w:color w:val="auto"/>
          <w:sz w:val="32"/>
          <w:szCs w:val="32"/>
          <w:highlight w:val="none"/>
          <w:lang w:val="en-US" w:eastAsia="zh-CN"/>
        </w:rPr>
        <w:t>1.72</w:t>
      </w:r>
      <w:r>
        <w:rPr>
          <w:rFonts w:hint="default" w:ascii="Times New Roman" w:hAnsi="Times New Roman" w:eastAsia="方正仿宋简体" w:cs="Times New Roman"/>
          <w:color w:val="auto"/>
          <w:sz w:val="32"/>
          <w:szCs w:val="32"/>
          <w:highlight w:val="none"/>
        </w:rPr>
        <w:t>个百分点。</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default" w:ascii="Times New Roman" w:hAnsi="Times New Roman" w:eastAsia="方正仿宋简体" w:cs="Times New Roman"/>
          <w:color w:val="auto"/>
          <w:sz w:val="32"/>
          <w:szCs w:val="32"/>
        </w:rPr>
      </w:pPr>
      <w:r>
        <w:drawing>
          <wp:anchor distT="0" distB="0" distL="114300" distR="114300" simplePos="0" relativeHeight="251673600" behindDoc="0" locked="0" layoutInCell="1" allowOverlap="1">
            <wp:simplePos x="0" y="0"/>
            <wp:positionH relativeFrom="column">
              <wp:posOffset>190500</wp:posOffset>
            </wp:positionH>
            <wp:positionV relativeFrom="paragraph">
              <wp:posOffset>3002280</wp:posOffset>
            </wp:positionV>
            <wp:extent cx="5273040" cy="2696845"/>
            <wp:effectExtent l="0" t="0" r="3810" b="8255"/>
            <wp:wrapSquare wrapText="bothSides"/>
            <wp:docPr id="1186908" name="图表 2"/>
            <wp:cNvGraphicFramePr>
              <a:graphicFrameLocks xmlns:a="http://schemas.openxmlformats.org/drawingml/2006/main" noChangeAspect="true"/>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r>
        <w:drawing>
          <wp:anchor distT="0" distB="0" distL="114300" distR="114300" simplePos="0" relativeHeight="251672576" behindDoc="0" locked="0" layoutInCell="1" allowOverlap="1">
            <wp:simplePos x="0" y="0"/>
            <wp:positionH relativeFrom="column">
              <wp:posOffset>228600</wp:posOffset>
            </wp:positionH>
            <wp:positionV relativeFrom="paragraph">
              <wp:posOffset>60960</wp:posOffset>
            </wp:positionV>
            <wp:extent cx="5271135" cy="2747010"/>
            <wp:effectExtent l="0" t="0" r="5715" b="15240"/>
            <wp:wrapTopAndBottom/>
            <wp:docPr id="969921" name="图表 2"/>
            <wp:cNvGraphicFramePr>
              <a:graphicFrameLocks xmlns:a="http://schemas.openxmlformats.org/drawingml/2006/main" noChangeAspect="true"/>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anchor>
        </w:drawing>
      </w:r>
      <w:r>
        <w:rPr>
          <w:rFonts w:hint="eastAsia"/>
          <w:lang w:val="en-US" w:eastAsia="zh-CN"/>
        </w:rPr>
        <w:t xml:space="preserve">      </w:t>
      </w:r>
      <w:r>
        <w:rPr>
          <w:rFonts w:hint="eastAsia" w:ascii="Times New Roman" w:hAnsi="Times New Roman" w:eastAsia="方正仿宋简体" w:cs="Times New Roman"/>
          <w:color w:val="auto"/>
          <w:sz w:val="32"/>
          <w:szCs w:val="32"/>
          <w:lang w:val="en-US" w:eastAsia="zh-CN"/>
        </w:rPr>
        <w:t>全年</w:t>
      </w:r>
      <w:r>
        <w:rPr>
          <w:rFonts w:hint="default" w:ascii="Times New Roman" w:hAnsi="Times New Roman" w:eastAsia="方正仿宋简体" w:cs="Times New Roman"/>
          <w:color w:val="auto"/>
          <w:sz w:val="32"/>
          <w:szCs w:val="32"/>
        </w:rPr>
        <w:t>全地区金融机构人民币各项存款余额同比</w:t>
      </w:r>
      <w:r>
        <w:rPr>
          <w:rFonts w:hint="eastAsia" w:ascii="Times New Roman" w:hAnsi="Times New Roman" w:eastAsia="方正仿宋简体" w:cs="Times New Roman"/>
          <w:color w:val="auto"/>
          <w:sz w:val="32"/>
          <w:szCs w:val="32"/>
          <w:lang w:val="en-US" w:eastAsia="zh-CN"/>
        </w:rPr>
        <w:t>增长9.7</w:t>
      </w:r>
      <w:r>
        <w:rPr>
          <w:rFonts w:hint="default" w:ascii="Times New Roman" w:hAnsi="Times New Roman" w:eastAsia="方正仿宋简体" w:cs="Times New Roman"/>
          <w:color w:val="auto"/>
          <w:sz w:val="32"/>
          <w:szCs w:val="32"/>
        </w:rPr>
        <w:t>%。住户存款余额增长</w:t>
      </w:r>
      <w:r>
        <w:rPr>
          <w:rFonts w:hint="eastAsia" w:ascii="Times New Roman" w:hAnsi="Times New Roman" w:eastAsia="方正仿宋简体" w:cs="Times New Roman"/>
          <w:color w:val="auto"/>
          <w:sz w:val="32"/>
          <w:szCs w:val="32"/>
          <w:lang w:val="en-US" w:eastAsia="zh-CN"/>
        </w:rPr>
        <w:t>7.3</w:t>
      </w:r>
      <w:r>
        <w:rPr>
          <w:rFonts w:hint="default" w:ascii="Times New Roman" w:hAnsi="Times New Roman" w:eastAsia="方正仿宋简体" w:cs="Times New Roman"/>
          <w:color w:val="auto"/>
          <w:sz w:val="32"/>
          <w:szCs w:val="32"/>
        </w:rPr>
        <w:t>%；非金融企业存款余额</w:t>
      </w:r>
      <w:r>
        <w:rPr>
          <w:rFonts w:hint="eastAsia" w:ascii="Times New Roman" w:hAnsi="Times New Roman" w:eastAsia="方正仿宋简体" w:cs="Times New Roman"/>
          <w:color w:val="auto"/>
          <w:sz w:val="32"/>
          <w:szCs w:val="32"/>
          <w:lang w:val="en-US" w:eastAsia="zh-CN"/>
        </w:rPr>
        <w:t>下降10.7</w:t>
      </w:r>
      <w:r>
        <w:rPr>
          <w:rFonts w:hint="default" w:ascii="Times New Roman" w:hAnsi="Times New Roman" w:eastAsia="方正仿宋简体" w:cs="Times New Roman"/>
          <w:color w:val="auto"/>
          <w:sz w:val="32"/>
          <w:szCs w:val="32"/>
        </w:rPr>
        <w:t>%；政府存款余额</w:t>
      </w:r>
      <w:r>
        <w:rPr>
          <w:rFonts w:hint="eastAsia" w:ascii="Times New Roman" w:hAnsi="Times New Roman" w:eastAsia="方正仿宋简体" w:cs="Times New Roman"/>
          <w:color w:val="auto"/>
          <w:sz w:val="32"/>
          <w:szCs w:val="32"/>
          <w:lang w:val="en-US" w:eastAsia="zh-CN"/>
        </w:rPr>
        <w:t>增长23.0</w:t>
      </w:r>
      <w:r>
        <w:rPr>
          <w:rFonts w:hint="default" w:ascii="Times New Roman" w:hAnsi="Times New Roman" w:eastAsia="方正仿宋简体" w:cs="Times New Roman"/>
          <w:color w:val="auto"/>
          <w:sz w:val="32"/>
          <w:szCs w:val="32"/>
        </w:rPr>
        <w:t>%；非银机构存款余额</w:t>
      </w:r>
      <w:r>
        <w:rPr>
          <w:rFonts w:hint="eastAsia" w:ascii="Times New Roman" w:hAnsi="Times New Roman" w:eastAsia="方正仿宋简体" w:cs="Times New Roman"/>
          <w:color w:val="auto"/>
          <w:sz w:val="32"/>
          <w:szCs w:val="32"/>
          <w:lang w:val="en-US" w:eastAsia="zh-CN"/>
        </w:rPr>
        <w:t>增长65.2</w:t>
      </w:r>
      <w:r>
        <w:rPr>
          <w:rFonts w:hint="default" w:ascii="Times New Roman" w:hAnsi="Times New Roman" w:eastAsia="方正仿宋简体" w:cs="Times New Roman"/>
          <w:color w:val="auto"/>
          <w:sz w:val="32"/>
          <w:szCs w:val="32"/>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auto"/>
          <w:sz w:val="32"/>
          <w:szCs w:val="32"/>
        </w:rPr>
      </w:pPr>
      <w:r>
        <w:rPr>
          <w:rFonts w:hint="default" w:ascii="Times New Roman" w:hAnsi="Times New Roman" w:eastAsia="方正仿宋简体" w:cs="Times New Roman"/>
          <w:color w:val="auto"/>
          <w:sz w:val="32"/>
          <w:szCs w:val="32"/>
        </w:rPr>
        <w:t>金融机构各项贷款余额同比增长</w:t>
      </w:r>
      <w:r>
        <w:rPr>
          <w:rFonts w:hint="eastAsia" w:ascii="Times New Roman" w:hAnsi="Times New Roman" w:eastAsia="方正仿宋简体" w:cs="Times New Roman"/>
          <w:color w:val="auto"/>
          <w:sz w:val="32"/>
          <w:szCs w:val="32"/>
          <w:lang w:val="en-US" w:eastAsia="zh-CN"/>
        </w:rPr>
        <w:t>9.4</w:t>
      </w:r>
      <w:r>
        <w:rPr>
          <w:rFonts w:hint="default" w:ascii="Times New Roman" w:hAnsi="Times New Roman" w:eastAsia="方正仿宋简体" w:cs="Times New Roman"/>
          <w:color w:val="auto"/>
          <w:sz w:val="32"/>
          <w:szCs w:val="32"/>
        </w:rPr>
        <w:t>%。住户贷款余额增长</w:t>
      </w:r>
      <w:r>
        <w:rPr>
          <w:rFonts w:hint="eastAsia" w:ascii="Times New Roman" w:hAnsi="Times New Roman" w:eastAsia="方正仿宋简体" w:cs="Times New Roman"/>
          <w:color w:val="auto"/>
          <w:sz w:val="32"/>
          <w:szCs w:val="32"/>
          <w:lang w:val="en-US" w:eastAsia="zh-CN"/>
        </w:rPr>
        <w:t>5.2</w:t>
      </w:r>
      <w:r>
        <w:rPr>
          <w:rFonts w:hint="default" w:ascii="Times New Roman" w:hAnsi="Times New Roman" w:eastAsia="方正仿宋简体" w:cs="Times New Roman"/>
          <w:color w:val="auto"/>
          <w:sz w:val="32"/>
          <w:szCs w:val="32"/>
        </w:rPr>
        <w:t>%；企业及机关团体贷款余额增长</w:t>
      </w:r>
      <w:r>
        <w:rPr>
          <w:rFonts w:hint="eastAsia" w:ascii="Times New Roman" w:hAnsi="Times New Roman" w:eastAsia="方正仿宋简体" w:cs="Times New Roman"/>
          <w:color w:val="auto"/>
          <w:sz w:val="32"/>
          <w:szCs w:val="32"/>
          <w:lang w:val="en-US" w:eastAsia="zh-CN"/>
        </w:rPr>
        <w:t>12.3</w:t>
      </w:r>
      <w:r>
        <w:rPr>
          <w:rFonts w:hint="default" w:ascii="Times New Roman" w:hAnsi="Times New Roman" w:eastAsia="方正仿宋简体" w:cs="Times New Roman"/>
          <w:color w:val="auto"/>
          <w:sz w:val="32"/>
          <w:szCs w:val="32"/>
        </w:rPr>
        <w:t>%。</w:t>
      </w:r>
    </w:p>
    <w:p>
      <w:pPr>
        <w:rPr>
          <w:rFonts w:hint="eastAsia"/>
          <w:color w:val="0000FF"/>
          <w:highlight w:val="yellow"/>
        </w:rPr>
      </w:pPr>
    </w:p>
    <w:p>
      <w:pPr>
        <w:rPr>
          <w:rFonts w:hint="eastAsia"/>
          <w:color w:val="0000FF"/>
          <w:highlight w:val="yellow"/>
        </w:rPr>
      </w:pPr>
    </w:p>
    <w:p>
      <w:pPr>
        <w:rPr>
          <w:rFonts w:hint="eastAsia"/>
          <w:color w:val="0000FF"/>
          <w:highlight w:val="yellow"/>
        </w:rPr>
      </w:pPr>
      <w:r>
        <w:drawing>
          <wp:anchor distT="0" distB="0" distL="114300" distR="114300" simplePos="0" relativeHeight="251663360" behindDoc="0" locked="0" layoutInCell="1" allowOverlap="1">
            <wp:simplePos x="0" y="0"/>
            <wp:positionH relativeFrom="column">
              <wp:posOffset>6350</wp:posOffset>
            </wp:positionH>
            <wp:positionV relativeFrom="paragraph">
              <wp:posOffset>51435</wp:posOffset>
            </wp:positionV>
            <wp:extent cx="5272405" cy="2435225"/>
            <wp:effectExtent l="6350" t="6350" r="17145" b="15875"/>
            <wp:wrapNone/>
            <wp:docPr id="971919" name="Chart 1"/>
            <wp:cNvGraphicFramePr>
              <a:graphicFrameLocks xmlns:a="http://schemas.openxmlformats.org/drawingml/2006/main" noChangeAspect="true"/>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anchor>
        </w:drawing>
      </w:r>
    </w:p>
    <w:p>
      <w:pPr>
        <w:rPr>
          <w:rFonts w:hint="eastAsia"/>
          <w:color w:val="0000FF"/>
          <w:highlight w:val="yellow"/>
        </w:rPr>
      </w:pPr>
    </w:p>
    <w:p>
      <w:pPr>
        <w:rPr>
          <w:rFonts w:hint="eastAsia"/>
          <w:color w:val="0000FF"/>
          <w:highlight w:val="yellow"/>
        </w:rPr>
      </w:pPr>
    </w:p>
    <w:p>
      <w:pPr>
        <w:rPr>
          <w:rFonts w:hint="eastAsia"/>
          <w:color w:val="0000FF"/>
          <w:highlight w:val="yellow"/>
        </w:rPr>
      </w:pPr>
    </w:p>
    <w:p>
      <w:pPr>
        <w:rPr>
          <w:rFonts w:hint="eastAsia"/>
          <w:color w:val="0000FF"/>
          <w:highlight w:val="yellow"/>
        </w:rPr>
      </w:pPr>
    </w:p>
    <w:p>
      <w:pPr>
        <w:rPr>
          <w:rFonts w:hint="eastAsia"/>
          <w:color w:val="0000FF"/>
          <w:highlight w:val="yellow"/>
        </w:rPr>
      </w:pPr>
    </w:p>
    <w:p>
      <w:pPr>
        <w:keepNext w:val="0"/>
        <w:keepLines w:val="0"/>
        <w:pageBreakBefore w:val="0"/>
        <w:widowControl w:val="0"/>
        <w:kinsoku/>
        <w:wordWrap/>
        <w:overflowPunct/>
        <w:topLinePunct w:val="0"/>
        <w:autoSpaceDE/>
        <w:autoSpaceDN/>
        <w:bidi w:val="0"/>
        <w:adjustRightInd/>
        <w:snapToGrid/>
        <w:spacing w:line="494" w:lineRule="exact"/>
        <w:ind w:firstLine="640" w:firstLineChars="200"/>
        <w:textAlignment w:val="auto"/>
        <w:rPr>
          <w:rFonts w:hint="default" w:ascii="Times New Roman" w:hAnsi="Times New Roman" w:eastAsia="方正仿宋简体" w:cs="Times New Roman"/>
          <w:color w:val="auto"/>
          <w:sz w:val="32"/>
          <w:szCs w:val="32"/>
          <w:highlight w:val="none"/>
        </w:rPr>
      </w:pPr>
    </w:p>
    <w:p>
      <w:pPr>
        <w:keepNext w:val="0"/>
        <w:keepLines w:val="0"/>
        <w:pageBreakBefore w:val="0"/>
        <w:widowControl w:val="0"/>
        <w:kinsoku/>
        <w:wordWrap/>
        <w:overflowPunct/>
        <w:topLinePunct w:val="0"/>
        <w:autoSpaceDE/>
        <w:autoSpaceDN/>
        <w:bidi w:val="0"/>
        <w:adjustRightInd/>
        <w:snapToGrid/>
        <w:spacing w:line="494" w:lineRule="exact"/>
        <w:ind w:firstLine="640" w:firstLineChars="200"/>
        <w:textAlignment w:val="auto"/>
        <w:rPr>
          <w:rFonts w:hint="default" w:ascii="Times New Roman" w:hAnsi="Times New Roman" w:eastAsia="方正仿宋简体" w:cs="Times New Roman"/>
          <w:color w:val="auto"/>
          <w:sz w:val="32"/>
          <w:szCs w:val="32"/>
          <w:highlight w:val="none"/>
        </w:rPr>
      </w:pPr>
    </w:p>
    <w:p>
      <w:pPr>
        <w:keepNext w:val="0"/>
        <w:keepLines w:val="0"/>
        <w:pageBreakBefore w:val="0"/>
        <w:widowControl w:val="0"/>
        <w:kinsoku/>
        <w:wordWrap/>
        <w:overflowPunct/>
        <w:topLinePunct w:val="0"/>
        <w:autoSpaceDE/>
        <w:autoSpaceDN/>
        <w:bidi w:val="0"/>
        <w:adjustRightInd/>
        <w:snapToGrid/>
        <w:spacing w:line="494" w:lineRule="exact"/>
        <w:textAlignment w:val="auto"/>
        <w:rPr>
          <w:rFonts w:hint="default" w:ascii="Times New Roman" w:hAnsi="Times New Roman" w:eastAsia="方正仿宋简体" w:cs="Times New Roman"/>
          <w:color w:val="auto"/>
          <w:sz w:val="32"/>
          <w:szCs w:val="32"/>
          <w:highlight w:val="none"/>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auto"/>
          <w:sz w:val="32"/>
          <w:szCs w:val="32"/>
          <w:highlight w:val="none"/>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auto"/>
          <w:sz w:val="32"/>
          <w:szCs w:val="32"/>
          <w:highlight w:val="none"/>
        </w:rPr>
      </w:pPr>
      <w:r>
        <w:rPr>
          <w:rFonts w:hint="default" w:ascii="Times New Roman" w:hAnsi="Times New Roman" w:eastAsia="方正仿宋简体" w:cs="Times New Roman"/>
          <w:color w:val="auto"/>
          <w:sz w:val="32"/>
          <w:szCs w:val="32"/>
          <w:highlight w:val="none"/>
        </w:rPr>
        <w:t>全年</w:t>
      </w:r>
      <w:r>
        <w:rPr>
          <w:rFonts w:hint="default" w:ascii="Times New Roman" w:hAnsi="Times New Roman" w:eastAsia="方正仿宋简体" w:cs="Times New Roman"/>
          <w:color w:val="auto"/>
          <w:sz w:val="32"/>
          <w:szCs w:val="32"/>
          <w:highlight w:val="none"/>
          <w:lang w:val="en-US" w:eastAsia="zh-CN"/>
        </w:rPr>
        <w:t>地区8家</w:t>
      </w:r>
      <w:r>
        <w:rPr>
          <w:rFonts w:hint="default" w:ascii="Times New Roman" w:hAnsi="Times New Roman" w:eastAsia="方正仿宋简体" w:cs="Times New Roman"/>
          <w:color w:val="auto"/>
          <w:sz w:val="32"/>
          <w:szCs w:val="32"/>
          <w:highlight w:val="none"/>
        </w:rPr>
        <w:t>保险</w:t>
      </w:r>
      <w:r>
        <w:rPr>
          <w:rFonts w:hint="default" w:ascii="Times New Roman" w:hAnsi="Times New Roman" w:eastAsia="方正仿宋简体" w:cs="Times New Roman"/>
          <w:color w:val="auto"/>
          <w:sz w:val="32"/>
          <w:szCs w:val="32"/>
          <w:highlight w:val="none"/>
          <w:lang w:val="en-US" w:eastAsia="zh-CN"/>
        </w:rPr>
        <w:t>机构原保险</w:t>
      </w:r>
      <w:r>
        <w:rPr>
          <w:rFonts w:hint="default" w:ascii="Times New Roman" w:hAnsi="Times New Roman" w:eastAsia="方正仿宋简体" w:cs="Times New Roman"/>
          <w:color w:val="auto"/>
          <w:sz w:val="32"/>
          <w:szCs w:val="32"/>
          <w:highlight w:val="none"/>
        </w:rPr>
        <w:t>保费收入比上年</w:t>
      </w:r>
      <w:r>
        <w:rPr>
          <w:rFonts w:hint="eastAsia" w:ascii="Times New Roman" w:hAnsi="Times New Roman" w:eastAsia="方正仿宋简体" w:cs="Times New Roman"/>
          <w:color w:val="auto"/>
          <w:sz w:val="32"/>
          <w:szCs w:val="32"/>
          <w:highlight w:val="none"/>
          <w:lang w:val="en-US" w:eastAsia="zh-CN"/>
        </w:rPr>
        <w:t>增长2.4</w:t>
      </w:r>
      <w:r>
        <w:rPr>
          <w:rFonts w:hint="default" w:ascii="Times New Roman" w:hAnsi="Times New Roman" w:eastAsia="方正仿宋简体" w:cs="Times New Roman"/>
          <w:color w:val="auto"/>
          <w:sz w:val="32"/>
          <w:szCs w:val="32"/>
          <w:highlight w:val="none"/>
        </w:rPr>
        <w:t>%。其中，财险</w:t>
      </w:r>
      <w:r>
        <w:rPr>
          <w:rFonts w:hint="default" w:ascii="Times New Roman" w:hAnsi="Times New Roman" w:eastAsia="方正仿宋简体" w:cs="Times New Roman"/>
          <w:color w:val="auto"/>
          <w:sz w:val="32"/>
          <w:szCs w:val="32"/>
          <w:highlight w:val="none"/>
          <w:lang w:eastAsia="zh-CN"/>
        </w:rPr>
        <w:t>原保险</w:t>
      </w:r>
      <w:r>
        <w:rPr>
          <w:rFonts w:hint="default" w:ascii="Times New Roman" w:hAnsi="Times New Roman" w:eastAsia="方正仿宋简体" w:cs="Times New Roman"/>
          <w:color w:val="auto"/>
          <w:sz w:val="32"/>
          <w:szCs w:val="32"/>
          <w:highlight w:val="none"/>
        </w:rPr>
        <w:t>保费收入</w:t>
      </w:r>
      <w:r>
        <w:rPr>
          <w:rFonts w:hint="eastAsia" w:ascii="Times New Roman" w:hAnsi="Times New Roman" w:eastAsia="方正仿宋简体" w:cs="Times New Roman"/>
          <w:color w:val="auto"/>
          <w:sz w:val="32"/>
          <w:szCs w:val="32"/>
          <w:highlight w:val="none"/>
          <w:lang w:val="en-US" w:eastAsia="zh-CN"/>
        </w:rPr>
        <w:t>下降6</w:t>
      </w:r>
      <w:r>
        <w:rPr>
          <w:rFonts w:hint="default" w:ascii="Times New Roman" w:hAnsi="Times New Roman" w:eastAsia="方正仿宋简体" w:cs="Times New Roman"/>
          <w:color w:val="auto"/>
          <w:sz w:val="32"/>
          <w:szCs w:val="32"/>
          <w:highlight w:val="none"/>
          <w:lang w:val="en-US" w:eastAsia="zh-CN"/>
        </w:rPr>
        <w:t>.3</w:t>
      </w:r>
      <w:r>
        <w:rPr>
          <w:rFonts w:hint="default" w:ascii="Times New Roman" w:hAnsi="Times New Roman" w:eastAsia="方正仿宋简体" w:cs="Times New Roman"/>
          <w:color w:val="auto"/>
          <w:sz w:val="32"/>
          <w:szCs w:val="32"/>
          <w:highlight w:val="none"/>
        </w:rPr>
        <w:t>%；人身险</w:t>
      </w:r>
      <w:r>
        <w:rPr>
          <w:rFonts w:hint="default" w:ascii="Times New Roman" w:hAnsi="Times New Roman" w:eastAsia="方正仿宋简体" w:cs="Times New Roman"/>
          <w:color w:val="auto"/>
          <w:sz w:val="32"/>
          <w:szCs w:val="32"/>
          <w:highlight w:val="none"/>
          <w:lang w:eastAsia="zh-CN"/>
        </w:rPr>
        <w:t>原保险</w:t>
      </w:r>
      <w:r>
        <w:rPr>
          <w:rFonts w:hint="default" w:ascii="Times New Roman" w:hAnsi="Times New Roman" w:eastAsia="方正仿宋简体" w:cs="Times New Roman"/>
          <w:color w:val="auto"/>
          <w:sz w:val="32"/>
          <w:szCs w:val="32"/>
          <w:highlight w:val="none"/>
        </w:rPr>
        <w:t>保费收入</w:t>
      </w:r>
      <w:r>
        <w:rPr>
          <w:rFonts w:hint="eastAsia" w:ascii="Times New Roman" w:hAnsi="Times New Roman" w:eastAsia="方正仿宋简体" w:cs="Times New Roman"/>
          <w:color w:val="auto"/>
          <w:sz w:val="32"/>
          <w:szCs w:val="32"/>
          <w:highlight w:val="none"/>
          <w:lang w:val="en-US" w:eastAsia="zh-CN"/>
        </w:rPr>
        <w:t>增长17.4</w:t>
      </w:r>
      <w:r>
        <w:rPr>
          <w:rFonts w:hint="default" w:ascii="Times New Roman" w:hAnsi="Times New Roman" w:eastAsia="方正仿宋简体" w:cs="Times New Roman"/>
          <w:color w:val="auto"/>
          <w:sz w:val="32"/>
          <w:szCs w:val="32"/>
          <w:highlight w:val="none"/>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auto"/>
          <w:sz w:val="32"/>
          <w:szCs w:val="32"/>
          <w:highlight w:val="none"/>
        </w:rPr>
      </w:pPr>
      <w:r>
        <w:rPr>
          <w:rFonts w:hint="default" w:ascii="Times New Roman" w:hAnsi="Times New Roman" w:eastAsia="方正仿宋简体" w:cs="Times New Roman"/>
          <w:color w:val="auto"/>
          <w:sz w:val="32"/>
          <w:szCs w:val="32"/>
          <w:highlight w:val="none"/>
          <w:lang w:val="en-US" w:eastAsia="zh-CN"/>
        </w:rPr>
        <w:t>全年各类理赔及给付支出</w:t>
      </w:r>
      <w:r>
        <w:rPr>
          <w:rFonts w:hint="default" w:ascii="Times New Roman" w:hAnsi="Times New Roman" w:eastAsia="方正仿宋简体" w:cs="Times New Roman"/>
          <w:color w:val="auto"/>
          <w:sz w:val="32"/>
          <w:szCs w:val="32"/>
          <w:highlight w:val="none"/>
        </w:rPr>
        <w:t>比上年</w:t>
      </w:r>
      <w:r>
        <w:rPr>
          <w:rFonts w:hint="eastAsia" w:ascii="Times New Roman" w:hAnsi="Times New Roman" w:eastAsia="方正仿宋简体" w:cs="Times New Roman"/>
          <w:color w:val="auto"/>
          <w:sz w:val="32"/>
          <w:szCs w:val="32"/>
          <w:highlight w:val="none"/>
          <w:lang w:val="en-US" w:eastAsia="zh-CN"/>
        </w:rPr>
        <w:t>下降22.5</w:t>
      </w:r>
      <w:r>
        <w:rPr>
          <w:rFonts w:hint="default" w:ascii="Times New Roman" w:hAnsi="Times New Roman" w:eastAsia="方正仿宋简体" w:cs="Times New Roman"/>
          <w:color w:val="auto"/>
          <w:sz w:val="32"/>
          <w:szCs w:val="32"/>
          <w:highlight w:val="none"/>
        </w:rPr>
        <w:t>%。财险赔付金额</w:t>
      </w:r>
      <w:r>
        <w:rPr>
          <w:rFonts w:hint="eastAsia" w:ascii="Times New Roman" w:hAnsi="Times New Roman" w:eastAsia="方正仿宋简体" w:cs="Times New Roman"/>
          <w:color w:val="auto"/>
          <w:sz w:val="32"/>
          <w:szCs w:val="32"/>
          <w:highlight w:val="none"/>
          <w:lang w:val="en-US" w:eastAsia="zh-CN"/>
        </w:rPr>
        <w:t>下降23.8</w:t>
      </w:r>
      <w:r>
        <w:rPr>
          <w:rFonts w:hint="default" w:ascii="Times New Roman" w:hAnsi="Times New Roman" w:eastAsia="方正仿宋简体" w:cs="Times New Roman"/>
          <w:color w:val="auto"/>
          <w:sz w:val="32"/>
          <w:szCs w:val="32"/>
          <w:highlight w:val="none"/>
        </w:rPr>
        <w:t>%；人身险赔付金额</w:t>
      </w:r>
      <w:r>
        <w:rPr>
          <w:rFonts w:hint="eastAsia" w:ascii="Times New Roman" w:hAnsi="Times New Roman" w:eastAsia="方正仿宋简体" w:cs="Times New Roman"/>
          <w:color w:val="auto"/>
          <w:sz w:val="32"/>
          <w:szCs w:val="32"/>
          <w:highlight w:val="none"/>
          <w:lang w:val="en-US" w:eastAsia="zh-CN"/>
        </w:rPr>
        <w:t>下降20.5</w:t>
      </w:r>
      <w:r>
        <w:rPr>
          <w:rFonts w:hint="default" w:ascii="Times New Roman" w:hAnsi="Times New Roman" w:eastAsia="方正仿宋简体" w:cs="Times New Roman"/>
          <w:color w:val="auto"/>
          <w:sz w:val="32"/>
          <w:szCs w:val="32"/>
          <w:highlight w:val="none"/>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color w:val="auto"/>
          <w:sz w:val="32"/>
          <w:szCs w:val="32"/>
          <w:highlight w:val="none"/>
        </w:rPr>
      </w:pPr>
      <w:r>
        <w:rPr>
          <w:rFonts w:hint="default" w:ascii="Times New Roman" w:hAnsi="Times New Roman" w:eastAsia="黑体" w:cs="Times New Roman"/>
          <w:color w:val="auto"/>
          <w:sz w:val="32"/>
          <w:szCs w:val="32"/>
          <w:highlight w:val="none"/>
        </w:rPr>
        <w:t>八、</w:t>
      </w:r>
      <w:r>
        <w:rPr>
          <w:rFonts w:hint="default" w:ascii="Times New Roman" w:hAnsi="Times New Roman" w:eastAsia="黑体" w:cs="Times New Roman"/>
          <w:color w:val="auto"/>
          <w:sz w:val="32"/>
          <w:szCs w:val="32"/>
          <w:highlight w:val="none"/>
          <w:lang w:eastAsia="zh-CN"/>
        </w:rPr>
        <w:t>居民收入</w:t>
      </w:r>
      <w:r>
        <w:rPr>
          <w:rFonts w:hint="default" w:ascii="Times New Roman" w:hAnsi="Times New Roman" w:eastAsia="黑体" w:cs="Times New Roman"/>
          <w:color w:val="auto"/>
          <w:sz w:val="32"/>
          <w:szCs w:val="32"/>
          <w:highlight w:val="none"/>
        </w:rPr>
        <w:t>和社会保障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color w:val="auto"/>
          <w:sz w:val="32"/>
          <w:szCs w:val="32"/>
          <w:highlight w:val="none"/>
        </w:rPr>
      </w:pPr>
      <w:r>
        <w:rPr>
          <w:rFonts w:hint="default" w:ascii="Times New Roman" w:hAnsi="Times New Roman" w:eastAsia="方正仿宋简体" w:cs="Times New Roman"/>
          <w:color w:val="auto"/>
          <w:sz w:val="32"/>
          <w:szCs w:val="32"/>
          <w:highlight w:val="none"/>
        </w:rPr>
        <w:t>全年</w:t>
      </w:r>
      <w:r>
        <w:rPr>
          <w:rFonts w:hint="default" w:ascii="Times New Roman" w:hAnsi="Times New Roman" w:eastAsia="方正仿宋简体" w:cs="Times New Roman"/>
          <w:color w:val="auto"/>
          <w:sz w:val="32"/>
          <w:szCs w:val="32"/>
          <w:highlight w:val="none"/>
          <w:lang w:eastAsia="zh-CN"/>
        </w:rPr>
        <w:t>全体居民人均可支配收入</w:t>
      </w:r>
      <w:r>
        <w:rPr>
          <w:rFonts w:hint="default" w:ascii="Times New Roman" w:hAnsi="Times New Roman" w:eastAsia="方正仿宋简体" w:cs="Times New Roman"/>
          <w:b w:val="0"/>
          <w:i w:val="0"/>
          <w:caps w:val="0"/>
          <w:color w:val="auto"/>
          <w:spacing w:val="0"/>
          <w:kern w:val="0"/>
          <w:sz w:val="32"/>
          <w:szCs w:val="32"/>
          <w:highlight w:val="none"/>
          <w:shd w:val="clear" w:fill="FFFFFF"/>
          <w:lang w:val="en-US" w:eastAsia="zh-CN" w:bidi="ar"/>
        </w:rPr>
        <w:t>比上年增长</w:t>
      </w:r>
      <w:r>
        <w:rPr>
          <w:rFonts w:hint="eastAsia" w:ascii="Times New Roman" w:hAnsi="Times New Roman" w:eastAsia="方正仿宋简体" w:cs="Times New Roman"/>
          <w:b w:val="0"/>
          <w:i w:val="0"/>
          <w:caps w:val="0"/>
          <w:color w:val="auto"/>
          <w:spacing w:val="0"/>
          <w:kern w:val="0"/>
          <w:sz w:val="32"/>
          <w:szCs w:val="32"/>
          <w:highlight w:val="none"/>
          <w:shd w:val="clear" w:fill="FFFFFF"/>
          <w:lang w:val="en-US" w:eastAsia="zh-CN" w:bidi="ar"/>
        </w:rPr>
        <w:t>6.7</w:t>
      </w:r>
      <w:r>
        <w:rPr>
          <w:rFonts w:hint="default" w:ascii="Times New Roman" w:hAnsi="Times New Roman" w:eastAsia="方正仿宋简体" w:cs="Times New Roman"/>
          <w:b w:val="0"/>
          <w:i w:val="0"/>
          <w:caps w:val="0"/>
          <w:color w:val="auto"/>
          <w:spacing w:val="0"/>
          <w:kern w:val="0"/>
          <w:sz w:val="32"/>
          <w:szCs w:val="32"/>
          <w:highlight w:val="none"/>
          <w:shd w:val="clear" w:fill="FFFFFF"/>
          <w:lang w:val="en-US" w:eastAsia="zh-CN" w:bidi="ar"/>
        </w:rPr>
        <w:t>%。</w:t>
      </w:r>
      <w:r>
        <w:rPr>
          <w:rFonts w:hint="default" w:ascii="Times New Roman" w:hAnsi="Times New Roman" w:eastAsia="方正仿宋简体" w:cs="Times New Roman"/>
          <w:color w:val="auto"/>
          <w:sz w:val="32"/>
          <w:szCs w:val="32"/>
          <w:highlight w:val="none"/>
        </w:rPr>
        <w:t>城镇居民人均可支配收入增长</w:t>
      </w:r>
      <w:r>
        <w:rPr>
          <w:rFonts w:hint="default" w:ascii="Times New Roman" w:hAnsi="Times New Roman" w:eastAsia="方正仿宋简体" w:cs="Times New Roman"/>
          <w:color w:val="auto"/>
          <w:sz w:val="32"/>
          <w:szCs w:val="32"/>
          <w:highlight w:val="none"/>
          <w:lang w:val="en-US" w:eastAsia="zh-CN"/>
        </w:rPr>
        <w:t>4.6</w:t>
      </w:r>
      <w:r>
        <w:rPr>
          <w:rFonts w:hint="default" w:ascii="Times New Roman" w:hAnsi="Times New Roman" w:eastAsia="方正仿宋简体" w:cs="Times New Roman"/>
          <w:color w:val="auto"/>
          <w:sz w:val="32"/>
          <w:szCs w:val="32"/>
          <w:highlight w:val="none"/>
        </w:rPr>
        <w:t>%；农村居民人均可支配收入增长</w:t>
      </w:r>
      <w:r>
        <w:rPr>
          <w:rFonts w:hint="default" w:ascii="Times New Roman" w:hAnsi="Times New Roman" w:eastAsia="方正仿宋简体" w:cs="Times New Roman"/>
          <w:color w:val="auto"/>
          <w:sz w:val="32"/>
          <w:szCs w:val="32"/>
          <w:highlight w:val="none"/>
          <w:lang w:val="en-US" w:eastAsia="zh-CN"/>
        </w:rPr>
        <w:t>8</w:t>
      </w:r>
      <w:r>
        <w:rPr>
          <w:rFonts w:hint="default" w:ascii="Times New Roman" w:hAnsi="Times New Roman" w:eastAsia="方正仿宋简体" w:cs="Times New Roman"/>
          <w:color w:val="auto"/>
          <w:sz w:val="32"/>
          <w:szCs w:val="32"/>
          <w:highlight w:val="none"/>
        </w:rPr>
        <w:t>.</w:t>
      </w:r>
      <w:r>
        <w:rPr>
          <w:rFonts w:hint="eastAsia" w:ascii="Times New Roman" w:hAnsi="Times New Roman" w:eastAsia="方正仿宋简体" w:cs="Times New Roman"/>
          <w:color w:val="auto"/>
          <w:sz w:val="32"/>
          <w:szCs w:val="32"/>
          <w:highlight w:val="none"/>
          <w:lang w:val="en-US" w:eastAsia="zh-CN"/>
        </w:rPr>
        <w:t>0</w:t>
      </w:r>
      <w:r>
        <w:rPr>
          <w:rFonts w:hint="default" w:ascii="Times New Roman" w:hAnsi="Times New Roman" w:eastAsia="方正仿宋简体" w:cs="Times New Roman"/>
          <w:color w:val="auto"/>
          <w:sz w:val="32"/>
          <w:szCs w:val="32"/>
          <w:highlight w:val="none"/>
        </w:rPr>
        <w:t>%。</w:t>
      </w:r>
    </w:p>
    <w:p>
      <w:pPr>
        <w:rPr>
          <w:rFonts w:hint="eastAsia"/>
          <w:color w:val="0000FF"/>
          <w:highlight w:val="yellow"/>
        </w:rPr>
      </w:pPr>
      <w:r>
        <w:drawing>
          <wp:anchor distT="0" distB="0" distL="114300" distR="114300" simplePos="0" relativeHeight="251664384" behindDoc="0" locked="0" layoutInCell="1" allowOverlap="1">
            <wp:simplePos x="0" y="0"/>
            <wp:positionH relativeFrom="column">
              <wp:posOffset>26670</wp:posOffset>
            </wp:positionH>
            <wp:positionV relativeFrom="paragraph">
              <wp:posOffset>138430</wp:posOffset>
            </wp:positionV>
            <wp:extent cx="5273040" cy="2252345"/>
            <wp:effectExtent l="0" t="0" r="3810" b="14605"/>
            <wp:wrapNone/>
            <wp:docPr id="1187882" name="图表 2"/>
            <wp:cNvGraphicFramePr>
              <a:graphicFrameLocks xmlns:a="http://schemas.openxmlformats.org/drawingml/2006/main" noChangeAspect="true"/>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anchor>
        </w:drawing>
      </w:r>
    </w:p>
    <w:p>
      <w:pPr>
        <w:rPr>
          <w:rFonts w:hint="eastAsia"/>
          <w:color w:val="0000FF"/>
          <w:highlight w:val="yellow"/>
        </w:rPr>
      </w:pPr>
    </w:p>
    <w:p>
      <w:pPr>
        <w:rPr>
          <w:rFonts w:hint="eastAsia"/>
          <w:color w:val="0000FF"/>
          <w:highlight w:val="yellow"/>
        </w:rPr>
      </w:pPr>
    </w:p>
    <w:p>
      <w:pPr>
        <w:rPr>
          <w:rFonts w:hint="eastAsia"/>
          <w:color w:val="0000FF"/>
          <w:highlight w:val="yellow"/>
        </w:rPr>
      </w:pPr>
    </w:p>
    <w:p>
      <w:pPr>
        <w:rPr>
          <w:rFonts w:hint="eastAsia"/>
          <w:color w:val="0000FF"/>
          <w:highlight w:val="yellow"/>
        </w:rPr>
      </w:pPr>
    </w:p>
    <w:p>
      <w:pPr>
        <w:rPr>
          <w:rFonts w:hint="eastAsia"/>
          <w:color w:val="0000FF"/>
          <w:highlight w:val="yellow"/>
        </w:rPr>
      </w:pPr>
    </w:p>
    <w:p>
      <w:pPr>
        <w:rPr>
          <w:rFonts w:hint="eastAsia"/>
          <w:color w:val="0000FF"/>
          <w:highlight w:val="yellow"/>
        </w:rPr>
      </w:pPr>
    </w:p>
    <w:p>
      <w:pPr>
        <w:rPr>
          <w:rFonts w:hint="eastAsia"/>
          <w:color w:val="0000FF"/>
          <w:highlight w:val="yellow"/>
        </w:rPr>
      </w:pPr>
    </w:p>
    <w:p>
      <w:pPr>
        <w:rPr>
          <w:rFonts w:hint="eastAsia"/>
          <w:color w:val="0000FF"/>
          <w:highlight w:val="yellow"/>
        </w:rPr>
      </w:pPr>
    </w:p>
    <w:p>
      <w:pPr>
        <w:rPr>
          <w:rFonts w:hint="eastAsia"/>
          <w:color w:val="0000FF"/>
          <w:highlight w:val="yellow"/>
        </w:rPr>
      </w:pPr>
    </w:p>
    <w:p>
      <w:pPr>
        <w:rPr>
          <w:rFonts w:hint="eastAsia"/>
          <w:color w:val="0000FF"/>
          <w:highlight w:val="yellow"/>
        </w:rPr>
      </w:pPr>
    </w:p>
    <w:p>
      <w:pPr>
        <w:rPr>
          <w:rFonts w:hint="eastAsia"/>
          <w:color w:val="0000FF"/>
          <w:highlight w:val="yellow"/>
        </w:rPr>
      </w:pPr>
    </w:p>
    <w:p>
      <w:pPr>
        <w:rPr>
          <w:rFonts w:hint="eastAsia"/>
          <w:color w:val="0000FF"/>
          <w:highlight w:val="yellow"/>
        </w:rPr>
      </w:pPr>
    </w:p>
    <w:p>
      <w:pPr>
        <w:rPr>
          <w:rFonts w:hint="eastAsia"/>
          <w:color w:val="0000FF"/>
          <w:highlight w:val="yellow"/>
        </w:rPr>
      </w:pPr>
    </w:p>
    <w:p>
      <w:pPr>
        <w:rPr>
          <w:rFonts w:hint="eastAsia"/>
          <w:color w:val="0000FF"/>
          <w:highlight w:val="yellow"/>
        </w:rPr>
      </w:pPr>
      <w:r>
        <w:drawing>
          <wp:anchor distT="0" distB="0" distL="114300" distR="114300" simplePos="0" relativeHeight="251665408" behindDoc="0" locked="0" layoutInCell="1" allowOverlap="1">
            <wp:simplePos x="0" y="0"/>
            <wp:positionH relativeFrom="column">
              <wp:posOffset>38100</wp:posOffset>
            </wp:positionH>
            <wp:positionV relativeFrom="paragraph">
              <wp:posOffset>85090</wp:posOffset>
            </wp:positionV>
            <wp:extent cx="5272405" cy="2360930"/>
            <wp:effectExtent l="0" t="0" r="4445" b="1270"/>
            <wp:wrapNone/>
            <wp:docPr id="105789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anchor>
        </w:drawing>
      </w:r>
    </w:p>
    <w:p>
      <w:pPr>
        <w:rPr>
          <w:rFonts w:hint="eastAsia"/>
          <w:color w:val="0000FF"/>
          <w:highlight w:val="yellow"/>
        </w:rPr>
      </w:pP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default" w:ascii="Times New Roman" w:hAnsi="Times New Roman" w:eastAsia="方正仿宋简体" w:cs="Times New Roman"/>
          <w:color w:val="0000FF"/>
          <w:sz w:val="32"/>
          <w:szCs w:val="32"/>
          <w:highlight w:val="yellow"/>
        </w:rPr>
      </w:pP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default" w:ascii="Times New Roman" w:hAnsi="Times New Roman" w:eastAsia="方正仿宋简体" w:cs="Times New Roman"/>
          <w:color w:val="0000FF"/>
          <w:sz w:val="32"/>
          <w:szCs w:val="32"/>
          <w:highlight w:val="yellow"/>
        </w:rPr>
      </w:pP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default" w:ascii="Times New Roman" w:hAnsi="Times New Roman" w:eastAsia="方正仿宋简体" w:cs="Times New Roman"/>
          <w:color w:val="0000FF"/>
          <w:sz w:val="32"/>
          <w:szCs w:val="32"/>
          <w:highlight w:val="yellow"/>
        </w:rPr>
      </w:pPr>
    </w:p>
    <w:p>
      <w:pPr>
        <w:keepNext w:val="0"/>
        <w:keepLines w:val="0"/>
        <w:pageBreakBefore w:val="0"/>
        <w:widowControl w:val="0"/>
        <w:kinsoku/>
        <w:wordWrap/>
        <w:overflowPunct/>
        <w:topLinePunct w:val="0"/>
        <w:autoSpaceDE/>
        <w:autoSpaceDN/>
        <w:bidi w:val="0"/>
        <w:adjustRightInd w:val="0"/>
        <w:snapToGrid w:val="0"/>
        <w:spacing w:line="560" w:lineRule="exact"/>
        <w:textAlignment w:val="auto"/>
        <w:rPr>
          <w:rFonts w:hint="default" w:ascii="Times New Roman" w:hAnsi="Times New Roman" w:eastAsia="方正仿宋简体" w:cs="Times New Roman"/>
          <w:color w:val="auto"/>
          <w:sz w:val="32"/>
          <w:szCs w:val="32"/>
          <w:highlight w:val="none"/>
        </w:rPr>
      </w:pP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default" w:ascii="Times New Roman" w:hAnsi="Times New Roman" w:eastAsia="方正仿宋简体" w:cs="Times New Roman"/>
          <w:color w:val="auto"/>
          <w:sz w:val="32"/>
          <w:szCs w:val="32"/>
          <w:highlight w:val="none"/>
        </w:rPr>
      </w:pP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default" w:ascii="Times New Roman" w:hAnsi="Times New Roman" w:eastAsia="方正仿宋简体" w:cs="Times New Roman"/>
          <w:color w:val="auto"/>
          <w:sz w:val="32"/>
          <w:szCs w:val="32"/>
          <w:highlight w:val="none"/>
        </w:rPr>
      </w:pP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Times New Roman" w:hAnsi="Times New Roman" w:eastAsia="方正仿宋简体" w:cs="Times New Roman"/>
          <w:color w:val="0000FF"/>
          <w:sz w:val="32"/>
          <w:szCs w:val="32"/>
          <w:highlight w:val="yellow"/>
          <w:lang w:eastAsia="zh-CN"/>
        </w:rPr>
      </w:pPr>
      <w:r>
        <w:rPr>
          <w:rFonts w:hint="default" w:ascii="Times New Roman" w:hAnsi="Times New Roman" w:eastAsia="方正仿宋简体" w:cs="Times New Roman"/>
          <w:color w:val="auto"/>
          <w:sz w:val="32"/>
          <w:szCs w:val="32"/>
          <w:highlight w:val="none"/>
        </w:rPr>
        <w:t>年末保险累计参保</w:t>
      </w:r>
      <w:r>
        <w:rPr>
          <w:rFonts w:hint="eastAsia" w:ascii="Times New Roman" w:hAnsi="Times New Roman" w:eastAsia="方正仿宋简体" w:cs="Times New Roman"/>
          <w:color w:val="auto"/>
          <w:sz w:val="32"/>
          <w:szCs w:val="32"/>
          <w:highlight w:val="none"/>
          <w:lang w:eastAsia="zh-CN"/>
        </w:rPr>
        <w:t>总</w:t>
      </w:r>
      <w:r>
        <w:rPr>
          <w:rFonts w:hint="default" w:ascii="Times New Roman" w:hAnsi="Times New Roman" w:eastAsia="方正仿宋简体" w:cs="Times New Roman"/>
          <w:color w:val="auto"/>
          <w:sz w:val="32"/>
          <w:szCs w:val="32"/>
          <w:highlight w:val="none"/>
        </w:rPr>
        <w:t>人数比上年增长</w:t>
      </w:r>
      <w:r>
        <w:rPr>
          <w:rFonts w:hint="eastAsia" w:ascii="Times New Roman" w:hAnsi="Times New Roman" w:eastAsia="方正仿宋简体" w:cs="Times New Roman"/>
          <w:color w:val="auto"/>
          <w:sz w:val="32"/>
          <w:szCs w:val="32"/>
          <w:highlight w:val="none"/>
          <w:lang w:val="en-US" w:eastAsia="zh-CN"/>
        </w:rPr>
        <w:t>2.2</w:t>
      </w:r>
      <w:r>
        <w:rPr>
          <w:rFonts w:hint="default" w:ascii="Times New Roman" w:hAnsi="Times New Roman" w:eastAsia="方正仿宋简体" w:cs="Times New Roman"/>
          <w:color w:val="auto"/>
          <w:sz w:val="32"/>
          <w:szCs w:val="32"/>
          <w:highlight w:val="none"/>
        </w:rPr>
        <w:t>%。其中，参加基本养老保险</w:t>
      </w:r>
      <w:r>
        <w:rPr>
          <w:rFonts w:hint="eastAsia" w:ascii="Times New Roman" w:hAnsi="Times New Roman" w:eastAsia="方正仿宋简体" w:cs="Times New Roman"/>
          <w:color w:val="auto"/>
          <w:sz w:val="32"/>
          <w:szCs w:val="32"/>
          <w:highlight w:val="none"/>
          <w:lang w:eastAsia="zh-CN"/>
        </w:rPr>
        <w:t>总</w:t>
      </w:r>
      <w:r>
        <w:rPr>
          <w:rFonts w:hint="default" w:ascii="Times New Roman" w:hAnsi="Times New Roman" w:eastAsia="方正仿宋简体" w:cs="Times New Roman"/>
          <w:color w:val="auto"/>
          <w:sz w:val="32"/>
          <w:szCs w:val="32"/>
          <w:highlight w:val="none"/>
        </w:rPr>
        <w:t>人数</w:t>
      </w:r>
      <w:r>
        <w:rPr>
          <w:rFonts w:hint="eastAsia" w:ascii="Times New Roman" w:hAnsi="Times New Roman" w:eastAsia="方正仿宋简体" w:cs="Times New Roman"/>
          <w:color w:val="auto"/>
          <w:sz w:val="32"/>
          <w:szCs w:val="32"/>
          <w:highlight w:val="none"/>
          <w:lang w:eastAsia="zh-CN"/>
        </w:rPr>
        <w:t>增长</w:t>
      </w:r>
      <w:r>
        <w:rPr>
          <w:rFonts w:hint="eastAsia" w:ascii="Times New Roman" w:hAnsi="Times New Roman" w:eastAsia="方正仿宋简体" w:cs="Times New Roman"/>
          <w:color w:val="auto"/>
          <w:sz w:val="32"/>
          <w:szCs w:val="32"/>
          <w:highlight w:val="none"/>
          <w:lang w:val="en-US" w:eastAsia="zh-CN"/>
        </w:rPr>
        <w:t>3.4%</w:t>
      </w:r>
      <w:r>
        <w:rPr>
          <w:rFonts w:hint="default" w:ascii="Times New Roman" w:hAnsi="Times New Roman" w:eastAsia="方正仿宋简体" w:cs="Times New Roman"/>
          <w:color w:val="auto"/>
          <w:sz w:val="32"/>
          <w:szCs w:val="32"/>
          <w:highlight w:val="none"/>
        </w:rPr>
        <w:t>；参加基本医疗保险</w:t>
      </w:r>
      <w:r>
        <w:rPr>
          <w:rFonts w:hint="eastAsia" w:ascii="Times New Roman" w:hAnsi="Times New Roman" w:eastAsia="方正仿宋简体" w:cs="Times New Roman"/>
          <w:color w:val="auto"/>
          <w:sz w:val="32"/>
          <w:szCs w:val="32"/>
          <w:highlight w:val="none"/>
          <w:lang w:eastAsia="zh-CN"/>
        </w:rPr>
        <w:t>总</w:t>
      </w:r>
      <w:r>
        <w:rPr>
          <w:rFonts w:hint="default" w:ascii="Times New Roman" w:hAnsi="Times New Roman" w:eastAsia="方正仿宋简体" w:cs="Times New Roman"/>
          <w:color w:val="auto"/>
          <w:sz w:val="32"/>
          <w:szCs w:val="32"/>
          <w:highlight w:val="none"/>
        </w:rPr>
        <w:t>人数</w:t>
      </w:r>
      <w:r>
        <w:rPr>
          <w:rFonts w:hint="eastAsia" w:ascii="Times New Roman" w:hAnsi="Times New Roman" w:eastAsia="方正仿宋简体" w:cs="Times New Roman"/>
          <w:color w:val="auto"/>
          <w:sz w:val="32"/>
          <w:szCs w:val="32"/>
          <w:highlight w:val="none"/>
          <w:lang w:eastAsia="zh-CN"/>
        </w:rPr>
        <w:t>增长</w:t>
      </w:r>
      <w:r>
        <w:rPr>
          <w:rFonts w:hint="eastAsia" w:ascii="Times New Roman" w:hAnsi="Times New Roman" w:eastAsia="方正仿宋简体" w:cs="Times New Roman"/>
          <w:color w:val="auto"/>
          <w:sz w:val="32"/>
          <w:szCs w:val="32"/>
          <w:highlight w:val="none"/>
          <w:lang w:val="en-US" w:eastAsia="zh-CN"/>
        </w:rPr>
        <w:t>1.3%</w:t>
      </w:r>
      <w:r>
        <w:rPr>
          <w:rFonts w:hint="default" w:ascii="Times New Roman" w:hAnsi="Times New Roman" w:eastAsia="方正仿宋简体" w:cs="Times New Roman"/>
          <w:color w:val="auto"/>
          <w:sz w:val="32"/>
          <w:szCs w:val="32"/>
          <w:highlight w:val="none"/>
        </w:rPr>
        <w:t>；</w:t>
      </w:r>
      <w:r>
        <w:rPr>
          <w:rFonts w:hint="default" w:ascii="Times New Roman" w:hAnsi="Times New Roman" w:eastAsia="方正仿宋简体" w:cs="Times New Roman"/>
          <w:color w:val="auto"/>
          <w:sz w:val="32"/>
          <w:szCs w:val="32"/>
          <w:highlight w:val="none"/>
          <w:lang w:eastAsia="zh-CN"/>
        </w:rPr>
        <w:t>参加</w:t>
      </w:r>
      <w:r>
        <w:rPr>
          <w:rFonts w:hint="default" w:ascii="Times New Roman" w:hAnsi="Times New Roman" w:eastAsia="方正仿宋简体" w:cs="Times New Roman"/>
          <w:color w:val="auto"/>
          <w:sz w:val="32"/>
          <w:szCs w:val="32"/>
          <w:highlight w:val="none"/>
        </w:rPr>
        <w:t>失业保险</w:t>
      </w:r>
      <w:r>
        <w:rPr>
          <w:rFonts w:hint="eastAsia" w:ascii="Times New Roman" w:hAnsi="Times New Roman" w:eastAsia="方正仿宋简体" w:cs="Times New Roman"/>
          <w:color w:val="auto"/>
          <w:sz w:val="32"/>
          <w:szCs w:val="32"/>
          <w:highlight w:val="none"/>
          <w:lang w:eastAsia="zh-CN"/>
        </w:rPr>
        <w:t>总</w:t>
      </w:r>
      <w:r>
        <w:rPr>
          <w:rFonts w:hint="default" w:ascii="Times New Roman" w:hAnsi="Times New Roman" w:eastAsia="方正仿宋简体" w:cs="Times New Roman"/>
          <w:color w:val="auto"/>
          <w:sz w:val="32"/>
          <w:szCs w:val="32"/>
          <w:highlight w:val="none"/>
        </w:rPr>
        <w:t>人数</w:t>
      </w:r>
      <w:r>
        <w:rPr>
          <w:rFonts w:hint="eastAsia" w:ascii="Times New Roman" w:hAnsi="Times New Roman" w:eastAsia="方正仿宋简体" w:cs="Times New Roman"/>
          <w:color w:val="auto"/>
          <w:sz w:val="32"/>
          <w:szCs w:val="32"/>
          <w:highlight w:val="none"/>
          <w:lang w:eastAsia="zh-CN"/>
        </w:rPr>
        <w:t>增长</w:t>
      </w:r>
      <w:r>
        <w:rPr>
          <w:rFonts w:hint="eastAsia" w:ascii="Times New Roman" w:hAnsi="Times New Roman" w:eastAsia="方正仿宋简体" w:cs="Times New Roman"/>
          <w:color w:val="auto"/>
          <w:sz w:val="32"/>
          <w:szCs w:val="32"/>
          <w:highlight w:val="none"/>
          <w:lang w:val="en-US" w:eastAsia="zh-CN"/>
        </w:rPr>
        <w:t>3.6%</w:t>
      </w:r>
      <w:r>
        <w:rPr>
          <w:rFonts w:hint="default" w:ascii="Times New Roman" w:hAnsi="Times New Roman" w:eastAsia="方正仿宋简体" w:cs="Times New Roman"/>
          <w:color w:val="auto"/>
          <w:sz w:val="32"/>
          <w:szCs w:val="32"/>
          <w:highlight w:val="none"/>
        </w:rPr>
        <w:t>；</w:t>
      </w:r>
      <w:r>
        <w:rPr>
          <w:rFonts w:hint="default" w:ascii="Times New Roman" w:hAnsi="Times New Roman" w:eastAsia="方正仿宋简体" w:cs="Times New Roman"/>
          <w:color w:val="auto"/>
          <w:sz w:val="32"/>
          <w:szCs w:val="32"/>
          <w:highlight w:val="none"/>
          <w:lang w:eastAsia="zh-CN"/>
        </w:rPr>
        <w:t>参加</w:t>
      </w:r>
      <w:r>
        <w:rPr>
          <w:rFonts w:hint="default" w:ascii="Times New Roman" w:hAnsi="Times New Roman" w:eastAsia="方正仿宋简体" w:cs="Times New Roman"/>
          <w:color w:val="auto"/>
          <w:sz w:val="32"/>
          <w:szCs w:val="32"/>
          <w:highlight w:val="none"/>
        </w:rPr>
        <w:t>工伤保险</w:t>
      </w:r>
      <w:r>
        <w:rPr>
          <w:rFonts w:hint="eastAsia" w:ascii="Times New Roman" w:hAnsi="Times New Roman" w:eastAsia="方正仿宋简体" w:cs="Times New Roman"/>
          <w:color w:val="auto"/>
          <w:sz w:val="32"/>
          <w:szCs w:val="32"/>
          <w:highlight w:val="none"/>
          <w:lang w:eastAsia="zh-CN"/>
        </w:rPr>
        <w:t>总</w:t>
      </w:r>
      <w:r>
        <w:rPr>
          <w:rFonts w:hint="default" w:ascii="Times New Roman" w:hAnsi="Times New Roman" w:eastAsia="方正仿宋简体" w:cs="Times New Roman"/>
          <w:color w:val="auto"/>
          <w:sz w:val="32"/>
          <w:szCs w:val="32"/>
          <w:highlight w:val="none"/>
        </w:rPr>
        <w:t>人数</w:t>
      </w:r>
      <w:r>
        <w:rPr>
          <w:rFonts w:hint="eastAsia" w:ascii="Times New Roman" w:hAnsi="Times New Roman" w:eastAsia="方正仿宋简体" w:cs="Times New Roman"/>
          <w:color w:val="auto"/>
          <w:sz w:val="32"/>
          <w:szCs w:val="32"/>
          <w:highlight w:val="none"/>
          <w:lang w:eastAsia="zh-CN"/>
        </w:rPr>
        <w:t>增长</w:t>
      </w:r>
      <w:r>
        <w:rPr>
          <w:rFonts w:hint="eastAsia" w:ascii="Times New Roman" w:hAnsi="Times New Roman" w:eastAsia="方正仿宋简体" w:cs="Times New Roman"/>
          <w:color w:val="auto"/>
          <w:sz w:val="32"/>
          <w:szCs w:val="32"/>
          <w:highlight w:val="none"/>
          <w:lang w:val="en-US" w:eastAsia="zh-CN"/>
        </w:rPr>
        <w:t>3.7%</w:t>
      </w:r>
      <w:r>
        <w:rPr>
          <w:rFonts w:hint="default" w:ascii="Times New Roman" w:hAnsi="Times New Roman" w:eastAsia="方正仿宋简体" w:cs="Times New Roman"/>
          <w:color w:val="auto"/>
          <w:sz w:val="32"/>
          <w:szCs w:val="32"/>
          <w:highlight w:val="none"/>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color w:val="auto"/>
          <w:sz w:val="32"/>
          <w:szCs w:val="32"/>
          <w:highlight w:val="none"/>
        </w:rPr>
      </w:pPr>
      <w:r>
        <w:rPr>
          <w:rFonts w:hint="default" w:ascii="Times New Roman" w:hAnsi="Times New Roman" w:eastAsia="黑体" w:cs="Times New Roman"/>
          <w:color w:val="auto"/>
          <w:sz w:val="32"/>
          <w:szCs w:val="32"/>
          <w:highlight w:val="none"/>
        </w:rPr>
        <w:t>九、科学技术和教育</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0000FF"/>
          <w:sz w:val="32"/>
          <w:szCs w:val="32"/>
          <w:highlight w:val="yellow"/>
        </w:rPr>
      </w:pPr>
      <w:r>
        <w:rPr>
          <w:rFonts w:hint="default" w:ascii="Times New Roman" w:hAnsi="Times New Roman" w:eastAsia="方正仿宋简体" w:cs="Times New Roman"/>
          <w:color w:val="auto"/>
          <w:sz w:val="32"/>
          <w:szCs w:val="32"/>
          <w:highlight w:val="none"/>
        </w:rPr>
        <w:t>全年申报立项自治区、地区各类科技计划项目</w:t>
      </w:r>
      <w:r>
        <w:rPr>
          <w:rFonts w:hint="default" w:ascii="Times New Roman" w:hAnsi="Times New Roman" w:eastAsia="方正仿宋简体" w:cs="Times New Roman"/>
          <w:color w:val="auto"/>
          <w:sz w:val="32"/>
          <w:szCs w:val="32"/>
          <w:highlight w:val="none"/>
          <w:lang w:val="en-US" w:eastAsia="zh-CN"/>
        </w:rPr>
        <w:t>1</w:t>
      </w:r>
      <w:r>
        <w:rPr>
          <w:rFonts w:hint="eastAsia" w:ascii="Times New Roman" w:hAnsi="Times New Roman" w:eastAsia="方正仿宋简体" w:cs="Times New Roman"/>
          <w:color w:val="auto"/>
          <w:sz w:val="32"/>
          <w:szCs w:val="32"/>
          <w:highlight w:val="none"/>
          <w:lang w:val="en-US" w:eastAsia="zh-CN"/>
        </w:rPr>
        <w:t>30</w:t>
      </w:r>
      <w:r>
        <w:rPr>
          <w:rFonts w:hint="default" w:ascii="Times New Roman" w:hAnsi="Times New Roman" w:eastAsia="方正仿宋简体" w:cs="Times New Roman"/>
          <w:color w:val="auto"/>
          <w:sz w:val="32"/>
          <w:szCs w:val="32"/>
          <w:highlight w:val="none"/>
        </w:rPr>
        <w:t>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rPr>
      </w:pPr>
      <w:r>
        <w:rPr>
          <w:rFonts w:hint="default" w:ascii="Times New Roman" w:hAnsi="Times New Roman" w:eastAsia="方正仿宋简体" w:cs="Times New Roman"/>
          <w:color w:val="auto"/>
          <w:sz w:val="32"/>
          <w:szCs w:val="32"/>
          <w:highlight w:val="none"/>
          <w:lang w:eastAsia="zh-CN"/>
        </w:rPr>
        <w:t>全年</w:t>
      </w:r>
      <w:r>
        <w:rPr>
          <w:rFonts w:hint="default" w:ascii="Times New Roman" w:hAnsi="Times New Roman" w:eastAsia="方正仿宋简体" w:cs="Times New Roman"/>
          <w:color w:val="auto"/>
          <w:sz w:val="32"/>
          <w:szCs w:val="32"/>
          <w:highlight w:val="none"/>
        </w:rPr>
        <w:t>完成技术合同登记</w:t>
      </w:r>
      <w:r>
        <w:rPr>
          <w:rFonts w:hint="eastAsia" w:ascii="Times New Roman" w:hAnsi="Times New Roman" w:eastAsia="方正仿宋简体" w:cs="Times New Roman"/>
          <w:color w:val="auto"/>
          <w:sz w:val="32"/>
          <w:szCs w:val="32"/>
          <w:highlight w:val="none"/>
          <w:lang w:val="en-US" w:eastAsia="zh-CN"/>
        </w:rPr>
        <w:t>25</w:t>
      </w:r>
      <w:r>
        <w:rPr>
          <w:rFonts w:hint="default" w:ascii="Times New Roman" w:hAnsi="Times New Roman" w:eastAsia="方正仿宋简体" w:cs="Times New Roman"/>
          <w:color w:val="auto"/>
          <w:sz w:val="32"/>
          <w:szCs w:val="32"/>
          <w:highlight w:val="none"/>
        </w:rPr>
        <w:t>项</w:t>
      </w:r>
      <w:r>
        <w:rPr>
          <w:rFonts w:hint="default" w:ascii="Times New Roman" w:hAnsi="Times New Roman" w:eastAsia="方正仿宋简体" w:cs="Times New Roman"/>
          <w:color w:val="auto"/>
          <w:sz w:val="32"/>
          <w:szCs w:val="32"/>
          <w:highlight w:val="none"/>
          <w:lang w:eastAsia="zh-CN"/>
        </w:rPr>
        <w:t>；</w:t>
      </w:r>
      <w:r>
        <w:rPr>
          <w:rFonts w:hint="default" w:ascii="Times New Roman" w:hAnsi="Times New Roman" w:eastAsia="方正仿宋简体" w:cs="Times New Roman"/>
          <w:color w:val="auto"/>
          <w:sz w:val="32"/>
          <w:szCs w:val="32"/>
          <w:highlight w:val="none"/>
        </w:rPr>
        <w:t>新认定高新技术企业</w:t>
      </w:r>
      <w:r>
        <w:rPr>
          <w:rFonts w:hint="eastAsia" w:ascii="Times New Roman" w:hAnsi="Times New Roman" w:eastAsia="方正仿宋简体" w:cs="Times New Roman"/>
          <w:color w:val="auto"/>
          <w:sz w:val="32"/>
          <w:szCs w:val="32"/>
          <w:highlight w:val="none"/>
          <w:lang w:val="en-US" w:eastAsia="zh-CN"/>
        </w:rPr>
        <w:t>23</w:t>
      </w:r>
      <w:r>
        <w:rPr>
          <w:rFonts w:hint="default" w:ascii="Times New Roman" w:hAnsi="Times New Roman" w:eastAsia="方正仿宋简体" w:cs="Times New Roman"/>
          <w:color w:val="auto"/>
          <w:sz w:val="32"/>
          <w:szCs w:val="32"/>
          <w:highlight w:val="none"/>
        </w:rPr>
        <w:t>家，科技型中小企业</w:t>
      </w:r>
      <w:r>
        <w:rPr>
          <w:rFonts w:hint="eastAsia" w:ascii="Times New Roman" w:hAnsi="Times New Roman" w:eastAsia="方正仿宋简体" w:cs="Times New Roman"/>
          <w:color w:val="auto"/>
          <w:sz w:val="32"/>
          <w:szCs w:val="32"/>
          <w:highlight w:val="none"/>
          <w:lang w:val="en-US" w:eastAsia="zh-CN"/>
        </w:rPr>
        <w:t>75</w:t>
      </w:r>
      <w:r>
        <w:rPr>
          <w:rFonts w:hint="default" w:ascii="Times New Roman" w:hAnsi="Times New Roman" w:eastAsia="方正仿宋简体" w:cs="Times New Roman"/>
          <w:color w:val="auto"/>
          <w:sz w:val="32"/>
          <w:szCs w:val="32"/>
          <w:highlight w:val="none"/>
        </w:rPr>
        <w:t>家</w:t>
      </w:r>
      <w:r>
        <w:rPr>
          <w:rFonts w:hint="default" w:ascii="Times New Roman" w:hAnsi="Times New Roman" w:eastAsia="方正仿宋简体" w:cs="Times New Roman"/>
          <w:color w:val="auto"/>
          <w:sz w:val="32"/>
          <w:szCs w:val="32"/>
          <w:highlight w:val="none"/>
          <w:lang w:eastAsia="zh-CN"/>
        </w:rPr>
        <w:t>，现有效高</w:t>
      </w:r>
      <w:r>
        <w:rPr>
          <w:rFonts w:hint="eastAsia" w:ascii="Times New Roman" w:hAnsi="Times New Roman" w:eastAsia="方正仿宋简体" w:cs="Times New Roman"/>
          <w:color w:val="auto"/>
          <w:sz w:val="32"/>
          <w:szCs w:val="32"/>
          <w:highlight w:val="none"/>
          <w:lang w:val="en-US" w:eastAsia="zh-CN"/>
        </w:rPr>
        <w:t>新</w:t>
      </w:r>
      <w:r>
        <w:rPr>
          <w:rFonts w:hint="default" w:ascii="Times New Roman" w:hAnsi="Times New Roman" w:eastAsia="方正仿宋简体" w:cs="Times New Roman"/>
          <w:color w:val="auto"/>
          <w:sz w:val="32"/>
          <w:szCs w:val="32"/>
          <w:highlight w:val="none"/>
          <w:lang w:eastAsia="zh-CN"/>
        </w:rPr>
        <w:t>技术企业</w:t>
      </w:r>
      <w:r>
        <w:rPr>
          <w:rFonts w:hint="eastAsia" w:ascii="Times New Roman" w:hAnsi="Times New Roman" w:eastAsia="方正仿宋简体" w:cs="Times New Roman"/>
          <w:color w:val="auto"/>
          <w:sz w:val="32"/>
          <w:szCs w:val="32"/>
          <w:highlight w:val="none"/>
          <w:lang w:val="en-US" w:eastAsia="zh-CN"/>
        </w:rPr>
        <w:t>44</w:t>
      </w:r>
      <w:r>
        <w:rPr>
          <w:rFonts w:hint="default" w:ascii="Times New Roman" w:hAnsi="Times New Roman" w:eastAsia="方正仿宋简体" w:cs="Times New Roman"/>
          <w:color w:val="auto"/>
          <w:sz w:val="32"/>
          <w:szCs w:val="32"/>
          <w:highlight w:val="none"/>
          <w:lang w:val="en-US" w:eastAsia="zh-CN"/>
        </w:rPr>
        <w:t>家</w:t>
      </w:r>
      <w:r>
        <w:rPr>
          <w:rFonts w:hint="default" w:ascii="Times New Roman" w:hAnsi="Times New Roman" w:eastAsia="方正仿宋简体" w:cs="Times New Roman"/>
          <w:color w:val="auto"/>
          <w:sz w:val="32"/>
          <w:szCs w:val="32"/>
          <w:highlight w:val="none"/>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auto"/>
          <w:sz w:val="32"/>
          <w:szCs w:val="32"/>
          <w:highlight w:val="none"/>
        </w:rPr>
      </w:pPr>
      <w:r>
        <w:rPr>
          <w:rFonts w:hint="default" w:ascii="Times New Roman" w:hAnsi="Times New Roman" w:eastAsia="方正仿宋简体" w:cs="Times New Roman"/>
          <w:color w:val="auto"/>
          <w:sz w:val="32"/>
          <w:szCs w:val="32"/>
          <w:highlight w:val="none"/>
          <w:lang w:eastAsia="zh-CN"/>
        </w:rPr>
        <w:t>全</w:t>
      </w:r>
      <w:r>
        <w:rPr>
          <w:rFonts w:hint="default" w:ascii="Times New Roman" w:hAnsi="Times New Roman" w:eastAsia="方正仿宋简体" w:cs="Times New Roman"/>
          <w:color w:val="auto"/>
          <w:sz w:val="32"/>
          <w:szCs w:val="32"/>
          <w:highlight w:val="none"/>
        </w:rPr>
        <w:t>年全地区共有各级各类学校1</w:t>
      </w:r>
      <w:r>
        <w:rPr>
          <w:rFonts w:hint="eastAsia" w:ascii="Times New Roman" w:hAnsi="Times New Roman" w:eastAsia="方正仿宋简体" w:cs="Times New Roman"/>
          <w:color w:val="auto"/>
          <w:sz w:val="32"/>
          <w:szCs w:val="32"/>
          <w:highlight w:val="none"/>
          <w:lang w:val="en-US" w:eastAsia="zh-CN"/>
        </w:rPr>
        <w:t>544</w:t>
      </w:r>
      <w:r>
        <w:rPr>
          <w:rFonts w:hint="default" w:ascii="Times New Roman" w:hAnsi="Times New Roman" w:eastAsia="方正仿宋简体" w:cs="Times New Roman"/>
          <w:color w:val="auto"/>
          <w:sz w:val="32"/>
          <w:szCs w:val="32"/>
          <w:highlight w:val="none"/>
        </w:rPr>
        <w:t>所。</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color w:val="000000" w:themeColor="text1"/>
          <w:sz w:val="32"/>
          <w:szCs w:val="32"/>
          <w:highlight w:val="none"/>
          <w14:textFill>
            <w14:solidFill>
              <w14:schemeClr w14:val="tx1"/>
            </w14:solidFill>
          </w14:textFill>
        </w:rPr>
      </w:pPr>
      <w:r>
        <w:rPr>
          <w:rFonts w:hint="default" w:ascii="Times New Roman" w:hAnsi="Times New Roman" w:eastAsia="黑体" w:cs="Times New Roman"/>
          <w:color w:val="000000" w:themeColor="text1"/>
          <w:sz w:val="32"/>
          <w:szCs w:val="32"/>
          <w:highlight w:val="none"/>
          <w14:textFill>
            <w14:solidFill>
              <w14:schemeClr w14:val="tx1"/>
            </w14:solidFill>
          </w14:textFill>
        </w:rPr>
        <w:t>十、文化旅游、卫生健康和体育</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auto"/>
          <w:sz w:val="32"/>
          <w:szCs w:val="32"/>
          <w:highlight w:val="none"/>
          <w:u w:val="none"/>
        </w:rPr>
      </w:pPr>
      <w:r>
        <w:rPr>
          <w:rFonts w:hint="default" w:ascii="Times New Roman" w:hAnsi="Times New Roman" w:eastAsia="方正仿宋简体" w:cs="Times New Roman"/>
          <w:color w:val="auto"/>
          <w:sz w:val="32"/>
          <w:szCs w:val="32"/>
          <w:highlight w:val="none"/>
          <w:u w:val="none"/>
          <w:lang w:val="en-US" w:eastAsia="zh-CN"/>
        </w:rPr>
        <w:t>全年全地区文化和旅游系统共有艺术</w:t>
      </w:r>
      <w:r>
        <w:rPr>
          <w:rFonts w:hint="eastAsia" w:ascii="Times New Roman" w:hAnsi="Times New Roman" w:eastAsia="方正仿宋简体" w:cs="Times New Roman"/>
          <w:color w:val="auto"/>
          <w:sz w:val="32"/>
          <w:szCs w:val="32"/>
          <w:highlight w:val="none"/>
          <w:u w:val="none"/>
          <w:lang w:val="en-US" w:eastAsia="zh-CN"/>
        </w:rPr>
        <w:t>专业</w:t>
      </w:r>
      <w:r>
        <w:rPr>
          <w:rFonts w:hint="default" w:ascii="Times New Roman" w:hAnsi="Times New Roman" w:eastAsia="方正仿宋简体" w:cs="Times New Roman"/>
          <w:color w:val="auto"/>
          <w:sz w:val="32"/>
          <w:szCs w:val="32"/>
          <w:highlight w:val="none"/>
          <w:u w:val="none"/>
          <w:lang w:val="en-US" w:eastAsia="zh-CN"/>
        </w:rPr>
        <w:t>表演团体 9个，</w:t>
      </w:r>
      <w:r>
        <w:rPr>
          <w:rFonts w:hint="eastAsia" w:ascii="Times New Roman" w:hAnsi="Times New Roman" w:eastAsia="方正仿宋简体" w:cs="Times New Roman"/>
          <w:color w:val="auto"/>
          <w:sz w:val="32"/>
          <w:szCs w:val="32"/>
          <w:highlight w:val="none"/>
          <w:u w:val="none"/>
          <w:lang w:val="en-US" w:eastAsia="zh-CN"/>
        </w:rPr>
        <w:t>民间艺人表演团体95个，</w:t>
      </w:r>
      <w:r>
        <w:rPr>
          <w:rFonts w:hint="default" w:ascii="Times New Roman" w:hAnsi="Times New Roman" w:eastAsia="方正仿宋简体" w:cs="Times New Roman"/>
          <w:color w:val="auto"/>
          <w:sz w:val="32"/>
          <w:szCs w:val="32"/>
          <w:highlight w:val="none"/>
          <w:u w:val="none"/>
          <w:lang w:val="en-US" w:eastAsia="zh-CN"/>
        </w:rPr>
        <w:t>演出场次3</w:t>
      </w:r>
      <w:r>
        <w:rPr>
          <w:rFonts w:hint="eastAsia" w:ascii="Times New Roman" w:hAnsi="Times New Roman" w:eastAsia="方正仿宋简体" w:cs="Times New Roman"/>
          <w:color w:val="auto"/>
          <w:sz w:val="32"/>
          <w:szCs w:val="32"/>
          <w:highlight w:val="none"/>
          <w:u w:val="none"/>
          <w:lang w:val="en-US" w:eastAsia="zh-CN"/>
        </w:rPr>
        <w:t>579</w:t>
      </w:r>
      <w:r>
        <w:rPr>
          <w:rFonts w:hint="default" w:ascii="Times New Roman" w:hAnsi="Times New Roman" w:eastAsia="方正仿宋简体" w:cs="Times New Roman"/>
          <w:color w:val="auto"/>
          <w:sz w:val="32"/>
          <w:szCs w:val="32"/>
          <w:highlight w:val="none"/>
          <w:u w:val="none"/>
          <w:lang w:val="en-US" w:eastAsia="zh-CN"/>
        </w:rPr>
        <w:t>次；博物馆</w:t>
      </w:r>
      <w:r>
        <w:rPr>
          <w:rFonts w:hint="eastAsia" w:ascii="Times New Roman" w:hAnsi="Times New Roman" w:eastAsia="方正仿宋简体" w:cs="Times New Roman"/>
          <w:color w:val="auto"/>
          <w:sz w:val="32"/>
          <w:szCs w:val="32"/>
          <w:highlight w:val="none"/>
          <w:u w:val="none"/>
          <w:lang w:val="en-US" w:eastAsia="zh-CN"/>
        </w:rPr>
        <w:t>6</w:t>
      </w:r>
      <w:r>
        <w:rPr>
          <w:rFonts w:hint="default" w:ascii="Times New Roman" w:hAnsi="Times New Roman" w:eastAsia="方正仿宋简体" w:cs="Times New Roman"/>
          <w:color w:val="auto"/>
          <w:sz w:val="32"/>
          <w:szCs w:val="32"/>
          <w:highlight w:val="none"/>
          <w:u w:val="none"/>
          <w:lang w:val="en-US" w:eastAsia="zh-CN"/>
        </w:rPr>
        <w:t>个</w:t>
      </w:r>
      <w:r>
        <w:rPr>
          <w:rFonts w:hint="eastAsia" w:ascii="Times New Roman" w:hAnsi="Times New Roman" w:eastAsia="方正仿宋简体" w:cs="Times New Roman"/>
          <w:color w:val="auto"/>
          <w:sz w:val="32"/>
          <w:szCs w:val="32"/>
          <w:highlight w:val="none"/>
          <w:u w:val="none"/>
          <w:lang w:val="en-US" w:eastAsia="zh-CN"/>
        </w:rPr>
        <w:t>（包含系统的纪念馆）</w:t>
      </w:r>
      <w:r>
        <w:rPr>
          <w:rFonts w:hint="default" w:ascii="Times New Roman" w:hAnsi="Times New Roman" w:eastAsia="方正仿宋简体" w:cs="Times New Roman"/>
          <w:color w:val="auto"/>
          <w:sz w:val="32"/>
          <w:szCs w:val="32"/>
          <w:highlight w:val="none"/>
          <w:u w:val="none"/>
          <w:lang w:val="en-US" w:eastAsia="zh-CN"/>
        </w:rPr>
        <w:t>、文化馆9个 、文化站9</w:t>
      </w:r>
      <w:r>
        <w:rPr>
          <w:rFonts w:hint="eastAsia" w:ascii="Times New Roman" w:hAnsi="Times New Roman" w:eastAsia="方正仿宋简体" w:cs="Times New Roman"/>
          <w:color w:val="auto"/>
          <w:sz w:val="32"/>
          <w:szCs w:val="32"/>
          <w:highlight w:val="none"/>
          <w:u w:val="none"/>
          <w:lang w:val="en-US" w:eastAsia="zh-CN"/>
        </w:rPr>
        <w:t>5</w:t>
      </w:r>
      <w:r>
        <w:rPr>
          <w:rFonts w:hint="default" w:ascii="Times New Roman" w:hAnsi="Times New Roman" w:eastAsia="方正仿宋简体" w:cs="Times New Roman"/>
          <w:color w:val="auto"/>
          <w:sz w:val="32"/>
          <w:szCs w:val="32"/>
          <w:highlight w:val="none"/>
          <w:u w:val="none"/>
          <w:lang w:val="en-US" w:eastAsia="zh-CN"/>
        </w:rPr>
        <w:t>个；图书馆9个，总藏书量7</w:t>
      </w:r>
      <w:r>
        <w:rPr>
          <w:rFonts w:hint="eastAsia" w:ascii="Times New Roman" w:hAnsi="Times New Roman" w:eastAsia="方正仿宋简体" w:cs="Times New Roman"/>
          <w:color w:val="auto"/>
          <w:sz w:val="32"/>
          <w:szCs w:val="32"/>
          <w:highlight w:val="none"/>
          <w:u w:val="none"/>
          <w:lang w:val="en-US" w:eastAsia="zh-CN"/>
        </w:rPr>
        <w:t>7.31</w:t>
      </w:r>
      <w:r>
        <w:rPr>
          <w:rFonts w:hint="default" w:ascii="Times New Roman" w:hAnsi="Times New Roman" w:eastAsia="方正仿宋简体" w:cs="Times New Roman"/>
          <w:color w:val="auto"/>
          <w:sz w:val="32"/>
          <w:szCs w:val="32"/>
          <w:highlight w:val="none"/>
          <w:u w:val="none"/>
          <w:lang w:val="en-US" w:eastAsia="zh-CN"/>
        </w:rPr>
        <w:t>万册。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auto"/>
          <w:sz w:val="32"/>
          <w:szCs w:val="32"/>
          <w:highlight w:val="none"/>
          <w:lang w:val="en-US" w:eastAsia="zh-CN"/>
        </w:rPr>
      </w:pPr>
      <w:r>
        <w:rPr>
          <w:rFonts w:hint="default" w:ascii="Times New Roman" w:hAnsi="Times New Roman" w:eastAsia="方正仿宋简体" w:cs="Times New Roman"/>
          <w:color w:val="auto"/>
          <w:sz w:val="32"/>
          <w:szCs w:val="32"/>
          <w:highlight w:val="none"/>
          <w:lang w:val="en-US" w:eastAsia="zh-CN"/>
        </w:rPr>
        <w:t>全年《和田日报》总出版量</w:t>
      </w:r>
      <w:r>
        <w:rPr>
          <w:rFonts w:hint="eastAsia" w:ascii="Times New Roman" w:hAnsi="Times New Roman" w:eastAsia="方正仿宋简体" w:cs="Times New Roman"/>
          <w:color w:val="auto"/>
          <w:sz w:val="32"/>
          <w:szCs w:val="32"/>
          <w:highlight w:val="none"/>
          <w:lang w:val="en-US" w:eastAsia="zh-CN"/>
        </w:rPr>
        <w:t>1845</w:t>
      </w:r>
      <w:r>
        <w:rPr>
          <w:rFonts w:hint="default" w:ascii="Times New Roman" w:hAnsi="Times New Roman" w:eastAsia="方正仿宋简体" w:cs="Times New Roman"/>
          <w:color w:val="auto"/>
          <w:sz w:val="32"/>
          <w:szCs w:val="32"/>
          <w:highlight w:val="none"/>
          <w:lang w:val="en-US" w:eastAsia="zh-CN"/>
        </w:rPr>
        <w:t>万份。《和田日报》实际出版期数</w:t>
      </w:r>
      <w:r>
        <w:rPr>
          <w:rFonts w:hint="eastAsia" w:ascii="Times New Roman" w:hAnsi="Times New Roman" w:eastAsia="方正仿宋简体" w:cs="Times New Roman"/>
          <w:color w:val="auto"/>
          <w:sz w:val="32"/>
          <w:szCs w:val="32"/>
          <w:highlight w:val="none"/>
          <w:lang w:val="en-US" w:eastAsia="zh-CN"/>
        </w:rPr>
        <w:t>508</w:t>
      </w:r>
      <w:r>
        <w:rPr>
          <w:rFonts w:hint="default" w:ascii="Times New Roman" w:hAnsi="Times New Roman" w:eastAsia="方正仿宋简体" w:cs="Times New Roman"/>
          <w:color w:val="auto"/>
          <w:sz w:val="32"/>
          <w:szCs w:val="32"/>
          <w:highlight w:val="none"/>
          <w:lang w:val="en-US" w:eastAsia="zh-CN"/>
        </w:rPr>
        <w:t>期。</w:t>
      </w:r>
    </w:p>
    <w:p>
      <w:pPr>
        <w:keepNext w:val="0"/>
        <w:keepLines w:val="0"/>
        <w:pageBreakBefore w:val="0"/>
        <w:widowControl w:val="0"/>
        <w:kinsoku/>
        <w:wordWrap/>
        <w:overflowPunct/>
        <w:topLinePunct w:val="0"/>
        <w:autoSpaceDE/>
        <w:autoSpaceDN/>
        <w:bidi w:val="0"/>
        <w:adjustRightInd/>
        <w:snapToGrid/>
        <w:spacing w:line="560" w:lineRule="exact"/>
        <w:ind w:firstLine="616" w:firstLineChars="200"/>
        <w:textAlignment w:val="auto"/>
        <w:rPr>
          <w:rFonts w:hint="default" w:ascii="Times New Roman" w:hAnsi="Times New Roman" w:eastAsia="方正仿宋简体" w:cs="Times New Roman"/>
          <w:color w:val="auto"/>
          <w:sz w:val="32"/>
          <w:szCs w:val="32"/>
          <w:highlight w:val="none"/>
          <w:lang w:eastAsia="zh-CN"/>
        </w:rPr>
      </w:pPr>
      <w:r>
        <w:rPr>
          <w:rFonts w:hint="default" w:ascii="Times New Roman" w:hAnsi="Times New Roman" w:eastAsia="方正仿宋_GBK" w:cs="Times New Roman"/>
          <w:color w:val="auto"/>
          <w:spacing w:val="-6"/>
          <w:sz w:val="32"/>
          <w:szCs w:val="32"/>
          <w:highlight w:val="none"/>
          <w:lang w:val="en-US" w:eastAsia="zh-CN"/>
        </w:rPr>
        <w:t>全年全地区累计接待</w:t>
      </w:r>
      <w:r>
        <w:rPr>
          <w:rFonts w:hint="eastAsia" w:ascii="Times New Roman" w:hAnsi="Times New Roman" w:eastAsia="方正仿宋_GBK" w:cs="Times New Roman"/>
          <w:color w:val="auto"/>
          <w:spacing w:val="-6"/>
          <w:sz w:val="32"/>
          <w:szCs w:val="32"/>
          <w:highlight w:val="none"/>
          <w:lang w:val="en-US" w:eastAsia="zh-CN"/>
        </w:rPr>
        <w:t>国内外</w:t>
      </w:r>
      <w:r>
        <w:rPr>
          <w:rFonts w:hint="default" w:ascii="Times New Roman" w:hAnsi="Times New Roman" w:eastAsia="方正仿宋_GBK" w:cs="Times New Roman"/>
          <w:color w:val="auto"/>
          <w:spacing w:val="-6"/>
          <w:sz w:val="32"/>
          <w:szCs w:val="32"/>
          <w:highlight w:val="none"/>
          <w:lang w:val="en-US" w:eastAsia="zh-CN"/>
        </w:rPr>
        <w:t>游客</w:t>
      </w:r>
      <w:r>
        <w:rPr>
          <w:rFonts w:hint="eastAsia" w:ascii="Times New Roman" w:hAnsi="Times New Roman" w:eastAsia="方正仿宋_GBK" w:cs="Times New Roman"/>
          <w:color w:val="auto"/>
          <w:spacing w:val="-6"/>
          <w:sz w:val="32"/>
          <w:szCs w:val="32"/>
          <w:highlight w:val="none"/>
          <w:lang w:val="en-US" w:eastAsia="zh-CN"/>
        </w:rPr>
        <w:t>3003.74</w:t>
      </w:r>
      <w:r>
        <w:rPr>
          <w:rFonts w:hint="default" w:ascii="Times New Roman" w:hAnsi="Times New Roman" w:eastAsia="方正仿宋_GBK" w:cs="Times New Roman"/>
          <w:color w:val="auto"/>
          <w:spacing w:val="-6"/>
          <w:sz w:val="32"/>
          <w:szCs w:val="32"/>
          <w:highlight w:val="none"/>
          <w:lang w:val="en-US" w:eastAsia="zh-CN"/>
        </w:rPr>
        <w:t>万人次，同比增长</w:t>
      </w:r>
      <w:r>
        <w:rPr>
          <w:rFonts w:hint="eastAsia" w:ascii="Times New Roman" w:hAnsi="Times New Roman" w:eastAsia="方正仿宋_GBK" w:cs="Times New Roman"/>
          <w:color w:val="auto"/>
          <w:spacing w:val="-6"/>
          <w:sz w:val="32"/>
          <w:szCs w:val="32"/>
          <w:highlight w:val="none"/>
          <w:lang w:val="en-US" w:eastAsia="zh-CN"/>
        </w:rPr>
        <w:t>34.1</w:t>
      </w:r>
      <w:r>
        <w:rPr>
          <w:rFonts w:hint="default" w:ascii="Times New Roman" w:hAnsi="Times New Roman" w:eastAsia="方正仿宋_GBK" w:cs="Times New Roman"/>
          <w:color w:val="auto"/>
          <w:spacing w:val="-6"/>
          <w:sz w:val="32"/>
          <w:szCs w:val="32"/>
          <w:highlight w:val="none"/>
          <w:lang w:val="en-US" w:eastAsia="zh-CN"/>
        </w:rPr>
        <w:t>%。</w:t>
      </w:r>
      <w:r>
        <w:rPr>
          <w:rFonts w:hint="eastAsia" w:ascii="Times New Roman" w:hAnsi="Times New Roman" w:eastAsia="方正仿宋_GBK" w:cs="Times New Roman"/>
          <w:color w:val="auto"/>
          <w:spacing w:val="-6"/>
          <w:sz w:val="32"/>
          <w:szCs w:val="32"/>
          <w:highlight w:val="none"/>
          <w:lang w:val="en-US" w:eastAsia="zh-CN"/>
        </w:rPr>
        <w:t>累计游客花费</w:t>
      </w:r>
      <w:r>
        <w:rPr>
          <w:rFonts w:hint="default" w:ascii="Times New Roman" w:hAnsi="Times New Roman" w:eastAsia="方正仿宋_GBK" w:cs="Times New Roman"/>
          <w:color w:val="auto"/>
          <w:spacing w:val="-6"/>
          <w:sz w:val="32"/>
          <w:szCs w:val="32"/>
          <w:highlight w:val="none"/>
          <w:lang w:val="en-US" w:eastAsia="zh-CN"/>
        </w:rPr>
        <w:t>同比增长</w:t>
      </w:r>
      <w:r>
        <w:rPr>
          <w:rFonts w:hint="eastAsia" w:ascii="Times New Roman" w:hAnsi="Times New Roman" w:eastAsia="方正仿宋_GBK" w:cs="Times New Roman"/>
          <w:color w:val="auto"/>
          <w:spacing w:val="-6"/>
          <w:sz w:val="32"/>
          <w:szCs w:val="32"/>
          <w:highlight w:val="none"/>
          <w:lang w:val="en-US" w:eastAsia="zh-CN"/>
        </w:rPr>
        <w:t>34.7</w:t>
      </w:r>
      <w:r>
        <w:rPr>
          <w:rFonts w:hint="default" w:ascii="Times New Roman" w:hAnsi="Times New Roman" w:eastAsia="方正仿宋_GBK" w:cs="Times New Roman"/>
          <w:color w:val="auto"/>
          <w:spacing w:val="-6"/>
          <w:sz w:val="32"/>
          <w:szCs w:val="32"/>
          <w:highlight w:val="none"/>
          <w:lang w:val="en-US" w:eastAsia="zh-CN"/>
        </w:rPr>
        <w:t>%。</w:t>
      </w:r>
      <w:r>
        <w:rPr>
          <w:rFonts w:hint="default" w:ascii="Times New Roman" w:hAnsi="Times New Roman" w:eastAsia="方正仿宋简体" w:cs="Times New Roman"/>
          <w:color w:val="auto"/>
          <w:sz w:val="32"/>
          <w:szCs w:val="32"/>
          <w:highlight w:val="none"/>
          <w:lang w:val="en-US" w:eastAsia="zh-CN"/>
        </w:rPr>
        <w:t>全</w:t>
      </w:r>
      <w:r>
        <w:rPr>
          <w:rFonts w:hint="default" w:ascii="Times New Roman" w:hAnsi="Times New Roman" w:eastAsia="方正仿宋简体" w:cs="Times New Roman"/>
          <w:color w:val="auto"/>
          <w:sz w:val="32"/>
          <w:szCs w:val="32"/>
          <w:highlight w:val="none"/>
        </w:rPr>
        <w:t>地区</w:t>
      </w:r>
      <w:r>
        <w:rPr>
          <w:rFonts w:hint="default" w:ascii="Times New Roman" w:hAnsi="Times New Roman" w:eastAsia="方正仿宋简体" w:cs="Times New Roman"/>
          <w:color w:val="auto"/>
          <w:sz w:val="32"/>
          <w:szCs w:val="32"/>
          <w:highlight w:val="none"/>
          <w:lang w:eastAsia="zh-CN"/>
        </w:rPr>
        <w:t>共有</w:t>
      </w:r>
      <w:r>
        <w:rPr>
          <w:rFonts w:hint="default" w:ascii="Times New Roman" w:hAnsi="Times New Roman" w:eastAsia="方正仿宋简体" w:cs="Times New Roman"/>
          <w:color w:val="auto"/>
          <w:sz w:val="32"/>
          <w:szCs w:val="32"/>
          <w:highlight w:val="none"/>
          <w:lang w:val="en-US" w:eastAsia="zh-CN"/>
        </w:rPr>
        <w:t>A级景区4</w:t>
      </w:r>
      <w:r>
        <w:rPr>
          <w:rFonts w:hint="eastAsia" w:ascii="Times New Roman" w:hAnsi="Times New Roman" w:eastAsia="方正仿宋简体" w:cs="Times New Roman"/>
          <w:color w:val="auto"/>
          <w:sz w:val="32"/>
          <w:szCs w:val="32"/>
          <w:highlight w:val="none"/>
          <w:lang w:val="en-US" w:eastAsia="zh-CN"/>
        </w:rPr>
        <w:t>7</w:t>
      </w:r>
      <w:r>
        <w:rPr>
          <w:rFonts w:hint="default" w:ascii="Times New Roman" w:hAnsi="Times New Roman" w:eastAsia="方正仿宋简体" w:cs="Times New Roman"/>
          <w:color w:val="auto"/>
          <w:sz w:val="32"/>
          <w:szCs w:val="32"/>
          <w:highlight w:val="none"/>
          <w:lang w:val="en-US" w:eastAsia="zh-CN"/>
        </w:rPr>
        <w:t>个，其中，</w:t>
      </w:r>
      <w:r>
        <w:rPr>
          <w:rFonts w:hint="default" w:ascii="Times New Roman" w:hAnsi="Times New Roman" w:eastAsia="方正仿宋简体" w:cs="Times New Roman"/>
          <w:color w:val="auto"/>
          <w:sz w:val="32"/>
          <w:szCs w:val="32"/>
          <w:highlight w:val="none"/>
        </w:rPr>
        <w:t>4A级景区</w:t>
      </w:r>
      <w:r>
        <w:rPr>
          <w:rFonts w:hint="default" w:ascii="Times New Roman" w:hAnsi="Times New Roman" w:eastAsia="方正仿宋简体" w:cs="Times New Roman"/>
          <w:color w:val="auto"/>
          <w:sz w:val="32"/>
          <w:szCs w:val="32"/>
          <w:highlight w:val="none"/>
          <w:lang w:val="en-US" w:eastAsia="zh-CN"/>
        </w:rPr>
        <w:t>1</w:t>
      </w:r>
      <w:r>
        <w:rPr>
          <w:rFonts w:hint="eastAsia" w:ascii="Times New Roman" w:hAnsi="Times New Roman" w:eastAsia="方正仿宋简体" w:cs="Times New Roman"/>
          <w:color w:val="auto"/>
          <w:sz w:val="32"/>
          <w:szCs w:val="32"/>
          <w:highlight w:val="none"/>
          <w:lang w:val="en-US" w:eastAsia="zh-CN"/>
        </w:rPr>
        <w:t>1</w:t>
      </w:r>
      <w:r>
        <w:rPr>
          <w:rFonts w:hint="default" w:ascii="Times New Roman" w:hAnsi="Times New Roman" w:eastAsia="方正仿宋简体" w:cs="Times New Roman"/>
          <w:color w:val="auto"/>
          <w:sz w:val="32"/>
          <w:szCs w:val="32"/>
          <w:highlight w:val="none"/>
        </w:rPr>
        <w:t>家，3A</w:t>
      </w:r>
      <w:r>
        <w:rPr>
          <w:rFonts w:hint="default" w:ascii="Times New Roman" w:hAnsi="Times New Roman" w:eastAsia="方正仿宋简体" w:cs="Times New Roman"/>
          <w:color w:val="auto"/>
          <w:sz w:val="32"/>
          <w:szCs w:val="32"/>
          <w:highlight w:val="none"/>
          <w:lang w:eastAsia="zh-CN"/>
        </w:rPr>
        <w:t>级景区</w:t>
      </w:r>
      <w:r>
        <w:rPr>
          <w:rFonts w:hint="default" w:ascii="Times New Roman" w:hAnsi="Times New Roman" w:eastAsia="方正仿宋简体" w:cs="Times New Roman"/>
          <w:color w:val="auto"/>
          <w:sz w:val="32"/>
          <w:szCs w:val="32"/>
          <w:highlight w:val="none"/>
          <w:lang w:val="en-US" w:eastAsia="zh-CN"/>
        </w:rPr>
        <w:t>23家，2A级</w:t>
      </w:r>
      <w:r>
        <w:rPr>
          <w:rFonts w:hint="default" w:ascii="Times New Roman" w:hAnsi="Times New Roman" w:eastAsia="方正仿宋简体" w:cs="Times New Roman"/>
          <w:color w:val="auto"/>
          <w:sz w:val="32"/>
          <w:szCs w:val="32"/>
          <w:highlight w:val="none"/>
        </w:rPr>
        <w:t>景区</w:t>
      </w:r>
      <w:r>
        <w:rPr>
          <w:rFonts w:hint="default" w:ascii="Times New Roman" w:hAnsi="Times New Roman" w:eastAsia="方正仿宋简体" w:cs="Times New Roman"/>
          <w:color w:val="auto"/>
          <w:sz w:val="32"/>
          <w:szCs w:val="32"/>
          <w:highlight w:val="none"/>
          <w:lang w:val="en-US" w:eastAsia="zh-CN"/>
        </w:rPr>
        <w:t>1</w:t>
      </w:r>
      <w:r>
        <w:rPr>
          <w:rFonts w:hint="eastAsia" w:ascii="Times New Roman" w:hAnsi="Times New Roman" w:eastAsia="方正仿宋简体" w:cs="Times New Roman"/>
          <w:color w:val="auto"/>
          <w:sz w:val="32"/>
          <w:szCs w:val="32"/>
          <w:highlight w:val="none"/>
          <w:lang w:val="en-US" w:eastAsia="zh-CN"/>
        </w:rPr>
        <w:t>3</w:t>
      </w:r>
      <w:r>
        <w:rPr>
          <w:rFonts w:hint="default" w:ascii="Times New Roman" w:hAnsi="Times New Roman" w:eastAsia="方正仿宋简体" w:cs="Times New Roman"/>
          <w:color w:val="auto"/>
          <w:sz w:val="32"/>
          <w:szCs w:val="32"/>
          <w:highlight w:val="none"/>
        </w:rPr>
        <w:t>家</w:t>
      </w:r>
      <w:r>
        <w:rPr>
          <w:rFonts w:hint="default" w:ascii="Times New Roman" w:hAnsi="Times New Roman" w:eastAsia="方正仿宋简体" w:cs="Times New Roman"/>
          <w:color w:val="auto"/>
          <w:sz w:val="32"/>
          <w:szCs w:val="32"/>
          <w:highlight w:val="none"/>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auto"/>
          <w:sz w:val="32"/>
          <w:szCs w:val="32"/>
          <w:highlight w:val="none"/>
          <w:lang w:val="en-US" w:eastAsia="zh-CN"/>
        </w:rPr>
      </w:pPr>
      <w:r>
        <w:rPr>
          <w:rFonts w:hint="default" w:ascii="Times New Roman" w:hAnsi="Times New Roman" w:eastAsia="方正仿宋简体" w:cs="Times New Roman"/>
          <w:color w:val="auto"/>
          <w:sz w:val="32"/>
          <w:szCs w:val="32"/>
          <w:highlight w:val="none"/>
          <w:lang w:val="en-US" w:eastAsia="zh-CN"/>
        </w:rPr>
        <w:t>全年</w:t>
      </w:r>
      <w:r>
        <w:rPr>
          <w:rFonts w:hint="eastAsia" w:ascii="Times New Roman" w:hAnsi="Times New Roman" w:eastAsia="方正仿宋简体" w:cs="Times New Roman"/>
          <w:color w:val="auto"/>
          <w:sz w:val="32"/>
          <w:szCs w:val="32"/>
          <w:highlight w:val="none"/>
          <w:lang w:val="en-US" w:eastAsia="zh-CN"/>
        </w:rPr>
        <w:t>全</w:t>
      </w:r>
      <w:r>
        <w:rPr>
          <w:rFonts w:hint="default" w:ascii="Times New Roman" w:hAnsi="Times New Roman" w:eastAsia="方正仿宋简体" w:cs="Times New Roman"/>
          <w:color w:val="auto"/>
          <w:sz w:val="32"/>
          <w:szCs w:val="32"/>
          <w:highlight w:val="none"/>
          <w:lang w:val="en-US" w:eastAsia="zh-CN"/>
        </w:rPr>
        <w:t>地区共有医疗卫生机构</w:t>
      </w:r>
      <w:r>
        <w:rPr>
          <w:rFonts w:hint="eastAsia" w:ascii="Times New Roman" w:hAnsi="Times New Roman" w:eastAsia="方正仿宋简体" w:cs="Times New Roman"/>
          <w:color w:val="auto"/>
          <w:sz w:val="32"/>
          <w:szCs w:val="32"/>
          <w:highlight w:val="none"/>
          <w:lang w:val="en-US" w:eastAsia="zh-CN"/>
        </w:rPr>
        <w:t>524</w:t>
      </w:r>
      <w:r>
        <w:rPr>
          <w:rFonts w:hint="default" w:ascii="Times New Roman" w:hAnsi="Times New Roman" w:eastAsia="方正仿宋简体" w:cs="Times New Roman"/>
          <w:color w:val="auto"/>
          <w:sz w:val="32"/>
          <w:szCs w:val="32"/>
          <w:highlight w:val="none"/>
          <w:lang w:val="en-US" w:eastAsia="zh-CN"/>
        </w:rPr>
        <w:t>所。</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auto"/>
          <w:sz w:val="32"/>
          <w:szCs w:val="32"/>
          <w:highlight w:val="none"/>
        </w:rPr>
      </w:pPr>
      <w:r>
        <w:rPr>
          <w:rFonts w:hint="default" w:ascii="Times New Roman" w:hAnsi="Times New Roman" w:eastAsia="方正仿宋简体" w:cs="Times New Roman"/>
          <w:color w:val="auto"/>
          <w:sz w:val="32"/>
          <w:szCs w:val="32"/>
          <w:highlight w:val="none"/>
          <w:lang w:val="en-US" w:eastAsia="zh-CN"/>
        </w:rPr>
        <w:t>年末</w:t>
      </w:r>
      <w:r>
        <w:rPr>
          <w:rFonts w:hint="eastAsia" w:ascii="Times New Roman" w:hAnsi="Times New Roman" w:eastAsia="方正仿宋简体" w:cs="Times New Roman"/>
          <w:color w:val="auto"/>
          <w:sz w:val="32"/>
          <w:szCs w:val="32"/>
          <w:highlight w:val="none"/>
          <w:lang w:val="en-US" w:eastAsia="zh-CN"/>
        </w:rPr>
        <w:t>全地区</w:t>
      </w:r>
      <w:r>
        <w:rPr>
          <w:rFonts w:hint="default" w:ascii="Times New Roman" w:hAnsi="Times New Roman" w:eastAsia="方正仿宋简体" w:cs="Times New Roman"/>
          <w:color w:val="auto"/>
          <w:sz w:val="32"/>
          <w:szCs w:val="32"/>
          <w:highlight w:val="none"/>
          <w:lang w:val="en-US" w:eastAsia="zh-CN"/>
        </w:rPr>
        <w:t>共有体育场</w:t>
      </w:r>
      <w:r>
        <w:rPr>
          <w:rFonts w:hint="eastAsia" w:ascii="Times New Roman" w:hAnsi="Times New Roman" w:eastAsia="方正仿宋简体" w:cs="Times New Roman"/>
          <w:color w:val="auto"/>
          <w:sz w:val="32"/>
          <w:szCs w:val="32"/>
          <w:highlight w:val="none"/>
          <w:lang w:val="en-US" w:eastAsia="zh-CN"/>
        </w:rPr>
        <w:t>馆</w:t>
      </w:r>
      <w:r>
        <w:rPr>
          <w:rFonts w:hint="eastAsia" w:ascii="Times New Roman" w:hAnsi="Times New Roman" w:eastAsia="仿宋_GB2312" w:cs="Times New Roman"/>
          <w:color w:val="auto"/>
          <w:sz w:val="32"/>
          <w:szCs w:val="32"/>
          <w:highlight w:val="none"/>
          <w:lang w:val="en-US" w:eastAsia="zh-CN"/>
        </w:rPr>
        <w:t>14</w:t>
      </w:r>
      <w:r>
        <w:rPr>
          <w:rFonts w:hint="default" w:ascii="Times New Roman" w:hAnsi="Times New Roman" w:eastAsia="方正仿宋简体" w:cs="Times New Roman"/>
          <w:color w:val="auto"/>
          <w:sz w:val="32"/>
          <w:szCs w:val="32"/>
          <w:highlight w:val="none"/>
          <w:lang w:val="en-US" w:eastAsia="zh-CN"/>
        </w:rPr>
        <w:t>个。</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color w:val="000000" w:themeColor="text1"/>
          <w:sz w:val="32"/>
          <w:szCs w:val="32"/>
          <w:highlight w:val="none"/>
          <w:lang w:eastAsia="zh-CN"/>
          <w14:textFill>
            <w14:solidFill>
              <w14:schemeClr w14:val="tx1"/>
            </w14:solidFill>
          </w14:textFill>
        </w:rPr>
      </w:pPr>
      <w:r>
        <w:rPr>
          <w:rFonts w:hint="default" w:ascii="Times New Roman" w:hAnsi="Times New Roman" w:eastAsia="黑体" w:cs="Times New Roman"/>
          <w:color w:val="000000" w:themeColor="text1"/>
          <w:sz w:val="32"/>
          <w:szCs w:val="32"/>
          <w:highlight w:val="none"/>
          <w14:textFill>
            <w14:solidFill>
              <w14:schemeClr w14:val="tx1"/>
            </w14:solidFill>
          </w14:textFill>
        </w:rPr>
        <w:t>十一、环境</w:t>
      </w:r>
      <w:r>
        <w:rPr>
          <w:rFonts w:hint="default" w:ascii="Times New Roman" w:hAnsi="Times New Roman" w:eastAsia="黑体" w:cs="Times New Roman"/>
          <w:color w:val="000000" w:themeColor="text1"/>
          <w:sz w:val="32"/>
          <w:szCs w:val="32"/>
          <w:highlight w:val="none"/>
          <w:lang w:eastAsia="zh-CN"/>
          <w14:textFill>
            <w14:solidFill>
              <w14:schemeClr w14:val="tx1"/>
            </w14:solidFill>
          </w14:textFill>
        </w:rPr>
        <w:t>、能源</w:t>
      </w:r>
      <w:r>
        <w:rPr>
          <w:rFonts w:hint="default" w:ascii="Times New Roman" w:hAnsi="Times New Roman" w:eastAsia="黑体" w:cs="Times New Roman"/>
          <w:color w:val="000000" w:themeColor="text1"/>
          <w:sz w:val="32"/>
          <w:szCs w:val="32"/>
          <w:highlight w:val="none"/>
          <w14:textFill>
            <w14:solidFill>
              <w14:schemeClr w14:val="tx1"/>
            </w14:solidFill>
          </w14:textFill>
        </w:rPr>
        <w:t>和</w:t>
      </w:r>
      <w:r>
        <w:rPr>
          <w:rFonts w:hint="default" w:ascii="Times New Roman" w:hAnsi="Times New Roman" w:eastAsia="黑体" w:cs="Times New Roman"/>
          <w:color w:val="000000" w:themeColor="text1"/>
          <w:sz w:val="32"/>
          <w:szCs w:val="32"/>
          <w:highlight w:val="none"/>
          <w:lang w:eastAsia="zh-CN"/>
          <w14:textFill>
            <w14:solidFill>
              <w14:schemeClr w14:val="tx1"/>
            </w14:solidFill>
          </w14:textFill>
        </w:rPr>
        <w:t>应急管理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0000FF"/>
          <w:sz w:val="32"/>
          <w:szCs w:val="32"/>
          <w:highlight w:val="yellow"/>
          <w:vertAlign w:val="baseline"/>
          <w:lang w:val="en-US" w:eastAsia="zh-CN"/>
        </w:rPr>
      </w:pPr>
      <w:r>
        <w:rPr>
          <w:rFonts w:hint="default" w:ascii="Times New Roman" w:hAnsi="Times New Roman" w:eastAsia="方正仿宋简体" w:cs="Times New Roman"/>
          <w:color w:val="auto"/>
          <w:sz w:val="32"/>
          <w:szCs w:val="32"/>
          <w:highlight w:val="none"/>
        </w:rPr>
        <w:t>全年和田市城区环境空气有效监测天数为36</w:t>
      </w:r>
      <w:r>
        <w:rPr>
          <w:rFonts w:hint="eastAsia" w:ascii="Times New Roman" w:hAnsi="Times New Roman" w:eastAsia="方正仿宋简体" w:cs="Times New Roman"/>
          <w:color w:val="auto"/>
          <w:sz w:val="32"/>
          <w:szCs w:val="32"/>
          <w:highlight w:val="none"/>
          <w:lang w:val="en-US" w:eastAsia="zh-CN"/>
        </w:rPr>
        <w:t>6</w:t>
      </w:r>
      <w:r>
        <w:rPr>
          <w:rFonts w:hint="default" w:ascii="Times New Roman" w:hAnsi="Times New Roman" w:eastAsia="方正仿宋简体" w:cs="Times New Roman"/>
          <w:color w:val="auto"/>
          <w:sz w:val="32"/>
          <w:szCs w:val="32"/>
          <w:highlight w:val="none"/>
        </w:rPr>
        <w:t>天，其中优良天数</w:t>
      </w:r>
      <w:r>
        <w:rPr>
          <w:rFonts w:hint="eastAsia" w:ascii="Times New Roman" w:hAnsi="Times New Roman" w:eastAsia="方正仿宋简体" w:cs="Times New Roman"/>
          <w:color w:val="auto"/>
          <w:sz w:val="32"/>
          <w:szCs w:val="32"/>
          <w:highlight w:val="none"/>
          <w:lang w:val="en-US" w:eastAsia="zh-CN"/>
        </w:rPr>
        <w:t>94</w:t>
      </w:r>
      <w:r>
        <w:rPr>
          <w:rFonts w:hint="default" w:ascii="Times New Roman" w:hAnsi="Times New Roman" w:eastAsia="方正仿宋简体" w:cs="Times New Roman"/>
          <w:color w:val="auto"/>
          <w:sz w:val="32"/>
          <w:szCs w:val="32"/>
          <w:highlight w:val="none"/>
        </w:rPr>
        <w:t>天，优良率为</w:t>
      </w:r>
      <w:r>
        <w:rPr>
          <w:rFonts w:hint="eastAsia" w:ascii="Times New Roman" w:hAnsi="Times New Roman" w:eastAsia="方正仿宋简体" w:cs="Times New Roman"/>
          <w:color w:val="auto"/>
          <w:sz w:val="32"/>
          <w:szCs w:val="32"/>
          <w:highlight w:val="none"/>
          <w:lang w:val="en-US" w:eastAsia="zh-CN"/>
        </w:rPr>
        <w:t>25</w:t>
      </w:r>
      <w:r>
        <w:rPr>
          <w:rFonts w:hint="default" w:ascii="Times New Roman" w:hAnsi="Times New Roman" w:eastAsia="方正仿宋简体" w:cs="Times New Roman"/>
          <w:color w:val="auto"/>
          <w:sz w:val="32"/>
          <w:szCs w:val="32"/>
          <w:highlight w:val="none"/>
          <w:lang w:val="en-US" w:eastAsia="zh-CN"/>
        </w:rPr>
        <w:t>.7%</w:t>
      </w:r>
      <w:r>
        <w:rPr>
          <w:rFonts w:hint="default" w:ascii="Times New Roman" w:hAnsi="Times New Roman" w:eastAsia="方正仿宋简体" w:cs="Times New Roman"/>
          <w:color w:val="auto"/>
          <w:sz w:val="32"/>
          <w:szCs w:val="32"/>
          <w:highlight w:val="none"/>
        </w:rPr>
        <w:t>；</w:t>
      </w:r>
      <w:r>
        <w:rPr>
          <w:rFonts w:hint="eastAsia" w:ascii="Times New Roman" w:hAnsi="Times New Roman" w:eastAsia="方正仿宋简体" w:cs="Times New Roman"/>
          <w:color w:val="auto"/>
          <w:sz w:val="32"/>
          <w:szCs w:val="32"/>
          <w:highlight w:val="none"/>
          <w:lang w:val="en-US" w:eastAsia="zh-CN"/>
        </w:rPr>
        <w:t>同比上升9.0个百分点</w:t>
      </w:r>
      <w:r>
        <w:rPr>
          <w:rFonts w:hint="default" w:ascii="Times New Roman" w:hAnsi="Times New Roman" w:eastAsia="方正仿宋简体" w:cs="Times New Roman"/>
          <w:color w:val="auto"/>
          <w:sz w:val="32"/>
          <w:szCs w:val="32"/>
          <w:highlight w:val="none"/>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auto"/>
          <w:sz w:val="32"/>
          <w:szCs w:val="32"/>
          <w:highlight w:val="none"/>
          <w:vertAlign w:val="baseline"/>
          <w:lang w:val="en-US" w:eastAsia="zh-CN"/>
        </w:rPr>
      </w:pPr>
      <w:r>
        <w:rPr>
          <w:rFonts w:hint="eastAsia" w:ascii="Times New Roman" w:hAnsi="Times New Roman" w:eastAsia="方正仿宋简体" w:cs="Times New Roman"/>
          <w:color w:val="auto"/>
          <w:sz w:val="32"/>
          <w:szCs w:val="32"/>
          <w:highlight w:val="none"/>
          <w:vertAlign w:val="baseline"/>
          <w:lang w:val="en-US" w:eastAsia="zh-CN"/>
        </w:rPr>
        <w:t>全年四项气态污染物二氧化硫（SO</w:t>
      </w:r>
      <w:r>
        <w:rPr>
          <w:rFonts w:hint="eastAsia" w:ascii="Times New Roman" w:hAnsi="Times New Roman" w:eastAsia="方正仿宋简体" w:cs="Times New Roman"/>
          <w:color w:val="auto"/>
          <w:sz w:val="32"/>
          <w:szCs w:val="32"/>
          <w:highlight w:val="none"/>
          <w:vertAlign w:val="subscript"/>
          <w:lang w:val="en-US" w:eastAsia="zh-CN"/>
        </w:rPr>
        <w:t>2</w:t>
      </w:r>
      <w:r>
        <w:rPr>
          <w:rFonts w:hint="eastAsia" w:ascii="Times New Roman" w:hAnsi="Times New Roman" w:eastAsia="方正仿宋简体" w:cs="Times New Roman"/>
          <w:color w:val="auto"/>
          <w:sz w:val="32"/>
          <w:szCs w:val="32"/>
          <w:highlight w:val="none"/>
          <w:vertAlign w:val="baseline"/>
          <w:lang w:val="en-US" w:eastAsia="zh-CN"/>
        </w:rPr>
        <w:t>）、二氧化碳（NO</w:t>
      </w:r>
      <w:r>
        <w:rPr>
          <w:rFonts w:hint="eastAsia" w:ascii="Times New Roman" w:hAnsi="Times New Roman" w:eastAsia="方正仿宋简体" w:cs="Times New Roman"/>
          <w:color w:val="auto"/>
          <w:sz w:val="32"/>
          <w:szCs w:val="32"/>
          <w:highlight w:val="none"/>
          <w:vertAlign w:val="subscript"/>
          <w:lang w:val="en-US" w:eastAsia="zh-CN"/>
        </w:rPr>
        <w:t>2</w:t>
      </w:r>
      <w:r>
        <w:rPr>
          <w:rFonts w:hint="eastAsia" w:ascii="Times New Roman" w:hAnsi="Times New Roman" w:eastAsia="方正仿宋简体" w:cs="Times New Roman"/>
          <w:color w:val="auto"/>
          <w:sz w:val="32"/>
          <w:szCs w:val="32"/>
          <w:highlight w:val="none"/>
          <w:vertAlign w:val="baseline"/>
          <w:lang w:val="en-US" w:eastAsia="zh-CN"/>
        </w:rPr>
        <w:t>）、一氧化碳（CO）和臭氧（O</w:t>
      </w:r>
      <w:r>
        <w:rPr>
          <w:rFonts w:hint="eastAsia" w:ascii="Times New Roman" w:hAnsi="Times New Roman" w:eastAsia="方正仿宋简体" w:cs="Times New Roman"/>
          <w:color w:val="auto"/>
          <w:sz w:val="32"/>
          <w:szCs w:val="32"/>
          <w:highlight w:val="none"/>
          <w:vertAlign w:val="subscript"/>
          <w:lang w:val="en-US" w:eastAsia="zh-CN"/>
        </w:rPr>
        <w:t>3</w:t>
      </w:r>
      <w:r>
        <w:rPr>
          <w:rFonts w:hint="eastAsia" w:ascii="Times New Roman" w:hAnsi="Times New Roman" w:eastAsia="方正仿宋简体" w:cs="Times New Roman"/>
          <w:color w:val="auto"/>
          <w:sz w:val="32"/>
          <w:szCs w:val="32"/>
          <w:highlight w:val="none"/>
          <w:vertAlign w:val="baseline"/>
          <w:lang w:val="en-US" w:eastAsia="zh-CN"/>
        </w:rPr>
        <w:t>）平均浓度达到国家二级标准限值。</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简体" w:cs="Times New Roman"/>
          <w:color w:val="auto"/>
          <w:sz w:val="32"/>
          <w:szCs w:val="32"/>
          <w:highlight w:val="none"/>
          <w:lang w:eastAsia="zh-CN"/>
        </w:rPr>
      </w:pPr>
      <w:r>
        <w:rPr>
          <w:rFonts w:hint="default" w:ascii="Times New Roman" w:hAnsi="Times New Roman" w:eastAsia="方正仿宋简体" w:cs="Times New Roman"/>
          <w:color w:val="auto"/>
          <w:sz w:val="32"/>
          <w:szCs w:val="32"/>
          <w:highlight w:val="none"/>
        </w:rPr>
        <w:t>全年总用水量</w:t>
      </w:r>
      <w:r>
        <w:rPr>
          <w:rFonts w:hint="eastAsia" w:ascii="Times New Roman" w:hAnsi="Times New Roman" w:eastAsia="方正仿宋简体" w:cs="Times New Roman"/>
          <w:color w:val="auto"/>
          <w:sz w:val="32"/>
          <w:szCs w:val="32"/>
          <w:highlight w:val="none"/>
          <w:lang w:val="en-US" w:eastAsia="zh-CN"/>
        </w:rPr>
        <w:t>51.73</w:t>
      </w:r>
      <w:r>
        <w:rPr>
          <w:rFonts w:hint="default" w:ascii="Times New Roman" w:hAnsi="Times New Roman" w:eastAsia="方正仿宋简体" w:cs="Times New Roman"/>
          <w:color w:val="auto"/>
          <w:sz w:val="32"/>
          <w:szCs w:val="32"/>
          <w:highlight w:val="none"/>
        </w:rPr>
        <w:t>亿立方米</w:t>
      </w:r>
      <w:r>
        <w:rPr>
          <w:rFonts w:hint="eastAsia" w:ascii="Times New Roman" w:hAnsi="Times New Roman" w:eastAsia="方正仿宋简体" w:cs="Times New Roman"/>
          <w:color w:val="auto"/>
          <w:sz w:val="32"/>
          <w:szCs w:val="32"/>
          <w:highlight w:val="none"/>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简体" w:cs="Times New Roman"/>
          <w:color w:val="auto"/>
          <w:sz w:val="32"/>
          <w:szCs w:val="32"/>
          <w:highlight w:val="none"/>
          <w:lang w:val="en-US" w:eastAsia="zh-CN"/>
        </w:rPr>
      </w:pPr>
      <w:r>
        <w:rPr>
          <w:rFonts w:hint="default" w:ascii="Times New Roman" w:hAnsi="Times New Roman" w:eastAsia="方正仿宋简体" w:cs="Times New Roman"/>
          <w:color w:val="auto"/>
          <w:sz w:val="32"/>
          <w:szCs w:val="32"/>
          <w:highlight w:val="none"/>
        </w:rPr>
        <w:t>全年完成人工造林面积3.</w:t>
      </w:r>
      <w:r>
        <w:rPr>
          <w:rFonts w:hint="eastAsia" w:ascii="Times New Roman" w:hAnsi="Times New Roman" w:eastAsia="方正仿宋简体" w:cs="Times New Roman"/>
          <w:color w:val="auto"/>
          <w:sz w:val="32"/>
          <w:szCs w:val="32"/>
          <w:highlight w:val="none"/>
          <w:lang w:val="en-US" w:eastAsia="zh-CN"/>
        </w:rPr>
        <w:t>8</w:t>
      </w:r>
      <w:r>
        <w:rPr>
          <w:rFonts w:hint="default" w:ascii="Times New Roman" w:hAnsi="Times New Roman" w:eastAsia="方正仿宋简体" w:cs="Times New Roman"/>
          <w:color w:val="auto"/>
          <w:sz w:val="32"/>
          <w:szCs w:val="32"/>
          <w:highlight w:val="none"/>
        </w:rPr>
        <w:t>5万亩。地区级以上自然保护地</w:t>
      </w:r>
      <w:r>
        <w:rPr>
          <w:rFonts w:hint="eastAsia" w:ascii="Times New Roman" w:hAnsi="Times New Roman" w:eastAsia="方正仿宋简体" w:cs="Times New Roman"/>
          <w:color w:val="auto"/>
          <w:sz w:val="32"/>
          <w:szCs w:val="32"/>
          <w:highlight w:val="none"/>
          <w:lang w:val="en-US" w:eastAsia="zh-CN"/>
        </w:rPr>
        <w:t>5</w:t>
      </w:r>
      <w:r>
        <w:rPr>
          <w:rFonts w:hint="default" w:ascii="Times New Roman" w:hAnsi="Times New Roman" w:eastAsia="方正仿宋简体" w:cs="Times New Roman"/>
          <w:color w:val="auto"/>
          <w:sz w:val="32"/>
          <w:szCs w:val="32"/>
          <w:highlight w:val="none"/>
        </w:rPr>
        <w:t>个，其中</w:t>
      </w:r>
      <w:r>
        <w:rPr>
          <w:rFonts w:hint="eastAsia" w:ascii="Times New Roman" w:hAnsi="Times New Roman" w:eastAsia="方正仿宋简体" w:cs="Times New Roman"/>
          <w:color w:val="auto"/>
          <w:sz w:val="32"/>
          <w:szCs w:val="32"/>
          <w:highlight w:val="none"/>
          <w:lang w:eastAsia="zh-CN"/>
        </w:rPr>
        <w:t>，</w:t>
      </w:r>
      <w:r>
        <w:rPr>
          <w:rFonts w:hint="default" w:ascii="Times New Roman" w:hAnsi="Times New Roman" w:eastAsia="方正仿宋简体" w:cs="Times New Roman"/>
          <w:color w:val="auto"/>
          <w:sz w:val="32"/>
          <w:szCs w:val="32"/>
          <w:highlight w:val="none"/>
        </w:rPr>
        <w:t>国家级湿地公园4个、</w:t>
      </w:r>
      <w:r>
        <w:rPr>
          <w:rFonts w:hint="eastAsia" w:ascii="Times New Roman" w:hAnsi="Times New Roman" w:eastAsia="方正仿宋简体" w:cs="Times New Roman"/>
          <w:color w:val="auto"/>
          <w:sz w:val="32"/>
          <w:szCs w:val="32"/>
          <w:highlight w:val="none"/>
          <w:lang w:val="en-US" w:eastAsia="zh-CN"/>
        </w:rPr>
        <w:t>国家级</w:t>
      </w:r>
      <w:r>
        <w:rPr>
          <w:rFonts w:hint="default" w:ascii="Times New Roman" w:hAnsi="Times New Roman" w:eastAsia="方正仿宋简体" w:cs="Times New Roman"/>
          <w:color w:val="auto"/>
          <w:sz w:val="32"/>
          <w:szCs w:val="32"/>
          <w:highlight w:val="none"/>
        </w:rPr>
        <w:t>沙漠公园1个</w:t>
      </w:r>
      <w:r>
        <w:rPr>
          <w:rFonts w:hint="eastAsia" w:ascii="Times New Roman" w:hAnsi="Times New Roman" w:eastAsia="方正仿宋简体" w:cs="Times New Roman"/>
          <w:color w:val="auto"/>
          <w:sz w:val="32"/>
          <w:szCs w:val="32"/>
          <w:highlight w:val="none"/>
          <w:lang w:eastAsia="zh-CN"/>
        </w:rPr>
        <w:t>；</w:t>
      </w:r>
      <w:r>
        <w:rPr>
          <w:rFonts w:hint="eastAsia" w:ascii="Times New Roman" w:hAnsi="Times New Roman" w:eastAsia="方正仿宋简体" w:cs="Times New Roman"/>
          <w:color w:val="auto"/>
          <w:sz w:val="32"/>
          <w:szCs w:val="32"/>
          <w:highlight w:val="none"/>
          <w:lang w:val="en-US" w:eastAsia="zh-CN"/>
        </w:rPr>
        <w:t>地州级自然保护区1个。</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简体" w:cs="Times New Roman"/>
          <w:color w:val="auto"/>
          <w:sz w:val="32"/>
          <w:szCs w:val="32"/>
          <w:highlight w:val="none"/>
        </w:rPr>
      </w:pPr>
      <w:r>
        <w:rPr>
          <w:rFonts w:hint="eastAsia" w:ascii="Times New Roman" w:hAnsi="Times New Roman" w:eastAsia="方正仿宋简体" w:cs="Times New Roman"/>
          <w:color w:val="auto"/>
          <w:sz w:val="32"/>
          <w:szCs w:val="32"/>
          <w:highlight w:val="none"/>
        </w:rPr>
        <w:t>全年规模以上工业综合能源消费量比上年增长25.0%。全社会用电量增长8.6%。</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color w:val="auto"/>
          <w:sz w:val="32"/>
          <w:szCs w:val="32"/>
          <w:highlight w:val="none"/>
        </w:rPr>
      </w:pPr>
      <w:r>
        <w:rPr>
          <w:rFonts w:hint="default" w:ascii="Times New Roman" w:hAnsi="Times New Roman" w:eastAsia="黑体" w:cs="Times New Roman"/>
          <w:color w:val="auto"/>
          <w:sz w:val="32"/>
          <w:szCs w:val="32"/>
          <w:highlight w:val="none"/>
        </w:rPr>
        <w:t>十二、民营经济</w:t>
      </w:r>
      <w:r>
        <w:rPr>
          <w:rFonts w:hint="default" w:ascii="Times New Roman" w:hAnsi="Times New Roman" w:eastAsia="黑体" w:cs="Times New Roman"/>
          <w:color w:val="auto"/>
          <w:sz w:val="32"/>
          <w:szCs w:val="32"/>
          <w:highlight w:val="none"/>
          <w:lang w:eastAsia="zh-CN"/>
        </w:rPr>
        <w:t>和</w:t>
      </w:r>
      <w:r>
        <w:rPr>
          <w:rFonts w:hint="default" w:ascii="Times New Roman" w:hAnsi="Times New Roman" w:eastAsia="黑体" w:cs="Times New Roman"/>
          <w:color w:val="auto"/>
          <w:sz w:val="32"/>
          <w:szCs w:val="32"/>
          <w:highlight w:val="none"/>
        </w:rPr>
        <w:t>招商引资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简体" w:cs="Times New Roman"/>
          <w:color w:val="auto"/>
          <w:sz w:val="32"/>
          <w:szCs w:val="32"/>
          <w:highlight w:val="none"/>
        </w:rPr>
      </w:pPr>
      <w:r>
        <w:rPr>
          <w:rFonts w:hint="default" w:ascii="Times New Roman" w:hAnsi="Times New Roman" w:eastAsia="方正仿宋简体" w:cs="Times New Roman"/>
          <w:color w:val="auto"/>
          <w:sz w:val="32"/>
          <w:szCs w:val="32"/>
          <w:highlight w:val="none"/>
        </w:rPr>
        <w:t>年末全地区市场主体总数</w:t>
      </w:r>
      <w:r>
        <w:rPr>
          <w:rFonts w:hint="eastAsia" w:ascii="Times New Roman" w:hAnsi="Times New Roman" w:eastAsia="方正仿宋简体" w:cs="Times New Roman"/>
          <w:color w:val="auto"/>
          <w:sz w:val="32"/>
          <w:szCs w:val="32"/>
          <w:highlight w:val="none"/>
          <w:lang w:val="en-US" w:eastAsia="zh-CN"/>
        </w:rPr>
        <w:t>21.54</w:t>
      </w:r>
      <w:r>
        <w:rPr>
          <w:rFonts w:hint="default" w:ascii="Times New Roman" w:hAnsi="Times New Roman" w:eastAsia="方正仿宋简体" w:cs="Times New Roman"/>
          <w:color w:val="auto"/>
          <w:sz w:val="32"/>
          <w:szCs w:val="32"/>
          <w:highlight w:val="none"/>
        </w:rPr>
        <w:t>万户，</w:t>
      </w:r>
      <w:r>
        <w:rPr>
          <w:rFonts w:hint="default" w:ascii="Times New Roman" w:hAnsi="Times New Roman" w:eastAsia="方正仿宋简体" w:cs="Times New Roman"/>
          <w:color w:val="auto"/>
          <w:sz w:val="32"/>
          <w:szCs w:val="32"/>
          <w:highlight w:val="none"/>
          <w:lang w:eastAsia="zh-CN"/>
        </w:rPr>
        <w:t>比上年</w:t>
      </w:r>
      <w:r>
        <w:rPr>
          <w:rFonts w:hint="default" w:ascii="Times New Roman" w:hAnsi="Times New Roman" w:eastAsia="方正仿宋简体" w:cs="Times New Roman"/>
          <w:color w:val="auto"/>
          <w:sz w:val="32"/>
          <w:szCs w:val="32"/>
          <w:highlight w:val="none"/>
        </w:rPr>
        <w:t>增长</w:t>
      </w:r>
      <w:r>
        <w:rPr>
          <w:rFonts w:hint="eastAsia" w:ascii="Times New Roman" w:hAnsi="Times New Roman" w:eastAsia="方正仿宋简体" w:cs="Times New Roman"/>
          <w:color w:val="auto"/>
          <w:sz w:val="32"/>
          <w:szCs w:val="32"/>
          <w:highlight w:val="none"/>
          <w:lang w:val="en-US" w:eastAsia="zh-CN"/>
        </w:rPr>
        <w:t>4.3</w:t>
      </w:r>
      <w:r>
        <w:rPr>
          <w:rFonts w:hint="default" w:ascii="Times New Roman" w:hAnsi="Times New Roman" w:eastAsia="方正仿宋简体" w:cs="Times New Roman"/>
          <w:color w:val="auto"/>
          <w:sz w:val="32"/>
          <w:szCs w:val="32"/>
          <w:highlight w:val="none"/>
        </w:rPr>
        <w:t>%。其中，内资企业</w:t>
      </w:r>
      <w:r>
        <w:rPr>
          <w:rFonts w:hint="eastAsia" w:ascii="Times New Roman" w:hAnsi="Times New Roman" w:eastAsia="方正仿宋简体" w:cs="Times New Roman"/>
          <w:color w:val="auto"/>
          <w:sz w:val="32"/>
          <w:szCs w:val="32"/>
          <w:highlight w:val="none"/>
          <w:lang w:val="en-US" w:eastAsia="zh-CN"/>
        </w:rPr>
        <w:t>3.04</w:t>
      </w:r>
      <w:r>
        <w:rPr>
          <w:rFonts w:hint="default" w:ascii="Times New Roman" w:hAnsi="Times New Roman" w:eastAsia="方正仿宋简体" w:cs="Times New Roman"/>
          <w:color w:val="auto"/>
          <w:sz w:val="32"/>
          <w:szCs w:val="32"/>
          <w:highlight w:val="none"/>
        </w:rPr>
        <w:t>万户，增长</w:t>
      </w:r>
      <w:r>
        <w:rPr>
          <w:rFonts w:hint="eastAsia" w:ascii="Times New Roman" w:hAnsi="Times New Roman" w:eastAsia="方正仿宋简体" w:cs="Times New Roman"/>
          <w:color w:val="auto"/>
          <w:sz w:val="32"/>
          <w:szCs w:val="32"/>
          <w:highlight w:val="none"/>
          <w:lang w:val="en-US" w:eastAsia="zh-CN"/>
        </w:rPr>
        <w:t>9.3</w:t>
      </w:r>
      <w:r>
        <w:rPr>
          <w:rFonts w:hint="default" w:ascii="Times New Roman" w:hAnsi="Times New Roman" w:eastAsia="方正仿宋简体" w:cs="Times New Roman"/>
          <w:color w:val="auto"/>
          <w:sz w:val="32"/>
          <w:szCs w:val="32"/>
          <w:highlight w:val="none"/>
        </w:rPr>
        <w:t>%；外资企业</w:t>
      </w:r>
      <w:r>
        <w:rPr>
          <w:rFonts w:hint="eastAsia" w:ascii="Times New Roman" w:hAnsi="Times New Roman" w:eastAsia="方正仿宋简体" w:cs="Times New Roman"/>
          <w:color w:val="auto"/>
          <w:sz w:val="32"/>
          <w:szCs w:val="32"/>
          <w:highlight w:val="none"/>
          <w:lang w:val="en-US" w:eastAsia="zh-CN"/>
        </w:rPr>
        <w:t>66</w:t>
      </w:r>
      <w:r>
        <w:rPr>
          <w:rFonts w:hint="default" w:ascii="Times New Roman" w:hAnsi="Times New Roman" w:eastAsia="方正仿宋简体" w:cs="Times New Roman"/>
          <w:color w:val="auto"/>
          <w:sz w:val="32"/>
          <w:szCs w:val="32"/>
          <w:highlight w:val="none"/>
        </w:rPr>
        <w:t>户，增长</w:t>
      </w:r>
      <w:r>
        <w:rPr>
          <w:rFonts w:hint="eastAsia" w:ascii="Times New Roman" w:hAnsi="Times New Roman" w:eastAsia="方正仿宋简体" w:cs="Times New Roman"/>
          <w:color w:val="auto"/>
          <w:sz w:val="32"/>
          <w:szCs w:val="32"/>
          <w:highlight w:val="none"/>
          <w:lang w:val="en-US" w:eastAsia="zh-CN"/>
        </w:rPr>
        <w:t>1.0</w:t>
      </w:r>
      <w:r>
        <w:rPr>
          <w:rFonts w:hint="default" w:ascii="Times New Roman" w:hAnsi="Times New Roman" w:eastAsia="方正仿宋简体" w:cs="Times New Roman"/>
          <w:color w:val="auto"/>
          <w:sz w:val="32"/>
          <w:szCs w:val="32"/>
          <w:highlight w:val="none"/>
        </w:rPr>
        <w:t>%；个体工商户</w:t>
      </w:r>
      <w:r>
        <w:rPr>
          <w:rFonts w:hint="eastAsia" w:ascii="Times New Roman" w:hAnsi="Times New Roman" w:eastAsia="方正仿宋简体" w:cs="Times New Roman"/>
          <w:color w:val="auto"/>
          <w:sz w:val="32"/>
          <w:szCs w:val="32"/>
          <w:highlight w:val="none"/>
          <w:lang w:val="en-US" w:eastAsia="zh-CN"/>
        </w:rPr>
        <w:t>18.12</w:t>
      </w:r>
      <w:r>
        <w:rPr>
          <w:rFonts w:hint="default" w:ascii="Times New Roman" w:hAnsi="Times New Roman" w:eastAsia="方正仿宋简体" w:cs="Times New Roman"/>
          <w:color w:val="auto"/>
          <w:sz w:val="32"/>
          <w:szCs w:val="32"/>
          <w:highlight w:val="none"/>
        </w:rPr>
        <w:t>万户，增长</w:t>
      </w:r>
      <w:r>
        <w:rPr>
          <w:rFonts w:hint="eastAsia" w:ascii="Times New Roman" w:hAnsi="Times New Roman" w:eastAsia="方正仿宋简体" w:cs="Times New Roman"/>
          <w:color w:val="auto"/>
          <w:sz w:val="32"/>
          <w:szCs w:val="32"/>
          <w:highlight w:val="none"/>
          <w:lang w:val="en-US" w:eastAsia="zh-CN"/>
        </w:rPr>
        <w:t>3.5</w:t>
      </w:r>
      <w:r>
        <w:rPr>
          <w:rFonts w:hint="default" w:ascii="Times New Roman" w:hAnsi="Times New Roman" w:eastAsia="方正仿宋简体" w:cs="Times New Roman"/>
          <w:color w:val="auto"/>
          <w:sz w:val="32"/>
          <w:szCs w:val="32"/>
          <w:highlight w:val="none"/>
        </w:rPr>
        <w:t>%；农民专业合作社0.</w:t>
      </w:r>
      <w:r>
        <w:rPr>
          <w:rFonts w:hint="eastAsia" w:ascii="Times New Roman" w:hAnsi="Times New Roman" w:eastAsia="方正仿宋简体" w:cs="Times New Roman"/>
          <w:color w:val="auto"/>
          <w:sz w:val="32"/>
          <w:szCs w:val="32"/>
          <w:highlight w:val="none"/>
          <w:lang w:val="en-US" w:eastAsia="zh-CN"/>
        </w:rPr>
        <w:t>38</w:t>
      </w:r>
      <w:r>
        <w:rPr>
          <w:rFonts w:hint="default" w:ascii="Times New Roman" w:hAnsi="Times New Roman" w:eastAsia="方正仿宋简体" w:cs="Times New Roman"/>
          <w:color w:val="auto"/>
          <w:sz w:val="32"/>
          <w:szCs w:val="32"/>
          <w:highlight w:val="none"/>
        </w:rPr>
        <w:t>万户，</w:t>
      </w:r>
      <w:r>
        <w:rPr>
          <w:rFonts w:hint="eastAsia" w:ascii="Times New Roman" w:hAnsi="Times New Roman" w:eastAsia="方正仿宋简体" w:cs="Times New Roman"/>
          <w:color w:val="auto"/>
          <w:sz w:val="32"/>
          <w:szCs w:val="32"/>
          <w:highlight w:val="none"/>
          <w:lang w:val="en-US" w:eastAsia="zh-CN"/>
        </w:rPr>
        <w:t>增长1.7</w:t>
      </w:r>
      <w:r>
        <w:rPr>
          <w:rFonts w:hint="default" w:ascii="Times New Roman" w:hAnsi="Times New Roman" w:eastAsia="方正仿宋简体" w:cs="Times New Roman"/>
          <w:color w:val="auto"/>
          <w:sz w:val="32"/>
          <w:szCs w:val="32"/>
          <w:highlight w:val="none"/>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color w:val="0000FF"/>
          <w:sz w:val="32"/>
          <w:szCs w:val="32"/>
          <w:highlight w:val="none"/>
        </w:rPr>
      </w:pPr>
      <w:r>
        <w:rPr>
          <w:rFonts w:hint="default" w:ascii="Times New Roman" w:hAnsi="Times New Roman" w:eastAsia="方正仿宋简体" w:cs="Times New Roman"/>
          <w:color w:val="auto"/>
          <w:sz w:val="32"/>
          <w:szCs w:val="32"/>
          <w:highlight w:val="none"/>
        </w:rPr>
        <w:t>全地区招商引资（新/续）项目</w:t>
      </w:r>
      <w:r>
        <w:rPr>
          <w:rFonts w:hint="eastAsia" w:ascii="Times New Roman" w:hAnsi="Times New Roman" w:eastAsia="方正仿宋简体" w:cs="Times New Roman"/>
          <w:color w:val="auto"/>
          <w:sz w:val="32"/>
          <w:szCs w:val="32"/>
          <w:highlight w:val="none"/>
          <w:lang w:val="en-US" w:eastAsia="zh-CN"/>
        </w:rPr>
        <w:t>493</w:t>
      </w:r>
      <w:r>
        <w:rPr>
          <w:rFonts w:hint="default" w:ascii="Times New Roman" w:hAnsi="Times New Roman" w:eastAsia="方正仿宋简体" w:cs="Times New Roman"/>
          <w:color w:val="auto"/>
          <w:sz w:val="32"/>
          <w:szCs w:val="32"/>
          <w:highlight w:val="none"/>
        </w:rPr>
        <w:t>个，比上年增长</w:t>
      </w:r>
      <w:r>
        <w:rPr>
          <w:rFonts w:hint="eastAsia" w:ascii="Times New Roman" w:hAnsi="Times New Roman" w:eastAsia="方正仿宋简体" w:cs="Times New Roman"/>
          <w:color w:val="auto"/>
          <w:sz w:val="32"/>
          <w:szCs w:val="32"/>
          <w:highlight w:val="none"/>
          <w:lang w:val="en-US" w:eastAsia="zh-CN"/>
        </w:rPr>
        <w:t>30.3</w:t>
      </w:r>
      <w:r>
        <w:rPr>
          <w:rFonts w:hint="default" w:ascii="Times New Roman" w:hAnsi="Times New Roman" w:eastAsia="方正仿宋简体" w:cs="Times New Roman"/>
          <w:color w:val="auto"/>
          <w:sz w:val="32"/>
          <w:szCs w:val="32"/>
          <w:highlight w:val="none"/>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黑体" w:cs="Times New Roman"/>
          <w:color w:val="auto"/>
          <w:sz w:val="32"/>
          <w:szCs w:val="32"/>
          <w:highlight w:val="none"/>
        </w:rPr>
      </w:pPr>
      <w:r>
        <w:rPr>
          <w:rFonts w:hint="default" w:ascii="Times New Roman" w:hAnsi="Times New Roman" w:eastAsia="黑体" w:cs="Times New Roman"/>
          <w:color w:val="auto"/>
          <w:sz w:val="32"/>
          <w:szCs w:val="32"/>
          <w:highlight w:val="none"/>
        </w:rPr>
        <w:t>十三、对口援助</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color w:val="0000FF"/>
        </w:rPr>
      </w:pPr>
      <w:r>
        <w:rPr>
          <w:rFonts w:hint="default" w:ascii="Times New Roman" w:hAnsi="Times New Roman" w:eastAsia="方正仿宋简体" w:cs="Times New Roman"/>
          <w:color w:val="auto"/>
          <w:sz w:val="32"/>
          <w:szCs w:val="32"/>
          <w:highlight w:val="none"/>
        </w:rPr>
        <w:t>全年北京市、天津市、安徽省共实施援疆项目</w:t>
      </w:r>
      <w:r>
        <w:rPr>
          <w:rFonts w:hint="eastAsia" w:ascii="Times New Roman" w:hAnsi="Times New Roman" w:eastAsia="方正仿宋简体" w:cs="Times New Roman"/>
          <w:color w:val="auto"/>
          <w:sz w:val="32"/>
          <w:szCs w:val="32"/>
          <w:highlight w:val="none"/>
          <w:lang w:val="en-US" w:eastAsia="zh-CN"/>
        </w:rPr>
        <w:t>339</w:t>
      </w:r>
      <w:r>
        <w:rPr>
          <w:rFonts w:hint="default" w:ascii="Times New Roman" w:hAnsi="Times New Roman" w:eastAsia="方正仿宋简体" w:cs="Times New Roman"/>
          <w:color w:val="auto"/>
          <w:sz w:val="32"/>
          <w:szCs w:val="32"/>
          <w:highlight w:val="none"/>
        </w:rPr>
        <w:t>个。</w:t>
      </w:r>
    </w:p>
    <w:p>
      <w:pPr>
        <w:keepNext w:val="0"/>
        <w:keepLines w:val="0"/>
        <w:pageBreakBefore w:val="0"/>
        <w:widowControl w:val="0"/>
        <w:shd w:val="clear"/>
        <w:kinsoku/>
        <w:wordWrap/>
        <w:overflowPunct/>
        <w:topLinePunct w:val="0"/>
        <w:autoSpaceDE/>
        <w:autoSpaceDN/>
        <w:bidi w:val="0"/>
        <w:adjustRightInd/>
        <w:snapToGrid/>
        <w:spacing w:line="560" w:lineRule="exact"/>
        <w:textAlignment w:val="auto"/>
        <w:rPr>
          <w:rFonts w:hint="eastAsia" w:ascii="黑体" w:hAnsi="黑体" w:eastAsia="黑体" w:cs="黑体"/>
          <w:b w:val="0"/>
          <w:bCs w:val="0"/>
          <w:color w:val="auto"/>
          <w:sz w:val="32"/>
          <w:szCs w:val="32"/>
          <w:highlight w:val="none"/>
        </w:rPr>
      </w:pPr>
      <w:bookmarkStart w:id="0" w:name="_GoBack"/>
      <w:bookmarkEnd w:id="0"/>
    </w:p>
    <w:p>
      <w:pPr>
        <w:keepNext w:val="0"/>
        <w:keepLines w:val="0"/>
        <w:pageBreakBefore w:val="0"/>
        <w:widowControl w:val="0"/>
        <w:shd w:val="clear"/>
        <w:kinsoku/>
        <w:wordWrap/>
        <w:overflowPunct/>
        <w:topLinePunct w:val="0"/>
        <w:autoSpaceDE/>
        <w:autoSpaceDN/>
        <w:bidi w:val="0"/>
        <w:adjustRightInd/>
        <w:snapToGrid/>
        <w:spacing w:line="560" w:lineRule="exact"/>
        <w:ind w:firstLine="320" w:firstLineChars="100"/>
        <w:textAlignment w:val="auto"/>
        <w:rPr>
          <w:rFonts w:hint="eastAsia" w:ascii="黑体" w:hAnsi="黑体" w:eastAsia="黑体" w:cs="黑体"/>
          <w:b w:val="0"/>
          <w:bCs w:val="0"/>
          <w:color w:val="auto"/>
          <w:sz w:val="32"/>
          <w:szCs w:val="32"/>
          <w:highlight w:val="none"/>
        </w:rPr>
      </w:pPr>
      <w:r>
        <w:rPr>
          <w:rFonts w:hint="eastAsia" w:ascii="黑体" w:hAnsi="黑体" w:eastAsia="黑体" w:cs="黑体"/>
          <w:b w:val="0"/>
          <w:bCs w:val="0"/>
          <w:color w:val="auto"/>
          <w:sz w:val="32"/>
          <w:szCs w:val="32"/>
          <w:highlight w:val="none"/>
        </w:rPr>
        <w:t>注释：</w:t>
      </w:r>
    </w:p>
    <w:p>
      <w:pPr>
        <w:pStyle w:val="10"/>
        <w:numPr>
          <w:ilvl w:val="0"/>
          <w:numId w:val="1"/>
        </w:numPr>
        <w:shd w:val="clear" w:color="auto"/>
        <w:spacing w:before="0" w:beforeAutospacing="0" w:after="0" w:afterAutospacing="0" w:line="320" w:lineRule="exact"/>
        <w:ind w:firstLine="460" w:firstLineChars="200"/>
        <w:jc w:val="both"/>
        <w:rPr>
          <w:rFonts w:hint="eastAsia" w:ascii="Tahoma" w:hAnsi="Tahoma" w:eastAsia="宋体" w:cs="Times New Roman"/>
          <w:color w:val="auto"/>
          <w:sz w:val="23"/>
          <w:highlight w:val="none"/>
        </w:rPr>
      </w:pPr>
      <w:r>
        <w:rPr>
          <w:rFonts w:hint="eastAsia" w:ascii="Tahoma" w:hAnsi="Tahoma" w:eastAsia="宋体" w:cs="Times New Roman"/>
          <w:color w:val="auto"/>
          <w:sz w:val="23"/>
          <w:highlight w:val="none"/>
        </w:rPr>
        <w:t>本公报中各项数据均为初步统计数</w:t>
      </w:r>
      <w:r>
        <w:rPr>
          <w:rFonts w:hint="eastAsia" w:ascii="Tahoma" w:hAnsi="Tahoma" w:eastAsia="宋体" w:cs="Times New Roman"/>
          <w:color w:val="auto"/>
          <w:sz w:val="23"/>
          <w:highlight w:val="none"/>
          <w:lang w:eastAsia="zh-CN"/>
        </w:rPr>
        <w:t>。</w:t>
      </w:r>
      <w:r>
        <w:rPr>
          <w:rFonts w:hint="eastAsia" w:ascii="Tahoma" w:hAnsi="Tahoma" w:eastAsia="宋体" w:cs="Times New Roman"/>
          <w:color w:val="auto"/>
          <w:sz w:val="23"/>
          <w:highlight w:val="none"/>
          <w:lang w:val="en-US" w:eastAsia="zh-CN"/>
        </w:rPr>
        <w:t>部分数据因四舍五入的原因，存在总计和分项合计不等的情况。</w:t>
      </w:r>
      <w:r>
        <w:rPr>
          <w:rFonts w:hint="eastAsia" w:ascii="Tahoma" w:hAnsi="Tahoma" w:eastAsia="宋体" w:cs="Times New Roman"/>
          <w:color w:val="auto"/>
          <w:sz w:val="23"/>
          <w:highlight w:val="none"/>
        </w:rPr>
        <w:t>正式数据以出版的《</w:t>
      </w:r>
      <w:r>
        <w:rPr>
          <w:rFonts w:hint="eastAsia" w:ascii="Tahoma" w:hAnsi="Tahoma" w:eastAsia="宋体" w:cs="Times New Roman"/>
          <w:color w:val="auto"/>
          <w:sz w:val="23"/>
          <w:highlight w:val="none"/>
          <w:lang w:val="en-US" w:eastAsia="zh-CN"/>
        </w:rPr>
        <w:t>2025年</w:t>
      </w:r>
      <w:r>
        <w:rPr>
          <w:rFonts w:hint="eastAsia" w:ascii="Tahoma" w:hAnsi="Tahoma" w:eastAsia="宋体" w:cs="Times New Roman"/>
          <w:color w:val="auto"/>
          <w:sz w:val="23"/>
          <w:highlight w:val="none"/>
        </w:rPr>
        <w:t>和田统计年鉴》为准。</w:t>
      </w:r>
    </w:p>
    <w:p>
      <w:pPr>
        <w:pStyle w:val="10"/>
        <w:numPr>
          <w:ilvl w:val="0"/>
          <w:numId w:val="0"/>
        </w:numPr>
        <w:shd w:val="clear" w:color="auto"/>
        <w:spacing w:before="0" w:beforeAutospacing="0" w:after="0" w:afterAutospacing="0" w:line="320" w:lineRule="exact"/>
        <w:ind w:firstLine="460" w:firstLineChars="200"/>
        <w:jc w:val="both"/>
        <w:rPr>
          <w:rFonts w:hint="default" w:ascii="Tahoma" w:hAnsi="Tahoma" w:eastAsia="宋体" w:cs="Times New Roman"/>
          <w:color w:val="auto"/>
          <w:sz w:val="23"/>
          <w:highlight w:val="none"/>
          <w:lang w:val="en-US" w:eastAsia="zh-CN"/>
        </w:rPr>
      </w:pPr>
      <w:r>
        <w:rPr>
          <w:rFonts w:hint="eastAsia" w:ascii="Tahoma" w:hAnsi="Tahoma" w:eastAsia="宋体" w:cs="Times New Roman"/>
          <w:color w:val="auto"/>
          <w:sz w:val="23"/>
          <w:highlight w:val="none"/>
        </w:rPr>
        <w:t>[2] 公报中地区生产总值</w:t>
      </w:r>
      <w:r>
        <w:rPr>
          <w:rFonts w:hint="eastAsia" w:ascii="Tahoma" w:hAnsi="Tahoma" w:eastAsia="宋体" w:cs="Times New Roman"/>
          <w:color w:val="auto"/>
          <w:sz w:val="23"/>
          <w:highlight w:val="none"/>
          <w:lang w:eastAsia="zh-CN"/>
        </w:rPr>
        <w:t>、</w:t>
      </w:r>
      <w:r>
        <w:rPr>
          <w:rFonts w:hint="eastAsia" w:ascii="Tahoma" w:hAnsi="Tahoma" w:eastAsia="宋体" w:cs="Times New Roman"/>
          <w:color w:val="auto"/>
          <w:sz w:val="23"/>
          <w:highlight w:val="none"/>
          <w:lang w:val="en-US" w:eastAsia="zh-CN"/>
        </w:rPr>
        <w:t>三次产业及相关行业增加值和人均生产总值绝对数按现价计算，</w:t>
      </w:r>
      <w:r>
        <w:rPr>
          <w:rFonts w:hint="eastAsia" w:ascii="Tahoma" w:hAnsi="Tahoma" w:eastAsia="宋体" w:cs="Times New Roman"/>
          <w:color w:val="auto"/>
          <w:sz w:val="23"/>
          <w:highlight w:val="none"/>
        </w:rPr>
        <w:t>增长速度按可比价格计算。根据第五次全国经济普查结果</w:t>
      </w:r>
      <w:r>
        <w:rPr>
          <w:rFonts w:hint="eastAsia" w:ascii="Tahoma" w:hAnsi="Tahoma" w:eastAsia="宋体" w:cs="Times New Roman"/>
          <w:color w:val="auto"/>
          <w:sz w:val="23"/>
          <w:highlight w:val="none"/>
          <w:lang w:val="en-US" w:eastAsia="zh-CN"/>
        </w:rPr>
        <w:t>对地区生产总值、三次产业及相关行业增加值和人均地区生产总值等历史数据进行了修订。</w:t>
      </w:r>
    </w:p>
    <w:p>
      <w:pPr>
        <w:pStyle w:val="10"/>
        <w:shd w:val="clear" w:color="auto"/>
        <w:spacing w:before="0" w:beforeAutospacing="0" w:after="0" w:afterAutospacing="0" w:line="320" w:lineRule="exact"/>
        <w:ind w:firstLine="460" w:firstLineChars="200"/>
        <w:jc w:val="both"/>
        <w:rPr>
          <w:rFonts w:hint="eastAsia" w:ascii="Tahoma" w:hAnsi="Tahoma" w:eastAsia="宋体" w:cs="Times New Roman"/>
          <w:color w:val="auto"/>
          <w:sz w:val="23"/>
          <w:highlight w:val="none"/>
        </w:rPr>
      </w:pPr>
      <w:r>
        <w:rPr>
          <w:rFonts w:hint="eastAsia" w:ascii="Tahoma" w:hAnsi="Tahoma" w:eastAsia="宋体" w:cs="Times New Roman"/>
          <w:color w:val="auto"/>
          <w:sz w:val="23"/>
          <w:highlight w:val="none"/>
        </w:rPr>
        <w:t>[3]</w:t>
      </w:r>
      <w:r>
        <w:rPr>
          <w:rFonts w:hint="eastAsia" w:ascii="Tahoma" w:hAnsi="Tahoma" w:eastAsia="宋体" w:cs="Times New Roman"/>
          <w:color w:val="auto"/>
          <w:sz w:val="23"/>
          <w:highlight w:val="none"/>
          <w:lang w:val="en-US" w:eastAsia="zh-CN"/>
        </w:rPr>
        <w:t xml:space="preserve"> </w:t>
      </w:r>
      <w:r>
        <w:rPr>
          <w:rFonts w:hint="eastAsia" w:ascii="Tahoma" w:hAnsi="Tahoma" w:eastAsia="宋体" w:cs="Times New Roman"/>
          <w:color w:val="auto"/>
          <w:sz w:val="23"/>
          <w:highlight w:val="none"/>
        </w:rPr>
        <w:t>为规范指标名称，将往年公报中的出游人数、旅游人数、旅游者统一为游客。</w:t>
      </w:r>
    </w:p>
    <w:p>
      <w:pPr>
        <w:pStyle w:val="10"/>
        <w:shd w:val="clear" w:color="auto"/>
        <w:spacing w:before="0" w:beforeAutospacing="0" w:after="0" w:afterAutospacing="0" w:line="320" w:lineRule="exact"/>
        <w:ind w:firstLine="460" w:firstLineChars="200"/>
        <w:jc w:val="both"/>
        <w:rPr>
          <w:rFonts w:hint="eastAsia" w:ascii="Tahoma" w:hAnsi="Tahoma" w:eastAsia="宋体" w:cs="Times New Roman"/>
          <w:color w:val="auto"/>
          <w:sz w:val="23"/>
          <w:highlight w:val="none"/>
        </w:rPr>
      </w:pPr>
      <w:r>
        <w:rPr>
          <w:rFonts w:hint="eastAsia" w:ascii="Tahoma" w:hAnsi="Tahoma" w:eastAsia="宋体" w:cs="Times New Roman"/>
          <w:color w:val="auto"/>
          <w:sz w:val="23"/>
          <w:highlight w:val="none"/>
        </w:rPr>
        <w:t>[</w:t>
      </w:r>
      <w:r>
        <w:rPr>
          <w:rFonts w:hint="eastAsia" w:ascii="Tahoma" w:hAnsi="Tahoma" w:eastAsia="宋体" w:cs="Times New Roman"/>
          <w:color w:val="auto"/>
          <w:sz w:val="23"/>
          <w:highlight w:val="none"/>
          <w:lang w:val="en-US" w:eastAsia="zh-CN"/>
        </w:rPr>
        <w:t>4</w:t>
      </w:r>
      <w:r>
        <w:rPr>
          <w:rFonts w:hint="eastAsia" w:ascii="Tahoma" w:hAnsi="Tahoma" w:eastAsia="宋体" w:cs="Times New Roman"/>
          <w:color w:val="auto"/>
          <w:sz w:val="23"/>
          <w:highlight w:val="none"/>
        </w:rPr>
        <w:t>] 自2013年</w:t>
      </w:r>
      <w:r>
        <w:rPr>
          <w:rFonts w:hint="eastAsia" w:ascii="Tahoma" w:hAnsi="Tahoma" w:eastAsia="宋体" w:cs="Times New Roman"/>
          <w:color w:val="auto"/>
          <w:sz w:val="23"/>
          <w:highlight w:val="none"/>
          <w:lang w:eastAsia="zh-CN"/>
        </w:rPr>
        <w:t>起</w:t>
      </w:r>
      <w:r>
        <w:rPr>
          <w:rFonts w:hint="eastAsia" w:ascii="Tahoma" w:hAnsi="Tahoma" w:eastAsia="宋体" w:cs="Times New Roman"/>
          <w:color w:val="auto"/>
          <w:sz w:val="23"/>
          <w:highlight w:val="none"/>
        </w:rPr>
        <w:t>，基础设施行业范围调整为以下行业：铁路运输业，道路运输业，城市公共交通业，航空运输业，水上运输业，管道运输业，邮政业，电信、广播电视和卫星传输服务业，互联网和相关服务业，水利管理业，环境管理业，市政公共设施管理业。</w:t>
      </w:r>
    </w:p>
    <w:p>
      <w:pPr>
        <w:pStyle w:val="10"/>
        <w:shd w:val="clear" w:color="auto"/>
        <w:spacing w:before="0" w:beforeAutospacing="0" w:after="0" w:afterAutospacing="0" w:line="320" w:lineRule="exact"/>
        <w:ind w:firstLine="460" w:firstLineChars="200"/>
        <w:jc w:val="both"/>
        <w:rPr>
          <w:rFonts w:hint="eastAsia" w:ascii="Tahoma" w:hAnsi="Tahoma" w:eastAsia="宋体" w:cs="Times New Roman"/>
          <w:color w:val="auto"/>
          <w:sz w:val="23"/>
          <w:highlight w:val="none"/>
        </w:rPr>
      </w:pPr>
      <w:r>
        <w:rPr>
          <w:rFonts w:hint="eastAsia" w:ascii="Tahoma" w:hAnsi="Tahoma" w:eastAsia="宋体" w:cs="Times New Roman"/>
          <w:color w:val="auto"/>
          <w:sz w:val="23"/>
          <w:highlight w:val="none"/>
        </w:rPr>
        <w:t>[</w:t>
      </w:r>
      <w:r>
        <w:rPr>
          <w:rFonts w:hint="eastAsia" w:ascii="Tahoma" w:hAnsi="Tahoma" w:eastAsia="宋体" w:cs="Times New Roman"/>
          <w:color w:val="auto"/>
          <w:sz w:val="23"/>
          <w:highlight w:val="none"/>
          <w:lang w:val="en-US" w:eastAsia="zh-CN"/>
        </w:rPr>
        <w:t>5</w:t>
      </w:r>
      <w:r>
        <w:rPr>
          <w:rFonts w:hint="eastAsia" w:ascii="Tahoma" w:hAnsi="Tahoma" w:eastAsia="宋体" w:cs="Times New Roman"/>
          <w:color w:val="auto"/>
          <w:sz w:val="23"/>
          <w:highlight w:val="none"/>
        </w:rPr>
        <w:t>] 原保险保费收入是指保险企业确认的原保险合同保费收入。</w:t>
      </w:r>
    </w:p>
    <w:p>
      <w:pPr>
        <w:pStyle w:val="10"/>
        <w:shd w:val="clear" w:color="auto"/>
        <w:spacing w:before="0" w:beforeAutospacing="0" w:after="0" w:afterAutospacing="0" w:line="320" w:lineRule="exact"/>
        <w:ind w:firstLine="460" w:firstLineChars="200"/>
        <w:jc w:val="both"/>
        <w:rPr>
          <w:rFonts w:hint="eastAsia" w:ascii="Tahoma" w:hAnsi="Tahoma" w:eastAsia="宋体" w:cs="Times New Roman"/>
          <w:color w:val="auto"/>
          <w:sz w:val="23"/>
          <w:highlight w:val="none"/>
        </w:rPr>
      </w:pPr>
      <w:r>
        <w:rPr>
          <w:rFonts w:hint="eastAsia" w:ascii="Tahoma" w:hAnsi="Tahoma" w:eastAsia="宋体" w:cs="Times New Roman"/>
          <w:color w:val="auto"/>
          <w:sz w:val="23"/>
          <w:highlight w:val="none"/>
        </w:rPr>
        <w:t>[</w:t>
      </w:r>
      <w:r>
        <w:rPr>
          <w:rFonts w:hint="eastAsia" w:ascii="Tahoma" w:hAnsi="Tahoma" w:eastAsia="宋体" w:cs="Times New Roman"/>
          <w:color w:val="auto"/>
          <w:sz w:val="23"/>
          <w:highlight w:val="none"/>
          <w:lang w:val="en-US" w:eastAsia="zh-CN"/>
        </w:rPr>
        <w:t>6</w:t>
      </w:r>
      <w:r>
        <w:rPr>
          <w:rFonts w:hint="eastAsia" w:ascii="Tahoma" w:hAnsi="Tahoma" w:eastAsia="宋体" w:cs="Times New Roman"/>
          <w:color w:val="auto"/>
          <w:sz w:val="23"/>
          <w:highlight w:val="none"/>
        </w:rPr>
        <w:t>] 按照国家统计局的统一部署，2012年12月起实施了城乡一体化住户调查改革，统一了城乡居民收入名称、分类和统计标准，在此基础上，计算了城乡可比的新口径全地区居民人均可支配收入。最终数据由国家统计局新疆调查总队和自治区统计局联合测算反馈。</w:t>
      </w:r>
    </w:p>
    <w:p>
      <w:pPr>
        <w:pStyle w:val="10"/>
        <w:shd w:val="clear" w:color="auto"/>
        <w:spacing w:before="0" w:beforeAutospacing="0" w:after="0" w:afterAutospacing="0" w:line="320" w:lineRule="exact"/>
        <w:ind w:firstLine="460" w:firstLineChars="200"/>
        <w:jc w:val="both"/>
        <w:rPr>
          <w:rFonts w:hint="eastAsia" w:ascii="Tahoma" w:hAnsi="Tahoma" w:eastAsia="宋体" w:cs="Times New Roman"/>
          <w:color w:val="auto"/>
          <w:sz w:val="23"/>
          <w:highlight w:val="none"/>
        </w:rPr>
      </w:pPr>
      <w:r>
        <w:rPr>
          <w:rFonts w:hint="eastAsia" w:ascii="Tahoma" w:hAnsi="Tahoma" w:eastAsia="宋体" w:cs="Times New Roman"/>
          <w:color w:val="auto"/>
          <w:sz w:val="23"/>
          <w:highlight w:val="none"/>
        </w:rPr>
        <w:t>资料来源：本公报中主要经济指标数据来源于地区统计局；粮食产量、畜牧产量、各种价格指数来自于国家统计局和田调查队；农业机械总动力、农用拖拉机、农用运输车数据来自于农业农村局；灌溉面积、节水面积数据来自地区水利局；进出口数据来自和田海关；民营企业、个体工商户数据来自地区市场监督管理局；招商到位资金数据来自地区商务局；公路客货运量及公路线路年末营业里程数据来自地区交通运输局；机场客、货运吞吐量来自新疆（机场）集团有限公司和田机场；</w:t>
      </w:r>
      <w:r>
        <w:rPr>
          <w:rFonts w:hint="eastAsia" w:ascii="Tahoma" w:hAnsi="Tahoma" w:eastAsia="宋体" w:cs="Times New Roman"/>
          <w:color w:val="auto"/>
          <w:sz w:val="23"/>
          <w:highlight w:val="none"/>
          <w:lang w:val="en-US" w:eastAsia="zh-CN"/>
        </w:rPr>
        <w:t>火车</w:t>
      </w:r>
      <w:r>
        <w:rPr>
          <w:rFonts w:hint="eastAsia" w:ascii="Tahoma" w:hAnsi="Tahoma" w:eastAsia="宋体" w:cs="Times New Roman"/>
          <w:color w:val="auto"/>
          <w:sz w:val="23"/>
          <w:highlight w:val="none"/>
        </w:rPr>
        <w:t>客、货运吞吐量来自</w:t>
      </w:r>
      <w:r>
        <w:rPr>
          <w:rFonts w:hint="eastAsia" w:ascii="Tahoma" w:hAnsi="Tahoma" w:eastAsia="宋体" w:cs="Times New Roman"/>
          <w:color w:val="auto"/>
          <w:sz w:val="23"/>
          <w:highlight w:val="none"/>
          <w:lang w:val="en-US" w:eastAsia="zh-CN"/>
        </w:rPr>
        <w:t>和田火车站；</w:t>
      </w:r>
      <w:r>
        <w:rPr>
          <w:rFonts w:hint="eastAsia" w:ascii="Tahoma" w:hAnsi="Tahoma" w:eastAsia="宋体" w:cs="Times New Roman"/>
          <w:color w:val="auto"/>
          <w:sz w:val="23"/>
          <w:highlight w:val="none"/>
        </w:rPr>
        <w:t>民用汽车数据来自地区公安局；邮政业务数据来自和田邮政管理局；电信业务数据、本地固定电话用户、移动电话用户、电话普及率、互联网用户数据来自中国移动、中国联通和中国电信和田分公司；财政数据来自地区财政局；金融数据来自中国人民银行和田</w:t>
      </w:r>
      <w:r>
        <w:rPr>
          <w:rFonts w:hint="eastAsia" w:ascii="Tahoma" w:hAnsi="Tahoma" w:eastAsia="宋体" w:cs="Times New Roman"/>
          <w:color w:val="auto"/>
          <w:sz w:val="23"/>
          <w:highlight w:val="none"/>
          <w:lang w:val="en-US" w:eastAsia="zh-CN"/>
        </w:rPr>
        <w:t>地区分行</w:t>
      </w:r>
      <w:r>
        <w:rPr>
          <w:rFonts w:hint="eastAsia" w:ascii="Tahoma" w:hAnsi="Tahoma" w:eastAsia="宋体" w:cs="Times New Roman"/>
          <w:color w:val="auto"/>
          <w:sz w:val="23"/>
          <w:highlight w:val="none"/>
        </w:rPr>
        <w:t>；保费收入、全年赔付数据来自地区</w:t>
      </w:r>
      <w:r>
        <w:rPr>
          <w:rFonts w:hint="eastAsia" w:ascii="Tahoma" w:hAnsi="Tahoma" w:eastAsia="宋体" w:cs="Times New Roman"/>
          <w:color w:val="auto"/>
          <w:sz w:val="23"/>
          <w:highlight w:val="none"/>
          <w:lang w:val="en-US" w:eastAsia="zh-CN"/>
        </w:rPr>
        <w:t>银保监分局</w:t>
      </w:r>
      <w:r>
        <w:rPr>
          <w:rFonts w:hint="eastAsia" w:ascii="Tahoma" w:hAnsi="Tahoma" w:eastAsia="宋体" w:cs="Times New Roman"/>
          <w:color w:val="auto"/>
          <w:sz w:val="23"/>
          <w:highlight w:val="none"/>
        </w:rPr>
        <w:t>；教育数据来自地区教育局；实施重大科技专项、申请专利数据来自地区科技局；艺术表演团体、文化馆、公共图书馆、博物馆、国家级非物质文化遗产名录、体育比赛、广播台、转播台、电视台、有线电视用户、广播电视覆盖率数据来自地区文化体育广播电视和旅游局；期刊、报纸出版数据来自和田</w:t>
      </w:r>
      <w:r>
        <w:rPr>
          <w:rFonts w:hint="eastAsia" w:ascii="Tahoma" w:hAnsi="Tahoma" w:eastAsia="宋体" w:cs="Times New Roman"/>
          <w:color w:val="auto"/>
          <w:sz w:val="23"/>
          <w:highlight w:val="none"/>
          <w:lang w:val="en-US" w:eastAsia="zh-CN"/>
        </w:rPr>
        <w:t>融媒体中心</w:t>
      </w:r>
      <w:r>
        <w:rPr>
          <w:rFonts w:hint="eastAsia" w:ascii="Tahoma" w:hAnsi="Tahoma" w:eastAsia="宋体" w:cs="Times New Roman"/>
          <w:color w:val="auto"/>
          <w:sz w:val="23"/>
          <w:highlight w:val="none"/>
        </w:rPr>
        <w:t>；医疗卫生数据来自地区卫生健康委员会；城镇</w:t>
      </w:r>
      <w:r>
        <w:rPr>
          <w:rFonts w:hint="eastAsia" w:ascii="Tahoma" w:hAnsi="Tahoma" w:eastAsia="宋体" w:cs="Times New Roman"/>
          <w:color w:val="auto"/>
          <w:sz w:val="23"/>
          <w:highlight w:val="none"/>
          <w:lang w:val="en-US" w:eastAsia="zh-CN"/>
        </w:rPr>
        <w:t>和农村</w:t>
      </w:r>
      <w:r>
        <w:rPr>
          <w:rFonts w:hint="eastAsia" w:ascii="Tahoma" w:hAnsi="Tahoma" w:eastAsia="宋体" w:cs="Times New Roman"/>
          <w:color w:val="auto"/>
          <w:sz w:val="23"/>
          <w:highlight w:val="none"/>
        </w:rPr>
        <w:t>居民可支配收入数据来自国家统计局和田调查队；城镇新增就业再就业、参加城镇养老、医疗、失业保险数据来自地区人力资源和社会保障局；医疗保险数据来源于地区医疗保障局；残疾人事业数据来自地区残疾人联合会；环保状况、空气状况数据来自地区生态环境局；全社会用电量数据来源于国网和田供电公司；对口援助数据来源于</w:t>
      </w:r>
      <w:r>
        <w:rPr>
          <w:rFonts w:hint="eastAsia" w:ascii="Tahoma" w:hAnsi="Tahoma" w:eastAsia="宋体" w:cs="Times New Roman"/>
          <w:color w:val="auto"/>
          <w:sz w:val="23"/>
          <w:highlight w:val="none"/>
          <w:lang w:val="en-US" w:eastAsia="zh-CN"/>
        </w:rPr>
        <w:t>地区</w:t>
      </w:r>
      <w:r>
        <w:rPr>
          <w:rFonts w:hint="eastAsia" w:ascii="Tahoma" w:hAnsi="Tahoma" w:eastAsia="宋体" w:cs="Times New Roman"/>
          <w:color w:val="auto"/>
          <w:sz w:val="23"/>
          <w:highlight w:val="none"/>
        </w:rPr>
        <w:t>发改委。</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7A"/>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仿宋简体">
    <w:altName w:val="方正仿宋_GBK"/>
    <w:panose1 w:val="02000000000000000000"/>
    <w:charset w:val="86"/>
    <w:family w:val="script"/>
    <w:pitch w:val="default"/>
    <w:sig w:usb0="00000000" w:usb1="00000000" w:usb2="00000012" w:usb3="00000000" w:csb0="00040001" w:csb1="00000000"/>
  </w:font>
  <w:font w:name="Tahoma">
    <w:altName w:val="Droid Sans"/>
    <w:panose1 w:val="020B0604030504040204"/>
    <w:charset w:val="00"/>
    <w:family w:val="swiss"/>
    <w:pitch w:val="default"/>
    <w:sig w:usb0="00000000" w:usb1="00000000" w:usb2="00000029" w:usb3="00000000" w:csb0="200101FF" w:csb1="20280000"/>
  </w:font>
  <w:font w:name="仿宋_GB2312">
    <w:panose1 w:val="02010609030101010101"/>
    <w:charset w:val="86"/>
    <w:family w:val="auto"/>
    <w:pitch w:val="default"/>
    <w:sig w:usb0="00000001" w:usb1="080E0000" w:usb2="00000000" w:usb3="00000000" w:csb0="00040000" w:csb1="00000000"/>
  </w:font>
  <w:font w:name="方正仿宋_GBK">
    <w:panose1 w:val="02000000000000000000"/>
    <w:charset w:val="86"/>
    <w:family w:val="script"/>
    <w:pitch w:val="default"/>
    <w:sig w:usb0="00000001" w:usb1="08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 w:name="方正宋体S-超大字符集">
    <w:panose1 w:val="02000000000000000000"/>
    <w:charset w:val="86"/>
    <w:family w:val="auto"/>
    <w:pitch w:val="default"/>
    <w:sig w:usb0="00000001" w:usb1="08000000" w:usb2="00000000" w:usb3="00000000" w:csb0="00040000" w:csb1="00000000"/>
  </w:font>
  <w:font w:name="Droid Sans">
    <w:panose1 w:val="020B0606030804020204"/>
    <w:charset w:val="00"/>
    <w:family w:val="auto"/>
    <w:pitch w:val="default"/>
    <w:sig w:usb0="E00002EF" w:usb1="4000205B" w:usb2="00000028" w:usb3="00000000" w:csb0="2000019F" w:csb1="00000000"/>
  </w:font>
  <w:font w:name="Calibri Light">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Theme="minorEastAsia"/>
                              <w:lang w:eastAsia="zh-CN"/>
                            </w:rPr>
                          </w:pPr>
                          <w:r>
                            <w:rPr>
                              <w:rFonts w:hint="eastAsia" w:asciiTheme="minorEastAsia" w:hAnsiTheme="minorEastAsia" w:cstheme="minorEastAsia"/>
                              <w:sz w:val="28"/>
                              <w:szCs w:val="44"/>
                              <w:lang w:eastAsia="zh-CN"/>
                            </w:rPr>
                            <w:t>—</w:t>
                          </w:r>
                          <w:r>
                            <w:rPr>
                              <w:rFonts w:hint="eastAsia" w:asciiTheme="minorEastAsia" w:hAnsiTheme="minorEastAsia" w:eastAsiaTheme="minorEastAsia" w:cstheme="minorEastAsia"/>
                              <w:sz w:val="28"/>
                              <w:szCs w:val="44"/>
                              <w:lang w:eastAsia="zh-CN"/>
                            </w:rPr>
                            <w:fldChar w:fldCharType="begin"/>
                          </w:r>
                          <w:r>
                            <w:rPr>
                              <w:rFonts w:hint="eastAsia" w:asciiTheme="minorEastAsia" w:hAnsiTheme="minorEastAsia" w:eastAsiaTheme="minorEastAsia" w:cstheme="minorEastAsia"/>
                              <w:sz w:val="28"/>
                              <w:szCs w:val="44"/>
                              <w:lang w:eastAsia="zh-CN"/>
                            </w:rPr>
                            <w:instrText xml:space="preserve"> PAGE  \* MERGEFORMAT </w:instrText>
                          </w:r>
                          <w:r>
                            <w:rPr>
                              <w:rFonts w:hint="eastAsia" w:asciiTheme="minorEastAsia" w:hAnsiTheme="minorEastAsia" w:eastAsiaTheme="minorEastAsia" w:cstheme="minorEastAsia"/>
                              <w:sz w:val="28"/>
                              <w:szCs w:val="44"/>
                              <w:lang w:eastAsia="zh-CN"/>
                            </w:rPr>
                            <w:fldChar w:fldCharType="separate"/>
                          </w:r>
                          <w:r>
                            <w:rPr>
                              <w:rFonts w:hint="eastAsia" w:asciiTheme="minorEastAsia" w:hAnsiTheme="minorEastAsia" w:eastAsiaTheme="minorEastAsia" w:cstheme="minorEastAsia"/>
                              <w:sz w:val="28"/>
                              <w:szCs w:val="44"/>
                              <w:lang w:eastAsia="zh-CN"/>
                            </w:rPr>
                            <w:t>1</w:t>
                          </w:r>
                          <w:r>
                            <w:rPr>
                              <w:rFonts w:hint="eastAsia" w:asciiTheme="minorEastAsia" w:hAnsiTheme="minorEastAsia" w:eastAsiaTheme="minorEastAsia" w:cstheme="minorEastAsia"/>
                              <w:sz w:val="28"/>
                              <w:szCs w:val="44"/>
                              <w:lang w:eastAsia="zh-CN"/>
                            </w:rPr>
                            <w:fldChar w:fldCharType="end"/>
                          </w:r>
                          <w:r>
                            <w:rPr>
                              <w:rFonts w:hint="eastAsia" w:asciiTheme="minorEastAsia" w:hAnsiTheme="minorEastAsia" w:cstheme="minorEastAsia"/>
                              <w:sz w:val="28"/>
                              <w:szCs w:val="44"/>
                              <w:lang w:eastAsia="zh-CN"/>
                            </w:rPr>
                            <w:t>—</w:t>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FgAAAGRycy9QSwECFAAUAAAA&#10;CACHTuJAs0lY7tAAAAAFAQAADwAAAAAAAAABACAAAAA4AAAAZHJzL2Rvd25yZXYueG1sUEsBAhQA&#10;FAAAAAgAh07iQMqBTIMdAgAAKwQAAA4AAAAAAAAAAQAgAAAANQEAAGRycy9lMm9Eb2MueG1sUEsF&#10;BgAAAAAGAAYAWQEAAMQFAAAAAA==&#10;">
              <v:fill on="f" focussize="0,0"/>
              <v:stroke on="f" weight="0.5pt"/>
              <v:imagedata o:title=""/>
              <o:lock v:ext="edit" aspectratio="f"/>
              <v:textbox inset="0mm,0mm,0mm,0mm" style="mso-fit-shape-to-text:t;">
                <w:txbxContent>
                  <w:p>
                    <w:pPr>
                      <w:pStyle w:val="2"/>
                      <w:rPr>
                        <w:rFonts w:hint="eastAsia" w:eastAsiaTheme="minorEastAsia"/>
                        <w:lang w:eastAsia="zh-CN"/>
                      </w:rPr>
                    </w:pPr>
                    <w:r>
                      <w:rPr>
                        <w:rFonts w:hint="eastAsia" w:asciiTheme="minorEastAsia" w:hAnsiTheme="minorEastAsia" w:cstheme="minorEastAsia"/>
                        <w:sz w:val="28"/>
                        <w:szCs w:val="44"/>
                        <w:lang w:eastAsia="zh-CN"/>
                      </w:rPr>
                      <w:t>—</w:t>
                    </w:r>
                    <w:r>
                      <w:rPr>
                        <w:rFonts w:hint="eastAsia" w:asciiTheme="minorEastAsia" w:hAnsiTheme="minorEastAsia" w:eastAsiaTheme="minorEastAsia" w:cstheme="minorEastAsia"/>
                        <w:sz w:val="28"/>
                        <w:szCs w:val="44"/>
                        <w:lang w:eastAsia="zh-CN"/>
                      </w:rPr>
                      <w:fldChar w:fldCharType="begin"/>
                    </w:r>
                    <w:r>
                      <w:rPr>
                        <w:rFonts w:hint="eastAsia" w:asciiTheme="minorEastAsia" w:hAnsiTheme="minorEastAsia" w:eastAsiaTheme="minorEastAsia" w:cstheme="minorEastAsia"/>
                        <w:sz w:val="28"/>
                        <w:szCs w:val="44"/>
                        <w:lang w:eastAsia="zh-CN"/>
                      </w:rPr>
                      <w:instrText xml:space="preserve"> PAGE  \* MERGEFORMAT </w:instrText>
                    </w:r>
                    <w:r>
                      <w:rPr>
                        <w:rFonts w:hint="eastAsia" w:asciiTheme="minorEastAsia" w:hAnsiTheme="minorEastAsia" w:eastAsiaTheme="minorEastAsia" w:cstheme="minorEastAsia"/>
                        <w:sz w:val="28"/>
                        <w:szCs w:val="44"/>
                        <w:lang w:eastAsia="zh-CN"/>
                      </w:rPr>
                      <w:fldChar w:fldCharType="separate"/>
                    </w:r>
                    <w:r>
                      <w:rPr>
                        <w:rFonts w:hint="eastAsia" w:asciiTheme="minorEastAsia" w:hAnsiTheme="minorEastAsia" w:eastAsiaTheme="minorEastAsia" w:cstheme="minorEastAsia"/>
                        <w:sz w:val="28"/>
                        <w:szCs w:val="44"/>
                        <w:lang w:eastAsia="zh-CN"/>
                      </w:rPr>
                      <w:t>1</w:t>
                    </w:r>
                    <w:r>
                      <w:rPr>
                        <w:rFonts w:hint="eastAsia" w:asciiTheme="minorEastAsia" w:hAnsiTheme="minorEastAsia" w:eastAsiaTheme="minorEastAsia" w:cstheme="minorEastAsia"/>
                        <w:sz w:val="28"/>
                        <w:szCs w:val="44"/>
                        <w:lang w:eastAsia="zh-CN"/>
                      </w:rPr>
                      <w:fldChar w:fldCharType="end"/>
                    </w:r>
                    <w:r>
                      <w:rPr>
                        <w:rFonts w:hint="eastAsia" w:asciiTheme="minorEastAsia" w:hAnsiTheme="minorEastAsia" w:cstheme="minorEastAsia"/>
                        <w:sz w:val="28"/>
                        <w:szCs w:val="44"/>
                        <w:lang w:eastAsia="zh-CN"/>
                      </w:rPr>
                      <w:t>—</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17B673"/>
    <w:multiLevelType w:val="singleLevel"/>
    <w:tmpl w:val="1817B67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4F19C2"/>
    <w:rsid w:val="005E7996"/>
    <w:rsid w:val="006B0405"/>
    <w:rsid w:val="00735173"/>
    <w:rsid w:val="007853B4"/>
    <w:rsid w:val="008760ED"/>
    <w:rsid w:val="00A353F6"/>
    <w:rsid w:val="00A70B4D"/>
    <w:rsid w:val="00B63441"/>
    <w:rsid w:val="00B730C0"/>
    <w:rsid w:val="00C02C19"/>
    <w:rsid w:val="00ED0CBC"/>
    <w:rsid w:val="01134DC2"/>
    <w:rsid w:val="01142887"/>
    <w:rsid w:val="01281B54"/>
    <w:rsid w:val="014F3CE4"/>
    <w:rsid w:val="015013B2"/>
    <w:rsid w:val="016F5B9A"/>
    <w:rsid w:val="017A6FC1"/>
    <w:rsid w:val="01A251C9"/>
    <w:rsid w:val="01B03FCF"/>
    <w:rsid w:val="01B31FD7"/>
    <w:rsid w:val="01BF14DB"/>
    <w:rsid w:val="01BF6AC7"/>
    <w:rsid w:val="01ED432D"/>
    <w:rsid w:val="02024D6B"/>
    <w:rsid w:val="02551B85"/>
    <w:rsid w:val="0271467D"/>
    <w:rsid w:val="02A61ED8"/>
    <w:rsid w:val="02BD3393"/>
    <w:rsid w:val="02F13241"/>
    <w:rsid w:val="02F82177"/>
    <w:rsid w:val="03155EFC"/>
    <w:rsid w:val="032D1844"/>
    <w:rsid w:val="03406A6B"/>
    <w:rsid w:val="03575C84"/>
    <w:rsid w:val="03840EDF"/>
    <w:rsid w:val="03C87184"/>
    <w:rsid w:val="04E637E2"/>
    <w:rsid w:val="05232723"/>
    <w:rsid w:val="053736E6"/>
    <w:rsid w:val="05564CC5"/>
    <w:rsid w:val="05816751"/>
    <w:rsid w:val="05BF0B30"/>
    <w:rsid w:val="05D66BF9"/>
    <w:rsid w:val="05FD5D52"/>
    <w:rsid w:val="05FF12E2"/>
    <w:rsid w:val="06067044"/>
    <w:rsid w:val="063A6DCF"/>
    <w:rsid w:val="067C6ECF"/>
    <w:rsid w:val="06902746"/>
    <w:rsid w:val="06A263BE"/>
    <w:rsid w:val="06A72C92"/>
    <w:rsid w:val="06EB2EDD"/>
    <w:rsid w:val="06F829F5"/>
    <w:rsid w:val="06F87AF4"/>
    <w:rsid w:val="073455A1"/>
    <w:rsid w:val="07392D94"/>
    <w:rsid w:val="07481042"/>
    <w:rsid w:val="074F19C2"/>
    <w:rsid w:val="078C6E58"/>
    <w:rsid w:val="078E780D"/>
    <w:rsid w:val="07B44A77"/>
    <w:rsid w:val="07BA0E43"/>
    <w:rsid w:val="07C23D98"/>
    <w:rsid w:val="07D65497"/>
    <w:rsid w:val="07E30570"/>
    <w:rsid w:val="07F615C4"/>
    <w:rsid w:val="0816150D"/>
    <w:rsid w:val="082D18F6"/>
    <w:rsid w:val="083D2FE7"/>
    <w:rsid w:val="0855692B"/>
    <w:rsid w:val="08773D11"/>
    <w:rsid w:val="087A6A26"/>
    <w:rsid w:val="087F6BF6"/>
    <w:rsid w:val="08B24CC0"/>
    <w:rsid w:val="08F05512"/>
    <w:rsid w:val="094540F1"/>
    <w:rsid w:val="095161D6"/>
    <w:rsid w:val="096473F5"/>
    <w:rsid w:val="09681292"/>
    <w:rsid w:val="09B10DB4"/>
    <w:rsid w:val="09B2477A"/>
    <w:rsid w:val="09DB038D"/>
    <w:rsid w:val="09F662A5"/>
    <w:rsid w:val="0A005042"/>
    <w:rsid w:val="0A035C8F"/>
    <w:rsid w:val="0A1656A7"/>
    <w:rsid w:val="0A6027A4"/>
    <w:rsid w:val="0A6F0286"/>
    <w:rsid w:val="0A944AC3"/>
    <w:rsid w:val="0AA12680"/>
    <w:rsid w:val="0ADC0C2B"/>
    <w:rsid w:val="0AFA445D"/>
    <w:rsid w:val="0B3F7970"/>
    <w:rsid w:val="0B4479B8"/>
    <w:rsid w:val="0B68774A"/>
    <w:rsid w:val="0B6B0408"/>
    <w:rsid w:val="0B6C2E99"/>
    <w:rsid w:val="0B772CE8"/>
    <w:rsid w:val="0BCB7FDD"/>
    <w:rsid w:val="0BD55B56"/>
    <w:rsid w:val="0C2B322F"/>
    <w:rsid w:val="0C5B4C90"/>
    <w:rsid w:val="0C7B7A13"/>
    <w:rsid w:val="0C845237"/>
    <w:rsid w:val="0CC87A86"/>
    <w:rsid w:val="0CCF6001"/>
    <w:rsid w:val="0CF16395"/>
    <w:rsid w:val="0CF605B3"/>
    <w:rsid w:val="0D0B70D6"/>
    <w:rsid w:val="0D746A47"/>
    <w:rsid w:val="0D7C0462"/>
    <w:rsid w:val="0D8115F6"/>
    <w:rsid w:val="0D8555C0"/>
    <w:rsid w:val="0DA02C72"/>
    <w:rsid w:val="0DE23514"/>
    <w:rsid w:val="0E080413"/>
    <w:rsid w:val="0E0B2945"/>
    <w:rsid w:val="0E1F2BD2"/>
    <w:rsid w:val="0E536789"/>
    <w:rsid w:val="0E7C61D3"/>
    <w:rsid w:val="0E972C12"/>
    <w:rsid w:val="0EA665D4"/>
    <w:rsid w:val="0ECA5F52"/>
    <w:rsid w:val="0EDA076B"/>
    <w:rsid w:val="0EE90A8A"/>
    <w:rsid w:val="0EF6542D"/>
    <w:rsid w:val="0F1F7B2B"/>
    <w:rsid w:val="0F497A13"/>
    <w:rsid w:val="0F4D015C"/>
    <w:rsid w:val="0F8B4CE8"/>
    <w:rsid w:val="0FB0444F"/>
    <w:rsid w:val="0FCE5F07"/>
    <w:rsid w:val="0FD27007"/>
    <w:rsid w:val="101300E5"/>
    <w:rsid w:val="1018071C"/>
    <w:rsid w:val="101B23FC"/>
    <w:rsid w:val="102E3AEA"/>
    <w:rsid w:val="10325AAD"/>
    <w:rsid w:val="103F39A0"/>
    <w:rsid w:val="1051509A"/>
    <w:rsid w:val="105A7028"/>
    <w:rsid w:val="10613F1F"/>
    <w:rsid w:val="10833AFA"/>
    <w:rsid w:val="10844E1E"/>
    <w:rsid w:val="108E10B6"/>
    <w:rsid w:val="108E4939"/>
    <w:rsid w:val="10B5371E"/>
    <w:rsid w:val="10D330F2"/>
    <w:rsid w:val="10FD716C"/>
    <w:rsid w:val="110A1CAB"/>
    <w:rsid w:val="11132B58"/>
    <w:rsid w:val="111B419D"/>
    <w:rsid w:val="112E31BE"/>
    <w:rsid w:val="11310623"/>
    <w:rsid w:val="115C628C"/>
    <w:rsid w:val="116558B4"/>
    <w:rsid w:val="11C15146"/>
    <w:rsid w:val="11C8694E"/>
    <w:rsid w:val="11EA5270"/>
    <w:rsid w:val="11F84BF7"/>
    <w:rsid w:val="12265954"/>
    <w:rsid w:val="12722550"/>
    <w:rsid w:val="12872CB8"/>
    <w:rsid w:val="128F7902"/>
    <w:rsid w:val="129A008B"/>
    <w:rsid w:val="12C27365"/>
    <w:rsid w:val="12CB3EE4"/>
    <w:rsid w:val="12CB41D2"/>
    <w:rsid w:val="12D06EF6"/>
    <w:rsid w:val="12D94014"/>
    <w:rsid w:val="12DE2F04"/>
    <w:rsid w:val="130265BC"/>
    <w:rsid w:val="131252D4"/>
    <w:rsid w:val="13286D02"/>
    <w:rsid w:val="133E5725"/>
    <w:rsid w:val="135C08EF"/>
    <w:rsid w:val="138E6551"/>
    <w:rsid w:val="13B525C7"/>
    <w:rsid w:val="13DD2D88"/>
    <w:rsid w:val="13E6239A"/>
    <w:rsid w:val="140A00B1"/>
    <w:rsid w:val="140A215F"/>
    <w:rsid w:val="141F6F9C"/>
    <w:rsid w:val="143221BE"/>
    <w:rsid w:val="1433301E"/>
    <w:rsid w:val="14493848"/>
    <w:rsid w:val="14611B6C"/>
    <w:rsid w:val="147A64FB"/>
    <w:rsid w:val="148C60C3"/>
    <w:rsid w:val="14981ED6"/>
    <w:rsid w:val="14A36618"/>
    <w:rsid w:val="14B658D9"/>
    <w:rsid w:val="151627A4"/>
    <w:rsid w:val="1525101E"/>
    <w:rsid w:val="152D7862"/>
    <w:rsid w:val="155147A6"/>
    <w:rsid w:val="15691687"/>
    <w:rsid w:val="1589617D"/>
    <w:rsid w:val="15AE7DB6"/>
    <w:rsid w:val="15C06170"/>
    <w:rsid w:val="15EA742C"/>
    <w:rsid w:val="15FE0FEC"/>
    <w:rsid w:val="16114516"/>
    <w:rsid w:val="16825781"/>
    <w:rsid w:val="169B3318"/>
    <w:rsid w:val="16E30DED"/>
    <w:rsid w:val="16E77068"/>
    <w:rsid w:val="171341CC"/>
    <w:rsid w:val="17180BBB"/>
    <w:rsid w:val="17252504"/>
    <w:rsid w:val="173A24A9"/>
    <w:rsid w:val="177139B1"/>
    <w:rsid w:val="17722027"/>
    <w:rsid w:val="1794758E"/>
    <w:rsid w:val="17A103C5"/>
    <w:rsid w:val="17C52DC3"/>
    <w:rsid w:val="17CC0057"/>
    <w:rsid w:val="17E41883"/>
    <w:rsid w:val="180247D4"/>
    <w:rsid w:val="180E6F5C"/>
    <w:rsid w:val="181C1D63"/>
    <w:rsid w:val="182C1E91"/>
    <w:rsid w:val="182D1855"/>
    <w:rsid w:val="183B6998"/>
    <w:rsid w:val="185D147B"/>
    <w:rsid w:val="186440E7"/>
    <w:rsid w:val="1872382B"/>
    <w:rsid w:val="187F3A7B"/>
    <w:rsid w:val="18817827"/>
    <w:rsid w:val="189268CA"/>
    <w:rsid w:val="18993570"/>
    <w:rsid w:val="18C90973"/>
    <w:rsid w:val="191C6166"/>
    <w:rsid w:val="1940517D"/>
    <w:rsid w:val="198010B4"/>
    <w:rsid w:val="19B67549"/>
    <w:rsid w:val="19D60F85"/>
    <w:rsid w:val="1A4D0755"/>
    <w:rsid w:val="1A761976"/>
    <w:rsid w:val="1AC601EB"/>
    <w:rsid w:val="1AC83FBA"/>
    <w:rsid w:val="1AEB73B7"/>
    <w:rsid w:val="1B042721"/>
    <w:rsid w:val="1B0A5C75"/>
    <w:rsid w:val="1B454958"/>
    <w:rsid w:val="1B4712C5"/>
    <w:rsid w:val="1B513CA9"/>
    <w:rsid w:val="1B8D6BBD"/>
    <w:rsid w:val="1B971128"/>
    <w:rsid w:val="1B9B35B6"/>
    <w:rsid w:val="1BE6170B"/>
    <w:rsid w:val="1C113C73"/>
    <w:rsid w:val="1C1359D9"/>
    <w:rsid w:val="1C217434"/>
    <w:rsid w:val="1C2C42BD"/>
    <w:rsid w:val="1C5B1410"/>
    <w:rsid w:val="1C7F29E9"/>
    <w:rsid w:val="1C9073C8"/>
    <w:rsid w:val="1CA14709"/>
    <w:rsid w:val="1CA97685"/>
    <w:rsid w:val="1CAE0F68"/>
    <w:rsid w:val="1CCF0851"/>
    <w:rsid w:val="1CF747D6"/>
    <w:rsid w:val="1D222CA3"/>
    <w:rsid w:val="1D724B6A"/>
    <w:rsid w:val="1D7C5A83"/>
    <w:rsid w:val="1D86477C"/>
    <w:rsid w:val="1DA5023B"/>
    <w:rsid w:val="1DD15C27"/>
    <w:rsid w:val="1DD415BF"/>
    <w:rsid w:val="1DE930E2"/>
    <w:rsid w:val="1DEC1BD6"/>
    <w:rsid w:val="1E1B0BCA"/>
    <w:rsid w:val="1E2146EB"/>
    <w:rsid w:val="1E5828D6"/>
    <w:rsid w:val="1E5B75EB"/>
    <w:rsid w:val="1E757C88"/>
    <w:rsid w:val="1E7977DC"/>
    <w:rsid w:val="1EA435A3"/>
    <w:rsid w:val="1EBA70F8"/>
    <w:rsid w:val="1EE14DB9"/>
    <w:rsid w:val="1EE31FCB"/>
    <w:rsid w:val="1EEF5056"/>
    <w:rsid w:val="1F3F75A9"/>
    <w:rsid w:val="1F5B1EDA"/>
    <w:rsid w:val="1F761A29"/>
    <w:rsid w:val="1FB2188E"/>
    <w:rsid w:val="1FB764FB"/>
    <w:rsid w:val="1FC456B2"/>
    <w:rsid w:val="1FE06EDA"/>
    <w:rsid w:val="201A2537"/>
    <w:rsid w:val="2029292D"/>
    <w:rsid w:val="20564928"/>
    <w:rsid w:val="205F522A"/>
    <w:rsid w:val="20640F8E"/>
    <w:rsid w:val="20765BD0"/>
    <w:rsid w:val="20ED6289"/>
    <w:rsid w:val="20FC6B9E"/>
    <w:rsid w:val="21206816"/>
    <w:rsid w:val="212A011D"/>
    <w:rsid w:val="21314A8A"/>
    <w:rsid w:val="21773EB6"/>
    <w:rsid w:val="21941725"/>
    <w:rsid w:val="21AC71BF"/>
    <w:rsid w:val="21B22658"/>
    <w:rsid w:val="21BF3A9B"/>
    <w:rsid w:val="21F80345"/>
    <w:rsid w:val="22532144"/>
    <w:rsid w:val="226D1547"/>
    <w:rsid w:val="22BF7085"/>
    <w:rsid w:val="22CA0B50"/>
    <w:rsid w:val="22CE247E"/>
    <w:rsid w:val="22F06943"/>
    <w:rsid w:val="23386727"/>
    <w:rsid w:val="233D4D17"/>
    <w:rsid w:val="2344756C"/>
    <w:rsid w:val="2363144E"/>
    <w:rsid w:val="236906A5"/>
    <w:rsid w:val="23AF2895"/>
    <w:rsid w:val="23C00C35"/>
    <w:rsid w:val="23CA2C08"/>
    <w:rsid w:val="23E126B7"/>
    <w:rsid w:val="240F7F39"/>
    <w:rsid w:val="24305C5A"/>
    <w:rsid w:val="24323971"/>
    <w:rsid w:val="24332995"/>
    <w:rsid w:val="244A2F6C"/>
    <w:rsid w:val="2463373A"/>
    <w:rsid w:val="24666583"/>
    <w:rsid w:val="246A22BE"/>
    <w:rsid w:val="24716337"/>
    <w:rsid w:val="24A7710A"/>
    <w:rsid w:val="24E75A9F"/>
    <w:rsid w:val="250E1E3C"/>
    <w:rsid w:val="25323514"/>
    <w:rsid w:val="2564162E"/>
    <w:rsid w:val="256F06A2"/>
    <w:rsid w:val="25B3747A"/>
    <w:rsid w:val="25EB0677"/>
    <w:rsid w:val="26152482"/>
    <w:rsid w:val="263A677B"/>
    <w:rsid w:val="263B6EDE"/>
    <w:rsid w:val="266A4D11"/>
    <w:rsid w:val="26833D13"/>
    <w:rsid w:val="26B47A3B"/>
    <w:rsid w:val="26DB38D0"/>
    <w:rsid w:val="27081DB7"/>
    <w:rsid w:val="2738153D"/>
    <w:rsid w:val="275E4AA8"/>
    <w:rsid w:val="27604ABA"/>
    <w:rsid w:val="2783450E"/>
    <w:rsid w:val="278D2000"/>
    <w:rsid w:val="27A42159"/>
    <w:rsid w:val="27E404FE"/>
    <w:rsid w:val="27E439AD"/>
    <w:rsid w:val="28075136"/>
    <w:rsid w:val="280C02B6"/>
    <w:rsid w:val="281E4770"/>
    <w:rsid w:val="28221F59"/>
    <w:rsid w:val="285E0B25"/>
    <w:rsid w:val="2866233F"/>
    <w:rsid w:val="289B6ECB"/>
    <w:rsid w:val="28B72EDD"/>
    <w:rsid w:val="28C45620"/>
    <w:rsid w:val="28E41726"/>
    <w:rsid w:val="2919143B"/>
    <w:rsid w:val="292A5A4F"/>
    <w:rsid w:val="294432A4"/>
    <w:rsid w:val="2951120E"/>
    <w:rsid w:val="295142D9"/>
    <w:rsid w:val="29521D5A"/>
    <w:rsid w:val="29834298"/>
    <w:rsid w:val="29C56B93"/>
    <w:rsid w:val="29D95A03"/>
    <w:rsid w:val="29E5244A"/>
    <w:rsid w:val="2A113092"/>
    <w:rsid w:val="2A1E1B25"/>
    <w:rsid w:val="2A332025"/>
    <w:rsid w:val="2A4906AD"/>
    <w:rsid w:val="2A9808E9"/>
    <w:rsid w:val="2A9A1D27"/>
    <w:rsid w:val="2AA1662B"/>
    <w:rsid w:val="2AC1640B"/>
    <w:rsid w:val="2AC30845"/>
    <w:rsid w:val="2ACF1F40"/>
    <w:rsid w:val="2ADA5C2A"/>
    <w:rsid w:val="2BB66FC6"/>
    <w:rsid w:val="2BCB72E4"/>
    <w:rsid w:val="2BD94775"/>
    <w:rsid w:val="2C056CE4"/>
    <w:rsid w:val="2C0B10FC"/>
    <w:rsid w:val="2C446EDF"/>
    <w:rsid w:val="2C477E32"/>
    <w:rsid w:val="2C622962"/>
    <w:rsid w:val="2C661368"/>
    <w:rsid w:val="2C777126"/>
    <w:rsid w:val="2C7C4588"/>
    <w:rsid w:val="2C7E5063"/>
    <w:rsid w:val="2C846EA1"/>
    <w:rsid w:val="2CA86CA3"/>
    <w:rsid w:val="2D0D0B63"/>
    <w:rsid w:val="2D2A3400"/>
    <w:rsid w:val="2D396073"/>
    <w:rsid w:val="2D3B3547"/>
    <w:rsid w:val="2D553AE4"/>
    <w:rsid w:val="2D62452F"/>
    <w:rsid w:val="2DAB037A"/>
    <w:rsid w:val="2DAD167F"/>
    <w:rsid w:val="2DDE063C"/>
    <w:rsid w:val="2DE8605A"/>
    <w:rsid w:val="2E2312BE"/>
    <w:rsid w:val="2E283C4A"/>
    <w:rsid w:val="2E43072F"/>
    <w:rsid w:val="2E48026C"/>
    <w:rsid w:val="2E5C74CF"/>
    <w:rsid w:val="2E6E3F01"/>
    <w:rsid w:val="2E8B3A22"/>
    <w:rsid w:val="2EAF428D"/>
    <w:rsid w:val="2EC3704B"/>
    <w:rsid w:val="2EC8678A"/>
    <w:rsid w:val="2EDE7CEA"/>
    <w:rsid w:val="2F0C0DA4"/>
    <w:rsid w:val="2F3F161D"/>
    <w:rsid w:val="2FA7670E"/>
    <w:rsid w:val="2FD12221"/>
    <w:rsid w:val="2FF61446"/>
    <w:rsid w:val="30162BCE"/>
    <w:rsid w:val="307B7339"/>
    <w:rsid w:val="30A24932"/>
    <w:rsid w:val="30C5411E"/>
    <w:rsid w:val="30C87F46"/>
    <w:rsid w:val="30D05B09"/>
    <w:rsid w:val="30EC4527"/>
    <w:rsid w:val="310F1C07"/>
    <w:rsid w:val="311F7E11"/>
    <w:rsid w:val="3123221A"/>
    <w:rsid w:val="31416CB9"/>
    <w:rsid w:val="31777367"/>
    <w:rsid w:val="317E4255"/>
    <w:rsid w:val="31857F7D"/>
    <w:rsid w:val="319232E8"/>
    <w:rsid w:val="31A87906"/>
    <w:rsid w:val="31A95387"/>
    <w:rsid w:val="31B067F2"/>
    <w:rsid w:val="31B726EC"/>
    <w:rsid w:val="31DE1416"/>
    <w:rsid w:val="31F92F80"/>
    <w:rsid w:val="32030B7F"/>
    <w:rsid w:val="320769C1"/>
    <w:rsid w:val="32140F77"/>
    <w:rsid w:val="3227299C"/>
    <w:rsid w:val="324C3EDA"/>
    <w:rsid w:val="327012BA"/>
    <w:rsid w:val="334873B2"/>
    <w:rsid w:val="33620850"/>
    <w:rsid w:val="336E071E"/>
    <w:rsid w:val="33BF4A72"/>
    <w:rsid w:val="33F66251"/>
    <w:rsid w:val="33F96E63"/>
    <w:rsid w:val="340C203C"/>
    <w:rsid w:val="345B5F75"/>
    <w:rsid w:val="34B96526"/>
    <w:rsid w:val="34D42798"/>
    <w:rsid w:val="34E54685"/>
    <w:rsid w:val="35027EE2"/>
    <w:rsid w:val="352F5FFD"/>
    <w:rsid w:val="354522B9"/>
    <w:rsid w:val="354E113F"/>
    <w:rsid w:val="357950EC"/>
    <w:rsid w:val="358E506D"/>
    <w:rsid w:val="359445C5"/>
    <w:rsid w:val="35BB69FE"/>
    <w:rsid w:val="35DD2084"/>
    <w:rsid w:val="35E87469"/>
    <w:rsid w:val="35FC3465"/>
    <w:rsid w:val="360112B7"/>
    <w:rsid w:val="36011B0F"/>
    <w:rsid w:val="360775FE"/>
    <w:rsid w:val="360D3903"/>
    <w:rsid w:val="363B3A8C"/>
    <w:rsid w:val="36442C6F"/>
    <w:rsid w:val="36472AC2"/>
    <w:rsid w:val="367E2E79"/>
    <w:rsid w:val="36876307"/>
    <w:rsid w:val="369479EF"/>
    <w:rsid w:val="370815B0"/>
    <w:rsid w:val="37123E85"/>
    <w:rsid w:val="3727525F"/>
    <w:rsid w:val="37460D73"/>
    <w:rsid w:val="377C743A"/>
    <w:rsid w:val="37943880"/>
    <w:rsid w:val="37A07F50"/>
    <w:rsid w:val="37B74EA7"/>
    <w:rsid w:val="37C159C1"/>
    <w:rsid w:val="37C57E93"/>
    <w:rsid w:val="37CA1D98"/>
    <w:rsid w:val="37D13D95"/>
    <w:rsid w:val="37FB0A3C"/>
    <w:rsid w:val="38083F3B"/>
    <w:rsid w:val="38B95FB8"/>
    <w:rsid w:val="38BD6EEC"/>
    <w:rsid w:val="38C36729"/>
    <w:rsid w:val="38CD7010"/>
    <w:rsid w:val="38D35BC0"/>
    <w:rsid w:val="38EF3A4B"/>
    <w:rsid w:val="38F2407A"/>
    <w:rsid w:val="3902123F"/>
    <w:rsid w:val="390E5F29"/>
    <w:rsid w:val="394A0FE9"/>
    <w:rsid w:val="39605C3B"/>
    <w:rsid w:val="396632FF"/>
    <w:rsid w:val="396A4D04"/>
    <w:rsid w:val="399B5FFF"/>
    <w:rsid w:val="399B70B8"/>
    <w:rsid w:val="39A71BCC"/>
    <w:rsid w:val="39A930F9"/>
    <w:rsid w:val="39B150DF"/>
    <w:rsid w:val="39B201DA"/>
    <w:rsid w:val="39B271E7"/>
    <w:rsid w:val="39D522D5"/>
    <w:rsid w:val="3A0911C5"/>
    <w:rsid w:val="3A294BCB"/>
    <w:rsid w:val="3A345DF9"/>
    <w:rsid w:val="3A4A0706"/>
    <w:rsid w:val="3A607DDF"/>
    <w:rsid w:val="3A9D379B"/>
    <w:rsid w:val="3AFB76AE"/>
    <w:rsid w:val="3B00378A"/>
    <w:rsid w:val="3B111E76"/>
    <w:rsid w:val="3B442BED"/>
    <w:rsid w:val="3B5D054D"/>
    <w:rsid w:val="3B6A0097"/>
    <w:rsid w:val="3B6A537E"/>
    <w:rsid w:val="3B6D7897"/>
    <w:rsid w:val="3B7604AB"/>
    <w:rsid w:val="3B842675"/>
    <w:rsid w:val="3C076F0B"/>
    <w:rsid w:val="3C5B5B1E"/>
    <w:rsid w:val="3C68672E"/>
    <w:rsid w:val="3C785A85"/>
    <w:rsid w:val="3C7A4694"/>
    <w:rsid w:val="3CA579F0"/>
    <w:rsid w:val="3CA7694E"/>
    <w:rsid w:val="3CB27D67"/>
    <w:rsid w:val="3CDA7C52"/>
    <w:rsid w:val="3CF46CE9"/>
    <w:rsid w:val="3CF96DD8"/>
    <w:rsid w:val="3D0C2F35"/>
    <w:rsid w:val="3D383FED"/>
    <w:rsid w:val="3D3A4862"/>
    <w:rsid w:val="3D3B64ED"/>
    <w:rsid w:val="3D3F1312"/>
    <w:rsid w:val="3D716EF1"/>
    <w:rsid w:val="3D805E81"/>
    <w:rsid w:val="3D8435D4"/>
    <w:rsid w:val="3D9B4DA3"/>
    <w:rsid w:val="3DA24F1B"/>
    <w:rsid w:val="3DA915B3"/>
    <w:rsid w:val="3DB53026"/>
    <w:rsid w:val="3E1F1601"/>
    <w:rsid w:val="3E4E4114"/>
    <w:rsid w:val="3E50003C"/>
    <w:rsid w:val="3E567B58"/>
    <w:rsid w:val="3E651416"/>
    <w:rsid w:val="3E672329"/>
    <w:rsid w:val="3E690C74"/>
    <w:rsid w:val="3E9B7A83"/>
    <w:rsid w:val="3EC51842"/>
    <w:rsid w:val="3EE71375"/>
    <w:rsid w:val="3EEE1C8E"/>
    <w:rsid w:val="3F205DA0"/>
    <w:rsid w:val="3F225452"/>
    <w:rsid w:val="3F225EA4"/>
    <w:rsid w:val="3F3228BB"/>
    <w:rsid w:val="3F3A1A51"/>
    <w:rsid w:val="3F4006AE"/>
    <w:rsid w:val="3F945F52"/>
    <w:rsid w:val="3FAC6B7E"/>
    <w:rsid w:val="3FB94A89"/>
    <w:rsid w:val="3FB94DDD"/>
    <w:rsid w:val="3FE42A21"/>
    <w:rsid w:val="40047728"/>
    <w:rsid w:val="401421B1"/>
    <w:rsid w:val="401F5ECF"/>
    <w:rsid w:val="402C1695"/>
    <w:rsid w:val="406756C7"/>
    <w:rsid w:val="406B6161"/>
    <w:rsid w:val="40802F01"/>
    <w:rsid w:val="408B1BF3"/>
    <w:rsid w:val="409D0E77"/>
    <w:rsid w:val="40BA78D5"/>
    <w:rsid w:val="40D9387D"/>
    <w:rsid w:val="411424E0"/>
    <w:rsid w:val="41244342"/>
    <w:rsid w:val="414612F6"/>
    <w:rsid w:val="41582048"/>
    <w:rsid w:val="416B6EE7"/>
    <w:rsid w:val="417C0A0C"/>
    <w:rsid w:val="418F4EA7"/>
    <w:rsid w:val="41BA352F"/>
    <w:rsid w:val="41F739AE"/>
    <w:rsid w:val="42085F0C"/>
    <w:rsid w:val="422F757A"/>
    <w:rsid w:val="42363E2C"/>
    <w:rsid w:val="42412924"/>
    <w:rsid w:val="426C79D6"/>
    <w:rsid w:val="4298644F"/>
    <w:rsid w:val="42C17100"/>
    <w:rsid w:val="42D03F66"/>
    <w:rsid w:val="43036090"/>
    <w:rsid w:val="430A0CB6"/>
    <w:rsid w:val="43135B49"/>
    <w:rsid w:val="43151407"/>
    <w:rsid w:val="431A5025"/>
    <w:rsid w:val="434F4635"/>
    <w:rsid w:val="435C5AB6"/>
    <w:rsid w:val="4363041A"/>
    <w:rsid w:val="43851F3F"/>
    <w:rsid w:val="43A45688"/>
    <w:rsid w:val="43C5363E"/>
    <w:rsid w:val="43EF3ED0"/>
    <w:rsid w:val="43FC4F86"/>
    <w:rsid w:val="440E351D"/>
    <w:rsid w:val="44107B97"/>
    <w:rsid w:val="44183BC3"/>
    <w:rsid w:val="441F1F9B"/>
    <w:rsid w:val="446631C8"/>
    <w:rsid w:val="448C1A14"/>
    <w:rsid w:val="449A0979"/>
    <w:rsid w:val="449D19C4"/>
    <w:rsid w:val="44C40377"/>
    <w:rsid w:val="44C930B3"/>
    <w:rsid w:val="44CA29E4"/>
    <w:rsid w:val="44CB096E"/>
    <w:rsid w:val="44E97F1E"/>
    <w:rsid w:val="44FE45D6"/>
    <w:rsid w:val="4520236A"/>
    <w:rsid w:val="452A5920"/>
    <w:rsid w:val="45337098"/>
    <w:rsid w:val="4556724D"/>
    <w:rsid w:val="4599483E"/>
    <w:rsid w:val="462C0AD3"/>
    <w:rsid w:val="46947B4A"/>
    <w:rsid w:val="46B56EFC"/>
    <w:rsid w:val="46D74610"/>
    <w:rsid w:val="47181015"/>
    <w:rsid w:val="472E5582"/>
    <w:rsid w:val="47330D5C"/>
    <w:rsid w:val="47754BFC"/>
    <w:rsid w:val="47BD323F"/>
    <w:rsid w:val="47C356FD"/>
    <w:rsid w:val="47D837BD"/>
    <w:rsid w:val="47DA4E0C"/>
    <w:rsid w:val="47E035D0"/>
    <w:rsid w:val="47EF7660"/>
    <w:rsid w:val="480B449F"/>
    <w:rsid w:val="48212BE3"/>
    <w:rsid w:val="48270370"/>
    <w:rsid w:val="48334182"/>
    <w:rsid w:val="487D0A7F"/>
    <w:rsid w:val="488625D4"/>
    <w:rsid w:val="48972279"/>
    <w:rsid w:val="48A531BC"/>
    <w:rsid w:val="48A618E2"/>
    <w:rsid w:val="48D123F5"/>
    <w:rsid w:val="48FE5149"/>
    <w:rsid w:val="494556BE"/>
    <w:rsid w:val="495C3C05"/>
    <w:rsid w:val="49B27E76"/>
    <w:rsid w:val="49BA53DB"/>
    <w:rsid w:val="49CF6827"/>
    <w:rsid w:val="49D43AC6"/>
    <w:rsid w:val="49D96CC7"/>
    <w:rsid w:val="49FD1660"/>
    <w:rsid w:val="4A0757B1"/>
    <w:rsid w:val="4A691AF5"/>
    <w:rsid w:val="4AC12070"/>
    <w:rsid w:val="4AE56F6F"/>
    <w:rsid w:val="4B0F2618"/>
    <w:rsid w:val="4B1A5ACC"/>
    <w:rsid w:val="4B1F7D3F"/>
    <w:rsid w:val="4B3B5B44"/>
    <w:rsid w:val="4B4B5AC6"/>
    <w:rsid w:val="4B603BD0"/>
    <w:rsid w:val="4B6432E6"/>
    <w:rsid w:val="4B6D3932"/>
    <w:rsid w:val="4B77353F"/>
    <w:rsid w:val="4B94000C"/>
    <w:rsid w:val="4BB4045B"/>
    <w:rsid w:val="4BC73CDE"/>
    <w:rsid w:val="4C0F0AD0"/>
    <w:rsid w:val="4C1E4387"/>
    <w:rsid w:val="4C3337D0"/>
    <w:rsid w:val="4C3F789B"/>
    <w:rsid w:val="4CF334B4"/>
    <w:rsid w:val="4CF56A99"/>
    <w:rsid w:val="4D1D5914"/>
    <w:rsid w:val="4D24438D"/>
    <w:rsid w:val="4D7625C2"/>
    <w:rsid w:val="4D7E0E31"/>
    <w:rsid w:val="4D8A46A8"/>
    <w:rsid w:val="4D964E40"/>
    <w:rsid w:val="4DA829A7"/>
    <w:rsid w:val="4DAE3B7E"/>
    <w:rsid w:val="4E120D9A"/>
    <w:rsid w:val="4E265D74"/>
    <w:rsid w:val="4E2E307A"/>
    <w:rsid w:val="4E4111EE"/>
    <w:rsid w:val="4E5624E8"/>
    <w:rsid w:val="4E575F5C"/>
    <w:rsid w:val="4E9D556A"/>
    <w:rsid w:val="4EA17C8F"/>
    <w:rsid w:val="4EA95137"/>
    <w:rsid w:val="4EBB24FE"/>
    <w:rsid w:val="4ECD12CB"/>
    <w:rsid w:val="4ED57C35"/>
    <w:rsid w:val="4EE92C5D"/>
    <w:rsid w:val="4EFC7D58"/>
    <w:rsid w:val="4F020E2A"/>
    <w:rsid w:val="4F094534"/>
    <w:rsid w:val="4F294989"/>
    <w:rsid w:val="4F387909"/>
    <w:rsid w:val="4F3E0E02"/>
    <w:rsid w:val="4F5F5AC3"/>
    <w:rsid w:val="4FCC1284"/>
    <w:rsid w:val="4FDB3CF4"/>
    <w:rsid w:val="50201299"/>
    <w:rsid w:val="502C6F02"/>
    <w:rsid w:val="50721CAB"/>
    <w:rsid w:val="50856312"/>
    <w:rsid w:val="50876AEB"/>
    <w:rsid w:val="50AB1640"/>
    <w:rsid w:val="50B05C74"/>
    <w:rsid w:val="50CA3E1C"/>
    <w:rsid w:val="50DC6E27"/>
    <w:rsid w:val="50F47D54"/>
    <w:rsid w:val="50F876D1"/>
    <w:rsid w:val="513C6394"/>
    <w:rsid w:val="5146695D"/>
    <w:rsid w:val="514E2D70"/>
    <w:rsid w:val="51566E0A"/>
    <w:rsid w:val="519956A3"/>
    <w:rsid w:val="51A12A30"/>
    <w:rsid w:val="51A31B31"/>
    <w:rsid w:val="51C43BD1"/>
    <w:rsid w:val="51D83C7A"/>
    <w:rsid w:val="51F62284"/>
    <w:rsid w:val="51FC418E"/>
    <w:rsid w:val="52183020"/>
    <w:rsid w:val="521B4931"/>
    <w:rsid w:val="52553079"/>
    <w:rsid w:val="52571024"/>
    <w:rsid w:val="53046E8F"/>
    <w:rsid w:val="5321350E"/>
    <w:rsid w:val="53542804"/>
    <w:rsid w:val="535470B3"/>
    <w:rsid w:val="53904FFF"/>
    <w:rsid w:val="53A72FD1"/>
    <w:rsid w:val="53B83A8F"/>
    <w:rsid w:val="53DF5A4B"/>
    <w:rsid w:val="53E6215D"/>
    <w:rsid w:val="54662F23"/>
    <w:rsid w:val="54681FC0"/>
    <w:rsid w:val="547943D3"/>
    <w:rsid w:val="549B297A"/>
    <w:rsid w:val="54A96C05"/>
    <w:rsid w:val="54AC66CF"/>
    <w:rsid w:val="54C34C6F"/>
    <w:rsid w:val="54C4394A"/>
    <w:rsid w:val="54D21ECC"/>
    <w:rsid w:val="54FA0D24"/>
    <w:rsid w:val="554177EE"/>
    <w:rsid w:val="55440F40"/>
    <w:rsid w:val="555E131C"/>
    <w:rsid w:val="55606646"/>
    <w:rsid w:val="557D181B"/>
    <w:rsid w:val="55B10A9D"/>
    <w:rsid w:val="55BD353A"/>
    <w:rsid w:val="55C4149F"/>
    <w:rsid w:val="55D67CE1"/>
    <w:rsid w:val="55F268B2"/>
    <w:rsid w:val="55FE3424"/>
    <w:rsid w:val="56171CD8"/>
    <w:rsid w:val="562529BD"/>
    <w:rsid w:val="563D4C91"/>
    <w:rsid w:val="563E122B"/>
    <w:rsid w:val="56463818"/>
    <w:rsid w:val="565F4A49"/>
    <w:rsid w:val="56704D58"/>
    <w:rsid w:val="567370A1"/>
    <w:rsid w:val="56A33C4E"/>
    <w:rsid w:val="56B55151"/>
    <w:rsid w:val="56DD5B19"/>
    <w:rsid w:val="56F12ACC"/>
    <w:rsid w:val="572D5233"/>
    <w:rsid w:val="573247A2"/>
    <w:rsid w:val="573D34E3"/>
    <w:rsid w:val="5770478B"/>
    <w:rsid w:val="57716555"/>
    <w:rsid w:val="57A43C53"/>
    <w:rsid w:val="57AC0055"/>
    <w:rsid w:val="58044D2F"/>
    <w:rsid w:val="580A0C9B"/>
    <w:rsid w:val="58101D03"/>
    <w:rsid w:val="58603CC5"/>
    <w:rsid w:val="586250F9"/>
    <w:rsid w:val="58633034"/>
    <w:rsid w:val="586B4F13"/>
    <w:rsid w:val="58AC39FF"/>
    <w:rsid w:val="58FC4393"/>
    <w:rsid w:val="592C40FE"/>
    <w:rsid w:val="592E0664"/>
    <w:rsid w:val="593329A0"/>
    <w:rsid w:val="594011D5"/>
    <w:rsid w:val="594C0FBC"/>
    <w:rsid w:val="594E1780"/>
    <w:rsid w:val="596357AA"/>
    <w:rsid w:val="5969563F"/>
    <w:rsid w:val="59B22A94"/>
    <w:rsid w:val="59CB09C8"/>
    <w:rsid w:val="5A102318"/>
    <w:rsid w:val="5A280A79"/>
    <w:rsid w:val="5A3B2D1E"/>
    <w:rsid w:val="5A425322"/>
    <w:rsid w:val="5A7E0CD7"/>
    <w:rsid w:val="5A9263A6"/>
    <w:rsid w:val="5A931FCA"/>
    <w:rsid w:val="5A9849F2"/>
    <w:rsid w:val="5AA74093"/>
    <w:rsid w:val="5AE41B62"/>
    <w:rsid w:val="5AE93720"/>
    <w:rsid w:val="5AEF2EBC"/>
    <w:rsid w:val="5AF44DB0"/>
    <w:rsid w:val="5AF54D1D"/>
    <w:rsid w:val="5AF7116F"/>
    <w:rsid w:val="5B0033BF"/>
    <w:rsid w:val="5B237E4E"/>
    <w:rsid w:val="5B3334B5"/>
    <w:rsid w:val="5B592B82"/>
    <w:rsid w:val="5B7F760A"/>
    <w:rsid w:val="5B8524B6"/>
    <w:rsid w:val="5BA25D1A"/>
    <w:rsid w:val="5BB30370"/>
    <w:rsid w:val="5BDA5B51"/>
    <w:rsid w:val="5BF03AEF"/>
    <w:rsid w:val="5C0F2040"/>
    <w:rsid w:val="5C4E46A0"/>
    <w:rsid w:val="5C6205C1"/>
    <w:rsid w:val="5CC913B1"/>
    <w:rsid w:val="5CEE2017"/>
    <w:rsid w:val="5CF3484D"/>
    <w:rsid w:val="5CF409BC"/>
    <w:rsid w:val="5D05039E"/>
    <w:rsid w:val="5D086AC1"/>
    <w:rsid w:val="5D2944D7"/>
    <w:rsid w:val="5D434A4F"/>
    <w:rsid w:val="5D5723B1"/>
    <w:rsid w:val="5D62626F"/>
    <w:rsid w:val="5D796643"/>
    <w:rsid w:val="5D88783C"/>
    <w:rsid w:val="5D897546"/>
    <w:rsid w:val="5DA659B4"/>
    <w:rsid w:val="5DB808C6"/>
    <w:rsid w:val="5DD03F39"/>
    <w:rsid w:val="5DF477FF"/>
    <w:rsid w:val="5E237B65"/>
    <w:rsid w:val="5E4B3356"/>
    <w:rsid w:val="5E525D47"/>
    <w:rsid w:val="5E832EC1"/>
    <w:rsid w:val="5E871C29"/>
    <w:rsid w:val="5EA22B69"/>
    <w:rsid w:val="5EBE445A"/>
    <w:rsid w:val="5ED0639A"/>
    <w:rsid w:val="5EEB3786"/>
    <w:rsid w:val="5EED00A6"/>
    <w:rsid w:val="5EFC1D0C"/>
    <w:rsid w:val="5F0770F1"/>
    <w:rsid w:val="5F0A527B"/>
    <w:rsid w:val="5F124396"/>
    <w:rsid w:val="5F570775"/>
    <w:rsid w:val="5F573424"/>
    <w:rsid w:val="5F654690"/>
    <w:rsid w:val="5F657952"/>
    <w:rsid w:val="5F74168D"/>
    <w:rsid w:val="5F867562"/>
    <w:rsid w:val="5FE27AD6"/>
    <w:rsid w:val="5FF78845"/>
    <w:rsid w:val="600F19CD"/>
    <w:rsid w:val="60323700"/>
    <w:rsid w:val="60431962"/>
    <w:rsid w:val="6069055A"/>
    <w:rsid w:val="607237A0"/>
    <w:rsid w:val="60854704"/>
    <w:rsid w:val="60B269F1"/>
    <w:rsid w:val="60F57A1B"/>
    <w:rsid w:val="611107C9"/>
    <w:rsid w:val="612A4AE1"/>
    <w:rsid w:val="61497B59"/>
    <w:rsid w:val="617128A6"/>
    <w:rsid w:val="61870EF0"/>
    <w:rsid w:val="619D2606"/>
    <w:rsid w:val="620236A6"/>
    <w:rsid w:val="6224211E"/>
    <w:rsid w:val="622E179A"/>
    <w:rsid w:val="62341416"/>
    <w:rsid w:val="624B1296"/>
    <w:rsid w:val="624E53D8"/>
    <w:rsid w:val="62570266"/>
    <w:rsid w:val="626248F7"/>
    <w:rsid w:val="628D1969"/>
    <w:rsid w:val="629B3011"/>
    <w:rsid w:val="62A47CD2"/>
    <w:rsid w:val="62B51C84"/>
    <w:rsid w:val="62FF473F"/>
    <w:rsid w:val="630037A8"/>
    <w:rsid w:val="630932F6"/>
    <w:rsid w:val="634F61BC"/>
    <w:rsid w:val="638E5891"/>
    <w:rsid w:val="63BD5B07"/>
    <w:rsid w:val="63C642D3"/>
    <w:rsid w:val="64033FC2"/>
    <w:rsid w:val="64095E08"/>
    <w:rsid w:val="640A1577"/>
    <w:rsid w:val="643E2713"/>
    <w:rsid w:val="64410461"/>
    <w:rsid w:val="64571DAB"/>
    <w:rsid w:val="6469077F"/>
    <w:rsid w:val="64787757"/>
    <w:rsid w:val="6499025D"/>
    <w:rsid w:val="64A95686"/>
    <w:rsid w:val="64AC0565"/>
    <w:rsid w:val="64CA6E77"/>
    <w:rsid w:val="64D64242"/>
    <w:rsid w:val="64FC1176"/>
    <w:rsid w:val="65014F3F"/>
    <w:rsid w:val="650D5CDC"/>
    <w:rsid w:val="655A2D98"/>
    <w:rsid w:val="66057F8C"/>
    <w:rsid w:val="6606361E"/>
    <w:rsid w:val="661F1BD3"/>
    <w:rsid w:val="667B7E5C"/>
    <w:rsid w:val="66A46AA2"/>
    <w:rsid w:val="66A77FCB"/>
    <w:rsid w:val="66AA16AD"/>
    <w:rsid w:val="66B3308E"/>
    <w:rsid w:val="66C22529"/>
    <w:rsid w:val="66C7209B"/>
    <w:rsid w:val="66F63109"/>
    <w:rsid w:val="670C3AB6"/>
    <w:rsid w:val="67173630"/>
    <w:rsid w:val="67440F60"/>
    <w:rsid w:val="676166A9"/>
    <w:rsid w:val="67690E64"/>
    <w:rsid w:val="67711A77"/>
    <w:rsid w:val="67845964"/>
    <w:rsid w:val="67C17B6D"/>
    <w:rsid w:val="67FD9748"/>
    <w:rsid w:val="680372A6"/>
    <w:rsid w:val="680C4DBD"/>
    <w:rsid w:val="68377C15"/>
    <w:rsid w:val="684A4429"/>
    <w:rsid w:val="686739D9"/>
    <w:rsid w:val="68754A9F"/>
    <w:rsid w:val="68A359CF"/>
    <w:rsid w:val="68AE3F2B"/>
    <w:rsid w:val="68B56E47"/>
    <w:rsid w:val="68B824DE"/>
    <w:rsid w:val="68C75A5A"/>
    <w:rsid w:val="68D15606"/>
    <w:rsid w:val="69057600"/>
    <w:rsid w:val="692E211D"/>
    <w:rsid w:val="692F5594"/>
    <w:rsid w:val="694D56EE"/>
    <w:rsid w:val="698555E8"/>
    <w:rsid w:val="699E100F"/>
    <w:rsid w:val="69C53915"/>
    <w:rsid w:val="69CD0763"/>
    <w:rsid w:val="69E24A6E"/>
    <w:rsid w:val="69F55D72"/>
    <w:rsid w:val="6A74390B"/>
    <w:rsid w:val="6AE368FC"/>
    <w:rsid w:val="6AF25E6C"/>
    <w:rsid w:val="6AFA647A"/>
    <w:rsid w:val="6B1F6166"/>
    <w:rsid w:val="6B2C5D7F"/>
    <w:rsid w:val="6B785805"/>
    <w:rsid w:val="6B9D594B"/>
    <w:rsid w:val="6BC62107"/>
    <w:rsid w:val="6BC80362"/>
    <w:rsid w:val="6BE97673"/>
    <w:rsid w:val="6C290730"/>
    <w:rsid w:val="6C507370"/>
    <w:rsid w:val="6C7E3B0E"/>
    <w:rsid w:val="6C9A345A"/>
    <w:rsid w:val="6CAD6BDB"/>
    <w:rsid w:val="6CAE685B"/>
    <w:rsid w:val="6CD1798F"/>
    <w:rsid w:val="6CF21F62"/>
    <w:rsid w:val="6D250101"/>
    <w:rsid w:val="6D28132E"/>
    <w:rsid w:val="6D284A64"/>
    <w:rsid w:val="6D5D276C"/>
    <w:rsid w:val="6D9E088D"/>
    <w:rsid w:val="6DA6144B"/>
    <w:rsid w:val="6DBB1CFD"/>
    <w:rsid w:val="6DF37E95"/>
    <w:rsid w:val="6DF728DA"/>
    <w:rsid w:val="6DFA2FFA"/>
    <w:rsid w:val="6E701EDA"/>
    <w:rsid w:val="6E7737B3"/>
    <w:rsid w:val="6EA25BEB"/>
    <w:rsid w:val="6ED36DD9"/>
    <w:rsid w:val="6F3A451F"/>
    <w:rsid w:val="6F3D06BE"/>
    <w:rsid w:val="6F3E7E30"/>
    <w:rsid w:val="6F431AC4"/>
    <w:rsid w:val="6F5E2C20"/>
    <w:rsid w:val="6F7052D5"/>
    <w:rsid w:val="6F7B7ECB"/>
    <w:rsid w:val="6F7C082A"/>
    <w:rsid w:val="6FAB6244"/>
    <w:rsid w:val="6FBF27FC"/>
    <w:rsid w:val="6FC660F3"/>
    <w:rsid w:val="70357978"/>
    <w:rsid w:val="704678DB"/>
    <w:rsid w:val="70863AE0"/>
    <w:rsid w:val="70BB187A"/>
    <w:rsid w:val="70E54BCF"/>
    <w:rsid w:val="70F9022E"/>
    <w:rsid w:val="7122522A"/>
    <w:rsid w:val="716543A1"/>
    <w:rsid w:val="718C036D"/>
    <w:rsid w:val="718F6E95"/>
    <w:rsid w:val="719017D8"/>
    <w:rsid w:val="71A77B11"/>
    <w:rsid w:val="71AD46DC"/>
    <w:rsid w:val="71BF43E4"/>
    <w:rsid w:val="71DC3F5A"/>
    <w:rsid w:val="71E81072"/>
    <w:rsid w:val="71EB66D0"/>
    <w:rsid w:val="720860A3"/>
    <w:rsid w:val="72131EB6"/>
    <w:rsid w:val="72303547"/>
    <w:rsid w:val="72423E8B"/>
    <w:rsid w:val="724B4691"/>
    <w:rsid w:val="72636FD7"/>
    <w:rsid w:val="728C22EF"/>
    <w:rsid w:val="72A51036"/>
    <w:rsid w:val="72AC0996"/>
    <w:rsid w:val="72B62D39"/>
    <w:rsid w:val="72B6454F"/>
    <w:rsid w:val="72F468C5"/>
    <w:rsid w:val="73067F2A"/>
    <w:rsid w:val="730B464C"/>
    <w:rsid w:val="73200CBE"/>
    <w:rsid w:val="73231CF3"/>
    <w:rsid w:val="732A167E"/>
    <w:rsid w:val="734A6BDC"/>
    <w:rsid w:val="73793D62"/>
    <w:rsid w:val="737E6AE5"/>
    <w:rsid w:val="739602A6"/>
    <w:rsid w:val="73DB1CB9"/>
    <w:rsid w:val="73E42CC4"/>
    <w:rsid w:val="73EA29D6"/>
    <w:rsid w:val="73F31CC6"/>
    <w:rsid w:val="73FF295B"/>
    <w:rsid w:val="7443172F"/>
    <w:rsid w:val="74503B27"/>
    <w:rsid w:val="74A144CF"/>
    <w:rsid w:val="75294C48"/>
    <w:rsid w:val="75471218"/>
    <w:rsid w:val="757F5DFA"/>
    <w:rsid w:val="75C15AA0"/>
    <w:rsid w:val="75D315DC"/>
    <w:rsid w:val="75E83A8C"/>
    <w:rsid w:val="761D5E7E"/>
    <w:rsid w:val="7648400A"/>
    <w:rsid w:val="764F3889"/>
    <w:rsid w:val="76581FBC"/>
    <w:rsid w:val="76616333"/>
    <w:rsid w:val="76851400"/>
    <w:rsid w:val="769218C9"/>
    <w:rsid w:val="77007F25"/>
    <w:rsid w:val="77210877"/>
    <w:rsid w:val="77361B69"/>
    <w:rsid w:val="774A1531"/>
    <w:rsid w:val="777D7419"/>
    <w:rsid w:val="77881C08"/>
    <w:rsid w:val="77935D3A"/>
    <w:rsid w:val="77A21E2B"/>
    <w:rsid w:val="77BD3373"/>
    <w:rsid w:val="77D21067"/>
    <w:rsid w:val="77D36B23"/>
    <w:rsid w:val="77E3660B"/>
    <w:rsid w:val="77F12B7B"/>
    <w:rsid w:val="77F6352E"/>
    <w:rsid w:val="77FF35AC"/>
    <w:rsid w:val="78090294"/>
    <w:rsid w:val="780D01FC"/>
    <w:rsid w:val="78321541"/>
    <w:rsid w:val="784E631D"/>
    <w:rsid w:val="78575795"/>
    <w:rsid w:val="78697F0C"/>
    <w:rsid w:val="788F1C58"/>
    <w:rsid w:val="7895410B"/>
    <w:rsid w:val="78A668CC"/>
    <w:rsid w:val="78AC25BF"/>
    <w:rsid w:val="79093478"/>
    <w:rsid w:val="790D7E9B"/>
    <w:rsid w:val="79144124"/>
    <w:rsid w:val="791D3825"/>
    <w:rsid w:val="79504D96"/>
    <w:rsid w:val="79683A37"/>
    <w:rsid w:val="79757554"/>
    <w:rsid w:val="79A7572D"/>
    <w:rsid w:val="79BD18C5"/>
    <w:rsid w:val="79C3347E"/>
    <w:rsid w:val="79E568A4"/>
    <w:rsid w:val="79EA5588"/>
    <w:rsid w:val="7A106F90"/>
    <w:rsid w:val="7A2771D6"/>
    <w:rsid w:val="7A2D6D03"/>
    <w:rsid w:val="7A4B7CE3"/>
    <w:rsid w:val="7AC25519"/>
    <w:rsid w:val="7AE61873"/>
    <w:rsid w:val="7AF36D70"/>
    <w:rsid w:val="7B02475C"/>
    <w:rsid w:val="7B092EFB"/>
    <w:rsid w:val="7B1902B5"/>
    <w:rsid w:val="7B194382"/>
    <w:rsid w:val="7B4F7A4B"/>
    <w:rsid w:val="7B96E74B"/>
    <w:rsid w:val="7BAE0198"/>
    <w:rsid w:val="7BD7106F"/>
    <w:rsid w:val="7BE9144D"/>
    <w:rsid w:val="7C6304A2"/>
    <w:rsid w:val="7C815ED2"/>
    <w:rsid w:val="7C975937"/>
    <w:rsid w:val="7CC93B4B"/>
    <w:rsid w:val="7CD0503A"/>
    <w:rsid w:val="7CE32A0E"/>
    <w:rsid w:val="7CE51337"/>
    <w:rsid w:val="7D202E75"/>
    <w:rsid w:val="7D4D1387"/>
    <w:rsid w:val="7D4D64BF"/>
    <w:rsid w:val="7D87050D"/>
    <w:rsid w:val="7DA44D30"/>
    <w:rsid w:val="7DFB4244"/>
    <w:rsid w:val="7E133AB3"/>
    <w:rsid w:val="7E675872"/>
    <w:rsid w:val="7E7473C0"/>
    <w:rsid w:val="7E780605"/>
    <w:rsid w:val="7E79600D"/>
    <w:rsid w:val="7EDA357C"/>
    <w:rsid w:val="7EED5889"/>
    <w:rsid w:val="7F051474"/>
    <w:rsid w:val="7F1B2A1D"/>
    <w:rsid w:val="7F2006BA"/>
    <w:rsid w:val="7F32499F"/>
    <w:rsid w:val="7F56701D"/>
    <w:rsid w:val="7F831BB8"/>
    <w:rsid w:val="7FAA0E98"/>
    <w:rsid w:val="7FC92566"/>
    <w:rsid w:val="7FF12376"/>
    <w:rsid w:val="7FF579BE"/>
    <w:rsid w:val="7FF84865"/>
    <w:rsid w:val="BFCEE3A6"/>
    <w:rsid w:val="D57F8CF9"/>
    <w:rsid w:val="E76EE887"/>
    <w:rsid w:val="E79A6410"/>
    <w:rsid w:val="E9B3029B"/>
    <w:rsid w:val="EEF7F2AE"/>
    <w:rsid w:val="EFA9B229"/>
    <w:rsid w:val="FBF7BCA9"/>
    <w:rsid w:val="FE5FA0A0"/>
    <w:rsid w:val="FFBE2174"/>
    <w:rsid w:val="FFEFEC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sz w:val="24"/>
      <w:lang w:val="en-US" w:eastAsia="zh-CN" w:bidi="ar"/>
    </w:rPr>
  </w:style>
  <w:style w:type="character" w:styleId="7">
    <w:name w:val="FollowedHyperlink"/>
    <w:basedOn w:val="6"/>
    <w:qFormat/>
    <w:uiPriority w:val="0"/>
    <w:rPr>
      <w:color w:val="800080"/>
      <w:u w:val="none"/>
    </w:rPr>
  </w:style>
  <w:style w:type="character" w:styleId="8">
    <w:name w:val="Emphasis"/>
    <w:basedOn w:val="6"/>
    <w:qFormat/>
    <w:uiPriority w:val="0"/>
  </w:style>
  <w:style w:type="character" w:styleId="9">
    <w:name w:val="Hyperlink"/>
    <w:basedOn w:val="6"/>
    <w:qFormat/>
    <w:uiPriority w:val="0"/>
    <w:rPr>
      <w:color w:val="0000FF"/>
      <w:u w:val="none"/>
    </w:rPr>
  </w:style>
  <w:style w:type="paragraph" w:customStyle="1" w:styleId="10">
    <w:name w:val="Normal (Web)"/>
    <w:basedOn w:val="1"/>
    <w:qFormat/>
    <w:uiPriority w:val="0"/>
    <w:pPr>
      <w:widowControl/>
      <w:spacing w:before="100" w:beforeLines="0" w:beforeAutospacing="1" w:after="100" w:afterLines="0" w:afterAutospacing="1"/>
      <w:jc w:val="left"/>
    </w:pPr>
    <w:rPr>
      <w:rFonts w:ascii="宋体" w:hAnsi="宋体"/>
      <w:kern w:val="0"/>
      <w:sz w:val="24"/>
    </w:rPr>
  </w:style>
  <w:style w:type="character" w:customStyle="1" w:styleId="11">
    <w:name w:val="font21"/>
    <w:basedOn w:val="6"/>
    <w:qFormat/>
    <w:uiPriority w:val="0"/>
    <w:rPr>
      <w:rFonts w:hint="default" w:ascii="Times New Roman" w:hAnsi="Times New Roman" w:cs="Times New Roman"/>
      <w:color w:val="000000"/>
      <w:sz w:val="22"/>
      <w:szCs w:val="22"/>
      <w:u w:val="none"/>
    </w:rPr>
  </w:style>
  <w:style w:type="character" w:customStyle="1" w:styleId="12">
    <w:name w:val="font11"/>
    <w:basedOn w:val="6"/>
    <w:qFormat/>
    <w:uiPriority w:val="0"/>
    <w:rPr>
      <w:rFonts w:ascii="黑体" w:hAnsi="宋体" w:eastAsia="黑体" w:cs="黑体"/>
      <w:color w:val="000000"/>
      <w:sz w:val="22"/>
      <w:szCs w:val="22"/>
      <w:u w:val="none"/>
    </w:rPr>
  </w:style>
  <w:style w:type="character" w:customStyle="1" w:styleId="13">
    <w:name w:val="font31"/>
    <w:basedOn w:val="6"/>
    <w:qFormat/>
    <w:uiPriority w:val="0"/>
    <w:rPr>
      <w:rFonts w:hint="eastAsia" w:ascii="宋体" w:hAnsi="宋体" w:eastAsia="宋体" w:cs="宋体"/>
      <w:color w:val="000000"/>
      <w:sz w:val="22"/>
      <w:szCs w:val="22"/>
      <w:u w:val="none"/>
    </w:rPr>
  </w:style>
  <w:style w:type="character" w:customStyle="1" w:styleId="14">
    <w:name w:val="people_items_title"/>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chart" Target="charts/chart5.xml"/><Relationship Id="rId8" Type="http://schemas.openxmlformats.org/officeDocument/2006/relationships/chart" Target="charts/chart4.xml"/><Relationship Id="rId7" Type="http://schemas.openxmlformats.org/officeDocument/2006/relationships/chart" Target="charts/chart3.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theme" Target="theme/theme1.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chart" Target="charts/chart15.xml"/><Relationship Id="rId18" Type="http://schemas.openxmlformats.org/officeDocument/2006/relationships/chart" Target="charts/chart14.xml"/><Relationship Id="rId17" Type="http://schemas.openxmlformats.org/officeDocument/2006/relationships/chart" Target="charts/chart13.xml"/><Relationship Id="rId16" Type="http://schemas.openxmlformats.org/officeDocument/2006/relationships/chart" Target="charts/chart12.xml"/><Relationship Id="rId15" Type="http://schemas.openxmlformats.org/officeDocument/2006/relationships/chart" Target="charts/chart11.xml"/><Relationship Id="rId14" Type="http://schemas.openxmlformats.org/officeDocument/2006/relationships/chart" Target="charts/chart10.xml"/><Relationship Id="rId13" Type="http://schemas.openxmlformats.org/officeDocument/2006/relationships/chart" Target="charts/chart9.xml"/><Relationship Id="rId12" Type="http://schemas.openxmlformats.org/officeDocument/2006/relationships/chart" Target="charts/chart8.xml"/><Relationship Id="rId11" Type="http://schemas.openxmlformats.org/officeDocument/2006/relationships/chart" Target="charts/chart7.xml"/><Relationship Id="rId10" Type="http://schemas.openxmlformats.org/officeDocument/2006/relationships/chart" Target="charts/chart6.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Administrator\Desktop\2025&#24180;&#32508;&#21512;\&#20844;&#25253;&#24449;&#27714;&#24847;&#35265;\2024&#24180;&#20844;&#25253;&#22270;&#34920;.xls"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Administrator\Desktop\2025&#24180;&#32508;&#21512;\&#20844;&#25253;&#24449;&#27714;&#24847;&#35265;\2024&#24180;&#20844;&#25253;&#22270;&#34920;.xls"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Administrator\Desktop\2025&#24180;&#32508;&#21512;\&#20844;&#25253;&#24449;&#27714;&#24847;&#35265;\2024&#24180;&#20844;&#25253;&#22270;&#34920;.xls" TargetMode="External"/></Relationships>
</file>

<file path=word/charts/_rels/chart4.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chartUserShapes" Target="../drawings/drawing1.xml"/><Relationship Id="rId1" Type="http://schemas.openxmlformats.org/officeDocument/2006/relationships/oleObject" Target="file:///C:\Users\Administrator\Desktop\2025&#24180;&#32508;&#21512;\&#20844;&#25253;&#24449;&#27714;&#24847;&#35265;\2024&#24180;&#20844;&#25253;&#22270;&#34920;.xls"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lining\Desktop\2024&#24180;&#20844;&#25253;&#22270;&#34920;.xls"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Administrator\Desktop\2025&#24180;&#32508;&#21512;\&#20844;&#25253;&#24449;&#27714;&#24847;&#35265;\2024&#24180;&#20844;&#25253;&#22270;&#34920;.xls"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Administrator\Desktop\2025&#24180;&#32508;&#21512;\&#20844;&#25253;&#24449;&#27714;&#24847;&#35265;\2024&#24180;&#20844;&#25253;&#22270;&#34920;.xls"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lining\Desktop\2024&#24180;&#20844;&#25253;&#22270;&#34920;.xls"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Administrator\Desktop\2025&#24180;&#32508;&#21512;\&#20844;&#25253;&#24449;&#27714;&#24847;&#35265;\2024&#24180;&#20844;&#25253;&#22270;&#34920;.xls"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lining\Desktop\2024&#24180;&#20844;&#25253;&#22270;&#34920;.xls"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Users\Administrator\Desktop\2025&#24180;&#32508;&#21512;\&#20844;&#25253;&#24449;&#27714;&#24847;&#35265;\2024&#24180;&#20844;&#25253;&#22270;&#34920;.xls"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C:\Users\Administrator\Desktop\2025&#24180;&#32508;&#21512;\&#20844;&#25253;&#24449;&#27714;&#24847;&#35265;\2024&#24180;&#20844;&#25253;&#22270;&#34920;.xls"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C:\Users\lining\Desktop\2024&#24180;&#20844;&#25253;&#22270;&#34920;.xls"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C:\Users\lining\Desktop\2024&#24180;&#20844;&#25253;&#22270;&#34920;.xls"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C:\Users\lining\Desktop\2024&#24180;&#20844;&#25253;&#22270;&#34920;.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true"/>
          <a:lstStyle/>
          <a:p>
            <a:pPr defTabSz="914400">
              <a:defRPr lang="zh-CN" sz="1400" b="0" i="0" u="none" strike="noStrike" kern="1200" baseline="0">
                <a:solidFill>
                  <a:srgbClr val="000000">
                    <a:alpha val="100000"/>
                  </a:srgbClr>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defRPr>
            </a:pPr>
            <a:r>
              <a:rPr sz="1400" b="0" i="0" u="none" strike="noStrike" baseline="0">
                <a:solidFill>
                  <a:srgbClr val="333333"/>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201</a:t>
            </a:r>
            <a:r>
              <a:rPr lang="en-US" altLang="zh-CN" sz="1400" b="0" i="0" u="none" strike="noStrike" baseline="0">
                <a:solidFill>
                  <a:srgbClr val="333333"/>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333333"/>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202</a:t>
            </a:r>
            <a:r>
              <a:rPr lang="en-US" altLang="zh-CN" sz="1400" b="0" i="0" u="none" strike="noStrike" baseline="0">
                <a:solidFill>
                  <a:srgbClr val="333333"/>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333333"/>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年地区生产总值（GDP）及增速</a:t>
            </a:r>
            <a:endPar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endParaRPr>
          </a:p>
        </c:rich>
      </c:tx>
      <c:layout>
        <c:manualLayout>
          <c:xMode val="edge"/>
          <c:yMode val="edge"/>
          <c:x val="0.188202041108239"/>
          <c:y val="0.0284454342197124"/>
        </c:manualLayout>
      </c:layout>
      <c:overlay val="false"/>
      <c:spPr>
        <a:noFill/>
        <a:ln w="3175">
          <a:noFill/>
        </a:ln>
      </c:spPr>
    </c:title>
    <c:autoTitleDeleted val="false"/>
    <c:plotArea>
      <c:layout>
        <c:manualLayout>
          <c:layoutTarget val="inner"/>
          <c:xMode val="edge"/>
          <c:yMode val="edge"/>
          <c:x val="0.0461665838715019"/>
          <c:y val="0.242642102898225"/>
          <c:w val="0.912767014406359"/>
          <c:h val="0.583104920242642"/>
        </c:manualLayout>
      </c:layout>
      <c:barChart>
        <c:barDir val="col"/>
        <c:grouping val="clustered"/>
        <c:varyColors val="false"/>
        <c:ser>
          <c:idx val="0"/>
          <c:order val="0"/>
          <c:tx>
            <c:strRef>
              <c:f>[2024年公报图表.xls]GDP!$B$2</c:f>
              <c:strCache>
                <c:ptCount val="1"/>
                <c:pt idx="0">
                  <c:v>地区生产总值</c:v>
                </c:pt>
              </c:strCache>
            </c:strRef>
          </c:tx>
          <c:spPr>
            <a:solidFill>
              <a:schemeClr val="accent4">
                <a:lumMod val="60000"/>
                <a:lumOff val="40000"/>
              </a:schemeClr>
            </a:solidFill>
            <a:ln>
              <a:noFill/>
            </a:ln>
            <a:effectLst/>
          </c:spPr>
          <c:invertIfNegative val="false"/>
          <c:dLbls>
            <c:dLbl>
              <c:idx val="0"/>
              <c:layout/>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1"/>
              <c:layout/>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2"/>
              <c:layout/>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3"/>
              <c:layout>
                <c:manualLayout>
                  <c:x val="0.00542234004096879"/>
                  <c:y val="0.0281124497991968"/>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15:layout/>
                </c:ext>
              </c:extLst>
            </c:dLbl>
            <c:dLbl>
              <c:idx val="4"/>
              <c:layout/>
              <c:tx>
                <c:rich>
                  <a:bodyPr rot="0" spcFirstLastPara="0" vertOverflow="ellipsis" vert="horz" wrap="square" lIns="38100" tIns="19050" rIns="38100" bIns="19050" anchor="ctr" anchorCtr="true"/>
                  <a:lstStyle/>
                  <a:p>
                    <a:pPr defTabSz="914400">
                      <a:defRPr lang="zh-CN" sz="9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r>
                      <a:rPr lang="en-US" altLang="zh-CN">
                        <a:latin typeface="Times New Roman" charset="0"/>
                        <a:ea typeface="Times New Roman" charset="0"/>
                        <a:cs typeface="Times New Roman" charset="0"/>
                        <a:sym typeface="Times New Roman" charset="0"/>
                      </a:rPr>
                      <a:t>358.39</a:t>
                    </a:r>
                    <a:endParaRPr lang="en-US" altLang="zh-CN" sz="900" b="1" i="0" u="none" strike="noStrike" baseline="0">
                      <a:solidFill>
                        <a:srgbClr val="333333">
                          <a:alpha val="100000"/>
                        </a:srgbClr>
                      </a:solidFill>
                      <a:latin typeface="Times New Roman" charset="0"/>
                      <a:ea typeface="Times New Roman" charset="0"/>
                      <a:cs typeface="Times New Roman" charset="0"/>
                      <a:sym typeface="Times New Roman" charset="0"/>
                    </a:endParaRPr>
                  </a:p>
                </c:rich>
              </c:tx>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true"/>
              <c:showSerName val="false"/>
              <c:showPercent val="false"/>
              <c:showBubbleSize val="false"/>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true"/>
                  <a:lstStyle/>
                  <a:p>
                    <a:pPr defTabSz="914400">
                      <a:defRPr lang="zh-CN" sz="9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r>
                      <a:rPr lang="en-US" altLang="zh-CN">
                        <a:latin typeface="Times New Roman" charset="0"/>
                        <a:ea typeface="Times New Roman" charset="0"/>
                        <a:cs typeface="Times New Roman" charset="0"/>
                        <a:sym typeface="Times New Roman" charset="0"/>
                      </a:rPr>
                      <a:t>400.14</a:t>
                    </a:r>
                    <a:endParaRPr lang="en-US" altLang="zh-CN" sz="900" b="1" i="0" u="none" strike="noStrike" baseline="0">
                      <a:solidFill>
                        <a:srgbClr val="333333">
                          <a:alpha val="100000"/>
                        </a:srgbClr>
                      </a:solidFill>
                      <a:latin typeface="Times New Roman" charset="0"/>
                      <a:ea typeface="Times New Roman" charset="0"/>
                      <a:cs typeface="Times New Roman" charset="0"/>
                      <a:sym typeface="Times New Roman" charset="0"/>
                    </a:endParaRPr>
                  </a:p>
                </c:rich>
              </c:tx>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true"/>
              <c:showSerName val="false"/>
              <c:showPercent val="false"/>
              <c:showBubbleSize val="false"/>
              <c:extLst>
                <c:ext xmlns:c15="http://schemas.microsoft.com/office/drawing/2012/chart" uri="{CE6537A1-D6FC-4f65-9D91-7224C49458BB}"/>
              </c:extLst>
            </c:dLbl>
            <c:dLbl>
              <c:idx val="6"/>
              <c:layout/>
              <c:tx>
                <c:rich>
                  <a:bodyPr rot="0" spcFirstLastPara="0" vertOverflow="ellipsis" vert="horz" wrap="square" lIns="38100" tIns="19050" rIns="38100" bIns="19050" anchor="ctr" anchorCtr="true"/>
                  <a:lstStyle/>
                  <a:p>
                    <a:pPr defTabSz="914400">
                      <a:defRPr lang="zh-CN" sz="9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r>
                      <a:rPr lang="en-US" altLang="zh-CN">
                        <a:latin typeface="Times New Roman" charset="0"/>
                        <a:ea typeface="Times New Roman" charset="0"/>
                        <a:cs typeface="Times New Roman" charset="0"/>
                        <a:sym typeface="Times New Roman" charset="0"/>
                      </a:rPr>
                      <a:t>426.63</a:t>
                    </a:r>
                    <a:endParaRPr lang="en-US" altLang="zh-CN" sz="900" b="1" i="0" u="none" strike="noStrike" baseline="0">
                      <a:solidFill>
                        <a:srgbClr val="333333">
                          <a:alpha val="100000"/>
                        </a:srgbClr>
                      </a:solidFill>
                      <a:latin typeface="Times New Roman" charset="0"/>
                      <a:ea typeface="Times New Roman" charset="0"/>
                      <a:cs typeface="Times New Roman" charset="0"/>
                      <a:sym typeface="Times New Roman" charset="0"/>
                    </a:endParaRPr>
                  </a:p>
                </c:rich>
              </c:tx>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true"/>
              <c:showSerName val="false"/>
              <c:showPercent val="false"/>
              <c:showBubbleSize val="false"/>
              <c:extLst>
                <c:ext xmlns:c15="http://schemas.microsoft.com/office/drawing/2012/chart" uri="{CE6537A1-D6FC-4f65-9D91-7224C49458BB}"/>
              </c:extLst>
            </c:dLbl>
            <c:dLbl>
              <c:idx val="7"/>
              <c:layout/>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8"/>
              <c:layout/>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9"/>
              <c:layout/>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10"/>
              <c:layout/>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[2024年公报图表.xls]GDP!$G$1:$Q$1</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[2024年公报图表.xls]GDP!$G$2:$Q$2</c:f>
              <c:numCache>
                <c:formatCode>General</c:formatCode>
                <c:ptCount val="11"/>
                <c:pt idx="0">
                  <c:v>176.86</c:v>
                </c:pt>
                <c:pt idx="1" c:formatCode="0.00_ ">
                  <c:v>205.5</c:v>
                </c:pt>
                <c:pt idx="2" c:formatCode="0.00_ ">
                  <c:v>250.9</c:v>
                </c:pt>
                <c:pt idx="3" c:formatCode="0.00_ ">
                  <c:v>288.1717</c:v>
                </c:pt>
                <c:pt idx="4" c:formatCode="0.00_ ">
                  <c:v>358.39</c:v>
                </c:pt>
                <c:pt idx="5" c:formatCode="0.00_ ">
                  <c:v>400.14</c:v>
                </c:pt>
                <c:pt idx="6" c:formatCode="0.00_ ">
                  <c:v>426.63</c:v>
                </c:pt>
                <c:pt idx="7" c:formatCode="0.00_ ">
                  <c:v>484.27</c:v>
                </c:pt>
                <c:pt idx="8" c:formatCode="0.00_ ">
                  <c:v>530.46</c:v>
                </c:pt>
                <c:pt idx="9" c:formatCode="0.00_ ">
                  <c:v>563.36</c:v>
                </c:pt>
                <c:pt idx="10" c:formatCode="0.00_ ">
                  <c:v>598.36</c:v>
                </c:pt>
              </c:numCache>
            </c:numRef>
          </c:val>
        </c:ser>
        <c:dLbls>
          <c:showLegendKey val="false"/>
          <c:showVal val="false"/>
          <c:showCatName val="false"/>
          <c:showSerName val="false"/>
          <c:showPercent val="false"/>
          <c:showBubbleSize val="false"/>
        </c:dLbls>
        <c:gapWidth val="100"/>
        <c:overlap val="-27"/>
        <c:axId val="500589866"/>
        <c:axId val="987356794"/>
      </c:barChart>
      <c:lineChart>
        <c:grouping val="standard"/>
        <c:varyColors val="false"/>
        <c:ser>
          <c:idx val="1"/>
          <c:order val="1"/>
          <c:tx>
            <c:strRef>
              <c:f>[2024年公报图表.xls]GDP!$B$3</c:f>
              <c:strCache>
                <c:ptCount val="1"/>
                <c:pt idx="0">
                  <c:v>增速</c:v>
                </c:pt>
              </c:strCache>
            </c:strRef>
          </c:tx>
          <c:spPr>
            <a:ln w="22225" cap="rnd" cmpd="sng" algn="ctr">
              <a:solidFill>
                <a:schemeClr val="accent5">
                  <a:lumMod val="60000"/>
                  <a:lumOff val="40000"/>
                </a:schemeClr>
              </a:solidFill>
              <a:prstDash val="solid"/>
              <a:round/>
            </a:ln>
            <a:effectLst/>
          </c:spPr>
          <c:marker>
            <c:symbol val="square"/>
            <c:size val="6"/>
            <c:spPr>
              <a:solidFill>
                <a:schemeClr val="accent2"/>
              </a:solidFill>
              <a:ln w="15875" cap="rnd" cmpd="sng" algn="ctr">
                <a:solidFill>
                  <a:schemeClr val="accent5">
                    <a:lumMod val="60000"/>
                    <a:lumOff val="40000"/>
                  </a:schemeClr>
                </a:solidFill>
                <a:prstDash val="solid"/>
                <a:round/>
              </a:ln>
              <a:effectLst/>
            </c:spPr>
          </c:marker>
          <c:dPt>
            <c:idx val="4"/>
            <c:marker>
              <c:symbol val="square"/>
              <c:size val="6"/>
              <c:spPr>
                <a:solidFill>
                  <a:schemeClr val="accent2"/>
                </a:solidFill>
                <a:ln w="15875" cap="rnd" cmpd="sng" algn="ctr">
                  <a:solidFill>
                    <a:schemeClr val="accent5">
                      <a:lumMod val="60000"/>
                      <a:lumOff val="40000"/>
                    </a:schemeClr>
                  </a:solidFill>
                  <a:prstDash val="solid"/>
                  <a:round/>
                </a:ln>
                <a:effectLst/>
              </c:spPr>
            </c:marker>
            <c:bubble3D val="false"/>
            <c:explosion val="0"/>
            <c:spPr>
              <a:ln w="22225" cap="rnd" cmpd="sng" algn="ctr">
                <a:solidFill>
                  <a:schemeClr val="accent5">
                    <a:lumMod val="60000"/>
                    <a:lumOff val="40000"/>
                  </a:schemeClr>
                </a:solidFill>
                <a:prstDash val="solid"/>
                <a:round/>
              </a:ln>
              <a:effectLst/>
            </c:spPr>
          </c:dPt>
          <c:dLbls>
            <c:dLbl>
              <c:idx val="3"/>
              <c:layout>
                <c:manualLayout>
                  <c:x val="0"/>
                  <c:y val="-0.0269360269360269"/>
                </c:manualLayout>
              </c:layout>
              <c:dLblPos val="b"/>
              <c:showLegendKey val="false"/>
              <c:showVal val="true"/>
              <c:showCatName val="false"/>
              <c:showSerName val="false"/>
              <c:showPercent val="false"/>
              <c:showBubbleSize val="false"/>
              <c:extLst>
                <c:ext xmlns:c15="http://schemas.microsoft.com/office/drawing/2012/chart" uri="{CE6537A1-D6FC-4f65-9D91-7224C49458BB}">
                  <c15:layout/>
                </c:ext>
              </c:extLst>
            </c:dLbl>
            <c:dLbl>
              <c:idx val="6"/>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7"/>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8"/>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9"/>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10"/>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[2024年公报图表.xls]GDP!$G$1:$Q$1</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[2024年公报图表.xls]GDP!$G$3:$Q$3</c:f>
              <c:numCache>
                <c:formatCode>General</c:formatCode>
                <c:ptCount val="11"/>
                <c:pt idx="0">
                  <c:v>11.4</c:v>
                </c:pt>
                <c:pt idx="1">
                  <c:v>11.6</c:v>
                </c:pt>
                <c:pt idx="2">
                  <c:v>10.3</c:v>
                </c:pt>
                <c:pt idx="3" c:formatCode="0.0_ ">
                  <c:v>8.7</c:v>
                </c:pt>
                <c:pt idx="4" c:formatCode="0.0_ ">
                  <c:v>7.5</c:v>
                </c:pt>
                <c:pt idx="5" c:formatCode="0.0_ ">
                  <c:v>7.9</c:v>
                </c:pt>
                <c:pt idx="6" c:formatCode="0.0_ ">
                  <c:v>5.7</c:v>
                </c:pt>
                <c:pt idx="7" c:formatCode="0.0_ ">
                  <c:v>6.7</c:v>
                </c:pt>
                <c:pt idx="8">
                  <c:v>4.8</c:v>
                </c:pt>
                <c:pt idx="9" c:formatCode="0.0_ ">
                  <c:v>5.3</c:v>
                </c:pt>
                <c:pt idx="10" c:formatCode="0.0_ ">
                  <c:v>6.4</c:v>
                </c:pt>
              </c:numCache>
            </c:numRef>
          </c:val>
          <c:smooth val="false"/>
        </c:ser>
        <c:dLbls>
          <c:showLegendKey val="false"/>
          <c:showVal val="true"/>
          <c:showCatName val="false"/>
          <c:showSerName val="false"/>
          <c:showPercent val="false"/>
          <c:showBubbleSize val="false"/>
        </c:dLbls>
        <c:marker val="true"/>
        <c:smooth val="false"/>
        <c:axId val="321750161"/>
        <c:axId val="957788976"/>
      </c:lineChart>
      <c:catAx>
        <c:axId val="500589866"/>
        <c:scaling>
          <c:orientation val="minMax"/>
        </c:scaling>
        <c:delete val="false"/>
        <c:axPos val="b"/>
        <c:title>
          <c:tx>
            <c:rich>
              <a:bodyPr rot="0" spcFirstLastPara="0" vertOverflow="ellipsis" vert="horz" wrap="square" anchor="ctr" anchorCtr="true"/>
              <a:lstStyle/>
              <a:p>
                <a:pPr defTabSz="914400">
                  <a:defRPr lang="zh-CN" sz="8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r>
                  <a:rPr b="1">
                    <a:latin typeface="Times New Roman" charset="0"/>
                    <a:ea typeface="Times New Roman" charset="0"/>
                    <a:cs typeface="Times New Roman" charset="0"/>
                    <a:sym typeface="Times New Roman" charset="0"/>
                  </a:rPr>
                  <a:t>亿元</a:t>
                </a:r>
                <a:endParaRPr sz="800" b="1" i="0" u="none" strike="noStrike" baseline="0">
                  <a:solidFill>
                    <a:srgbClr val="333333">
                      <a:alpha val="100000"/>
                    </a:srgbClr>
                  </a:solidFill>
                  <a:latin typeface="Times New Roman" charset="0"/>
                  <a:ea typeface="Times New Roman" charset="0"/>
                  <a:cs typeface="Times New Roman" charset="0"/>
                  <a:sym typeface="Times New Roman" charset="0"/>
                </a:endParaRPr>
              </a:p>
            </c:rich>
          </c:tx>
          <c:layout>
            <c:manualLayout>
              <c:xMode val="edge"/>
              <c:yMode val="edge"/>
              <c:x val="0.00695286282381588"/>
              <c:y val="0.14855077458752"/>
            </c:manualLayout>
          </c:layout>
          <c:overlay val="false"/>
          <c:spPr>
            <a:noFill/>
            <a:ln w="3175">
              <a:noFill/>
            </a:ln>
          </c:spPr>
        </c:title>
        <c:majorTickMark val="in"/>
        <c:minorTickMark val="none"/>
        <c:tickLblPos val="nextTo"/>
        <c:spPr>
          <a:noFill/>
          <a:ln w="9525" cap="flat" cmpd="sng" algn="ctr">
            <a:solidFill>
              <a:schemeClr val="dk1">
                <a:shade val="95000"/>
                <a:satMod val="105000"/>
              </a:schemeClr>
            </a:solidFill>
            <a:prstDash val="solid"/>
            <a:round/>
          </a:ln>
          <a:effectLst/>
        </c:spPr>
        <c:txPr>
          <a:bodyPr rot="0" spcFirstLastPara="0" vertOverflow="ellipsis" vert="horz" wrap="square"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987356794"/>
        <c:crosses val="autoZero"/>
        <c:auto val="true"/>
        <c:lblAlgn val="ctr"/>
        <c:lblOffset val="100"/>
        <c:noMultiLvlLbl val="false"/>
      </c:catAx>
      <c:valAx>
        <c:axId val="987356794"/>
        <c:scaling>
          <c:orientation val="minMax"/>
          <c:max val="600"/>
        </c:scaling>
        <c:delete val="false"/>
        <c:axPos val="l"/>
        <c:numFmt formatCode="General" sourceLinked="true"/>
        <c:majorTickMark val="in"/>
        <c:minorTickMark val="none"/>
        <c:tickLblPos val="nextTo"/>
        <c:spPr>
          <a:noFill/>
          <a:ln w="9525" cap="flat" cmpd="sng" algn="ctr">
            <a:solidFill>
              <a:schemeClr val="dk1">
                <a:shade val="95000"/>
                <a:satMod val="105000"/>
              </a:schemeClr>
            </a:solidFill>
            <a:prstDash val="solid"/>
            <a:round/>
          </a:ln>
          <a:effectLst/>
        </c:spPr>
        <c:txPr>
          <a:bodyPr rot="0" spcFirstLastPara="0" vertOverflow="ellipsis" vert="horz" wrap="square"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500589866"/>
        <c:crosses val="autoZero"/>
        <c:crossBetween val="between"/>
      </c:valAx>
      <c:catAx>
        <c:axId val="321750161"/>
        <c:scaling>
          <c:orientation val="minMax"/>
        </c:scaling>
        <c:delete val="true"/>
        <c:axPos val="b"/>
        <c:majorTickMark val="none"/>
        <c:minorTickMark val="none"/>
        <c:tickLblPos val="nextTo"/>
        <c:txPr>
          <a:bodyPr rot="-60000000" spcFirstLastPara="0" vertOverflow="ellipsis" vert="horz" wrap="square" anchor="ctr" anchorCtr="true"/>
          <a:lstStyle/>
          <a:p>
            <a:pPr>
              <a:defRPr lang="zh-CN" sz="1000" b="0"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957788976"/>
        <c:crosses val="autoZero"/>
        <c:auto val="true"/>
        <c:lblAlgn val="ctr"/>
        <c:lblOffset val="100"/>
        <c:noMultiLvlLbl val="false"/>
      </c:catAx>
      <c:valAx>
        <c:axId val="957788976"/>
        <c:scaling>
          <c:orientation val="minMax"/>
        </c:scaling>
        <c:delete val="false"/>
        <c:axPos val="r"/>
        <c:numFmt formatCode="General" sourceLinked="true"/>
        <c:majorTickMark val="none"/>
        <c:minorTickMark val="none"/>
        <c:tickLblPos val="nextTo"/>
        <c:txPr>
          <a:bodyPr rot="-60000000" spcFirstLastPara="0" vertOverflow="ellipsis" vert="horz" wrap="square" anchor="ctr" anchorCtr="true"/>
          <a:lstStyle/>
          <a:p>
            <a:pPr>
              <a:defRPr lang="zh-CN" sz="1000" b="0"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321750161"/>
        <c:crosses val="max"/>
        <c:crossBetween val="between"/>
      </c:valAx>
      <c:spPr>
        <a:noFill/>
        <a:ln w="3175">
          <a:noFill/>
        </a:ln>
      </c:spPr>
    </c:plotArea>
    <c:legend>
      <c:legendPos val="r"/>
      <c:legendEntry>
        <c:idx val="0"/>
        <c:txPr>
          <a:bodyPr rot="0" spcFirstLastPara="0" vertOverflow="ellipsis" vert="horz" wrap="square" anchor="ctr" anchorCtr="true"/>
          <a:lstStyle/>
          <a:p>
            <a:pPr>
              <a:defRPr lang="zh-CN" sz="755" b="0" i="0" u="none" strike="noStrike" kern="1200" baseline="0">
                <a:solidFill>
                  <a:srgbClr val="333333"/>
                </a:solidFill>
                <a:latin typeface="Times New Roman" charset="0"/>
                <a:ea typeface="Times New Roman" charset="0"/>
                <a:cs typeface="Times New Roman" charset="0"/>
                <a:sym typeface="Times New Roman" charset="0"/>
              </a:defRPr>
            </a:pPr>
          </a:p>
        </c:txPr>
      </c:legendEntry>
      <c:legendEntry>
        <c:idx val="1"/>
        <c:txPr>
          <a:bodyPr rot="0" spcFirstLastPara="0" vertOverflow="ellipsis" vert="horz" wrap="square" anchor="ctr" anchorCtr="true"/>
          <a:lstStyle/>
          <a:p>
            <a:pPr>
              <a:defRPr lang="zh-CN" sz="755" b="0" i="0" u="none" strike="noStrike" kern="1200" baseline="0">
                <a:solidFill>
                  <a:srgbClr val="333333"/>
                </a:solidFill>
                <a:latin typeface="Times New Roman" charset="0"/>
                <a:ea typeface="Times New Roman" charset="0"/>
                <a:cs typeface="Times New Roman" charset="0"/>
                <a:sym typeface="Times New Roman" charset="0"/>
              </a:defRPr>
            </a:pPr>
          </a:p>
        </c:txPr>
      </c:legendEntry>
      <c:layout>
        <c:manualLayout>
          <c:xMode val="edge"/>
          <c:yMode val="edge"/>
          <c:x val="0.303425504513404"/>
          <c:y val="0.924737882062365"/>
          <c:w val="0.38825"/>
          <c:h val="0.066"/>
        </c:manualLayout>
      </c:layout>
      <c:overlay val="false"/>
      <c:spPr>
        <a:noFill/>
        <a:ln w="3175">
          <a:noFill/>
        </a:ln>
      </c:spPr>
      <c:txPr>
        <a:bodyPr rot="0" spcFirstLastPara="0" vertOverflow="ellipsis" vert="horz" wrap="square" anchor="ctr" anchorCtr="true"/>
        <a:lstStyle/>
        <a:p>
          <a:pPr>
            <a:defRPr lang="zh-CN" sz="755" b="0" i="0" u="none" strike="noStrike" kern="1200" baseline="0">
              <a:solidFill>
                <a:srgbClr val="333333"/>
              </a:solidFill>
              <a:latin typeface="Times New Roman" charset="0"/>
              <a:ea typeface="Times New Roman" charset="0"/>
              <a:cs typeface="Times New Roman" charset="0"/>
              <a:sym typeface="Times New Roman" charset="0"/>
            </a:defRPr>
          </a:pPr>
        </a:p>
      </c:txPr>
    </c:legend>
    <c:plotVisOnly val="true"/>
    <c:dispBlanksAs val="gap"/>
    <c:showDLblsOverMax val="false"/>
  </c:chart>
  <c:spPr>
    <a:solidFill>
      <a:schemeClr val="bg1"/>
    </a:solidFill>
    <a:ln w="9525" cap="flat" cmpd="sng" algn="ctr">
      <a:noFill/>
      <a:prstDash val="solid"/>
      <a:round/>
    </a:ln>
    <a:effectLst/>
  </c:spPr>
  <c:txPr>
    <a:bodyPr rot="0" wrap="square" anchor="ctr" anchorCtr="true"/>
    <a:lstStyle/>
    <a:p>
      <a:pPr>
        <a:defRPr lang="zh-CN" sz="1000" b="0" i="0" u="none" strike="noStrike" baseline="0">
          <a:solidFill>
            <a:srgbClr val="000000">
              <a:alpha val="100000"/>
            </a:srgbClr>
          </a:solidFill>
          <a:latin typeface="Times New Roman" charset="0"/>
          <a:ea typeface="Times New Roman" charset="0"/>
          <a:cs typeface="Times New Roman" charset="0"/>
          <a:sym typeface="Times New Roman" charset="0"/>
        </a:defRPr>
      </a:pPr>
    </a:p>
  </c:txPr>
  <c:externalData r:id="rId1">
    <c:autoUpdate val="false"/>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true"/>
          <a:lstStyle/>
          <a:p>
            <a:pPr defTabSz="914400">
              <a:defRPr lang="zh-CN" sz="1400" b="0" i="0" u="none" strike="noStrike" kern="1200" baseline="0">
                <a:solidFill>
                  <a:srgbClr val="000000">
                    <a:alpha val="100000"/>
                  </a:srgbClr>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defRPr>
            </a:pPr>
            <a:r>
              <a:rPr sz="1400" b="0" i="0" u="none" strike="noStrike" baseline="0">
                <a:solidFill>
                  <a:srgbClr val="333333"/>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201</a:t>
            </a:r>
            <a:r>
              <a:rPr lang="en-US" altLang="zh-CN" sz="1400" b="0" i="0" u="none" strike="noStrike" baseline="0">
                <a:solidFill>
                  <a:srgbClr val="333333"/>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333333"/>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年</a:t>
            </a:r>
            <a:r>
              <a:rPr lang="en-US" altLang="zh-CN" sz="1400" b="0" i="0" u="none" strike="noStrike" baseline="0">
                <a:solidFill>
                  <a:srgbClr val="333333"/>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a:t>
            </a:r>
            <a:r>
              <a:rPr sz="1400" b="0" i="0" u="none" strike="noStrike" baseline="0">
                <a:solidFill>
                  <a:srgbClr val="333333"/>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202</a:t>
            </a:r>
            <a:r>
              <a:rPr lang="en-US" altLang="zh-CN" sz="1400" b="0" i="0" u="none" strike="noStrike" baseline="0">
                <a:solidFill>
                  <a:srgbClr val="333333"/>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333333"/>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年三次产业增加值占地区生产总值比重</a:t>
            </a:r>
            <a:endPar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endParaRPr>
          </a:p>
        </c:rich>
      </c:tx>
      <c:layout>
        <c:manualLayout>
          <c:xMode val="edge"/>
          <c:yMode val="edge"/>
          <c:x val="0.199872615852714"/>
          <c:y val="0.013886452112949"/>
        </c:manualLayout>
      </c:layout>
      <c:overlay val="false"/>
      <c:spPr>
        <a:noFill/>
        <a:ln w="3175">
          <a:noFill/>
        </a:ln>
      </c:spPr>
    </c:title>
    <c:autoTitleDeleted val="false"/>
    <c:plotArea>
      <c:layout/>
      <c:barChart>
        <c:barDir val="col"/>
        <c:grouping val="percentStacked"/>
        <c:varyColors val="false"/>
        <c:ser>
          <c:idx val="0"/>
          <c:order val="0"/>
          <c:tx>
            <c:strRef>
              <c:f>[2024年公报图表.xls]GDP三产占比!$B$2</c:f>
              <c:strCache>
                <c:ptCount val="1"/>
                <c:pt idx="0">
                  <c:v>第一产业</c:v>
                </c:pt>
              </c:strCache>
            </c:strRef>
          </c:tx>
          <c:spPr>
            <a:solidFill>
              <a:srgbClr val="4F81BD">
                <a:alpha val="100000"/>
              </a:srgbClr>
            </a:solidFill>
            <a:ln w="3175">
              <a:noFill/>
            </a:ln>
          </c:spPr>
          <c:invertIfNegative val="false"/>
          <c:dLbls>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[2024年公报图表.xls]GDP三产占比!$G$1:$Q$1</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[2024年公报图表.xls]GDP三产占比!$G$2:$Q$2</c:f>
              <c:numCache>
                <c:formatCode>0.0_ </c:formatCode>
                <c:ptCount val="11"/>
                <c:pt idx="0">
                  <c:v>30</c:v>
                </c:pt>
                <c:pt idx="1" c:formatCode="General">
                  <c:v>26.7</c:v>
                </c:pt>
                <c:pt idx="2" c:formatCode="General">
                  <c:v>23.9</c:v>
                </c:pt>
                <c:pt idx="3" c:formatCode="General">
                  <c:v>23.7</c:v>
                </c:pt>
                <c:pt idx="4">
                  <c:v>18.6444934289461</c:v>
                </c:pt>
                <c:pt idx="5">
                  <c:v>17.5138701454491</c:v>
                </c:pt>
                <c:pt idx="6">
                  <c:v>17.9288845135129</c:v>
                </c:pt>
                <c:pt idx="7">
                  <c:v>20</c:v>
                </c:pt>
                <c:pt idx="8">
                  <c:v>21.4116050220563</c:v>
                </c:pt>
                <c:pt idx="9">
                  <c:v>20.7771229764272</c:v>
                </c:pt>
                <c:pt idx="10">
                  <c:v>18.5707600775453</c:v>
                </c:pt>
              </c:numCache>
            </c:numRef>
          </c:val>
        </c:ser>
        <c:ser>
          <c:idx val="1"/>
          <c:order val="1"/>
          <c:tx>
            <c:strRef>
              <c:f>[2024年公报图表.xls]GDP三产占比!$B$3</c:f>
              <c:strCache>
                <c:ptCount val="1"/>
                <c:pt idx="0">
                  <c:v>第二产业</c:v>
                </c:pt>
              </c:strCache>
            </c:strRef>
          </c:tx>
          <c:spPr>
            <a:solidFill>
              <a:srgbClr val="C0504D">
                <a:alpha val="100000"/>
              </a:srgbClr>
            </a:solidFill>
            <a:ln w="3175">
              <a:noFill/>
            </a:ln>
          </c:spPr>
          <c:invertIfNegative val="false"/>
          <c:dLbls>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[2024年公报图表.xls]GDP三产占比!$G$1:$Q$1</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[2024年公报图表.xls]GDP三产占比!$G$3:$Q$3</c:f>
              <c:numCache>
                <c:formatCode>General</c:formatCode>
                <c:ptCount val="11"/>
                <c:pt idx="0">
                  <c:v>18.1</c:v>
                </c:pt>
                <c:pt idx="1">
                  <c:v>16.1</c:v>
                </c:pt>
                <c:pt idx="2">
                  <c:v>13.6</c:v>
                </c:pt>
                <c:pt idx="3">
                  <c:v>12.8</c:v>
                </c:pt>
                <c:pt idx="4" c:formatCode="0.0_ ">
                  <c:v>15.0087893077374</c:v>
                </c:pt>
                <c:pt idx="5" c:formatCode="0.0_ ">
                  <c:v>14.9097815764482</c:v>
                </c:pt>
                <c:pt idx="6" c:formatCode="0.0_ ">
                  <c:v>15</c:v>
                </c:pt>
                <c:pt idx="7" c:formatCode="0.0_ ">
                  <c:v>16.9409626861049</c:v>
                </c:pt>
                <c:pt idx="8" c:formatCode="0.0_ ">
                  <c:v>16.7684651057573</c:v>
                </c:pt>
                <c:pt idx="9" c:formatCode="0.0_ ">
                  <c:v>16.6323487645555</c:v>
                </c:pt>
                <c:pt idx="10" c:formatCode="0.0_ ">
                  <c:v>18.0075539808811</c:v>
                </c:pt>
              </c:numCache>
            </c:numRef>
          </c:val>
        </c:ser>
        <c:ser>
          <c:idx val="2"/>
          <c:order val="2"/>
          <c:tx>
            <c:strRef>
              <c:f>[2024年公报图表.xls]GDP三产占比!$B$4</c:f>
              <c:strCache>
                <c:ptCount val="1"/>
                <c:pt idx="0">
                  <c:v>第三产业</c:v>
                </c:pt>
              </c:strCache>
            </c:strRef>
          </c:tx>
          <c:spPr>
            <a:solidFill>
              <a:srgbClr val="9BBB59">
                <a:alpha val="100000"/>
              </a:srgbClr>
            </a:solidFill>
            <a:ln w="3175">
              <a:noFill/>
            </a:ln>
          </c:spPr>
          <c:invertIfNegative val="false"/>
          <c:dLbls>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[2024年公报图表.xls]GDP三产占比!$G$1:$Q$1</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[2024年公报图表.xls]GDP三产占比!$G$4:$Q$4</c:f>
              <c:numCache>
                <c:formatCode>General</c:formatCode>
                <c:ptCount val="11"/>
                <c:pt idx="0">
                  <c:v>51.9</c:v>
                </c:pt>
                <c:pt idx="1">
                  <c:v>57.2</c:v>
                </c:pt>
                <c:pt idx="2">
                  <c:v>62.5</c:v>
                </c:pt>
                <c:pt idx="3">
                  <c:v>63.5</c:v>
                </c:pt>
                <c:pt idx="4" c:formatCode="0.0_ ">
                  <c:v>66.4</c:v>
                </c:pt>
                <c:pt idx="5" c:formatCode="0.0_ ">
                  <c:v>67.5763482781027</c:v>
                </c:pt>
                <c:pt idx="6" c:formatCode="0.0_ ">
                  <c:v>67.1331130018986</c:v>
                </c:pt>
                <c:pt idx="7" c:formatCode="0.0_ ">
                  <c:v>63.1197472484358</c:v>
                </c:pt>
                <c:pt idx="8" c:formatCode="0.0_ ">
                  <c:v>61.8199298721864</c:v>
                </c:pt>
                <c:pt idx="9" c:formatCode="0.0_ ">
                  <c:v>62.5905282590173</c:v>
                </c:pt>
                <c:pt idx="10" c:formatCode="0.0_ ">
                  <c:v>63.4216859415736</c:v>
                </c:pt>
              </c:numCache>
            </c:numRef>
          </c:val>
        </c:ser>
        <c:dLbls>
          <c:showLegendKey val="false"/>
          <c:showVal val="false"/>
          <c:showCatName val="false"/>
          <c:showSerName val="false"/>
          <c:showPercent val="false"/>
          <c:showBubbleSize val="false"/>
        </c:dLbls>
        <c:gapWidth val="100"/>
        <c:overlap val="100"/>
        <c:axId val="433160786"/>
        <c:axId val="119694132"/>
      </c:barChart>
      <c:catAx>
        <c:axId val="433160786"/>
        <c:scaling>
          <c:orientation val="minMax"/>
        </c:scaling>
        <c:delete val="false"/>
        <c:axPos val="b"/>
        <c:majorTickMark val="none"/>
        <c:minorTickMark val="none"/>
        <c:tickLblPos val="nextTo"/>
        <c:spPr>
          <a:noFill/>
          <a:ln w="9525" cap="flat" cmpd="sng" algn="ctr">
            <a:solidFill>
              <a:schemeClr val="dk1">
                <a:shade val="95000"/>
                <a:satMod val="105000"/>
              </a:schemeClr>
            </a:solidFill>
            <a:prstDash val="solid"/>
            <a:round/>
          </a:ln>
          <a:effectLst/>
        </c:spPr>
        <c:txPr>
          <a:bodyPr rot="0" spcFirstLastPara="0" vertOverflow="ellipsis" vert="horz" wrap="square"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119694132"/>
        <c:crosses val="autoZero"/>
        <c:auto val="true"/>
        <c:lblAlgn val="ctr"/>
        <c:lblOffset val="100"/>
        <c:noMultiLvlLbl val="false"/>
      </c:catAx>
      <c:valAx>
        <c:axId val="119694132"/>
        <c:scaling>
          <c:orientation val="minMax"/>
        </c:scaling>
        <c:delete val="false"/>
        <c:axPos val="l"/>
        <c:majorGridlines>
          <c:spPr>
            <a:ln w="9525" cap="flat" cmpd="sng" algn="ctr">
              <a:solidFill>
                <a:schemeClr val="tx1">
                  <a:lumMod val="15000"/>
                  <a:lumOff val="85000"/>
                </a:schemeClr>
              </a:solidFill>
              <a:prstDash val="solid"/>
              <a:round/>
            </a:ln>
            <a:effectLst/>
          </c:spPr>
        </c:majorGridlines>
        <c:numFmt formatCode="0%" sourceLinked="true"/>
        <c:majorTickMark val="none"/>
        <c:minorTickMark val="none"/>
        <c:tickLblPos val="nextTo"/>
        <c:spPr>
          <a:noFill/>
          <a:ln w="9525" cap="flat" cmpd="sng" algn="ctr">
            <a:solidFill>
              <a:schemeClr val="dk1">
                <a:shade val="95000"/>
                <a:satMod val="105000"/>
              </a:schemeClr>
            </a:solidFill>
            <a:prstDash val="solid"/>
            <a:round/>
          </a:ln>
          <a:effectLst/>
        </c:spPr>
        <c:txPr>
          <a:bodyPr rot="0" spcFirstLastPara="0" vertOverflow="ellipsis" vert="horz" wrap="square"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433160786"/>
        <c:crosses val="autoZero"/>
        <c:crossBetween val="between"/>
      </c:valAx>
      <c:spPr>
        <a:noFill/>
        <a:ln w="3175">
          <a:noFill/>
        </a:ln>
      </c:spPr>
    </c:plotArea>
    <c:legend>
      <c:legendPos val="b"/>
      <c:legendEntry>
        <c:idx val="0"/>
        <c:txPr>
          <a:bodyPr rot="0" spcFirstLastPara="0" vertOverflow="ellipsis" vert="horz" wrap="square" anchor="ctr" anchorCtr="true"/>
          <a:lstStyle/>
          <a:p>
            <a:pPr>
              <a:defRPr lang="zh-CN" sz="1000" b="0"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legendEntry>
      <c:legendEntry>
        <c:idx val="1"/>
        <c:txPr>
          <a:bodyPr rot="0" spcFirstLastPara="0" vertOverflow="ellipsis" vert="horz" wrap="square" anchor="ctr" anchorCtr="true"/>
          <a:lstStyle/>
          <a:p>
            <a:pPr>
              <a:defRPr lang="zh-CN" sz="1000" b="0"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legendEntry>
      <c:legendEntry>
        <c:idx val="2"/>
        <c:txPr>
          <a:bodyPr rot="0" spcFirstLastPara="0" vertOverflow="ellipsis" vert="horz" wrap="square" anchor="ctr" anchorCtr="true"/>
          <a:lstStyle/>
          <a:p>
            <a:pPr>
              <a:defRPr lang="zh-CN" sz="1000" b="0"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legendEntry>
      <c:layout>
        <c:manualLayout>
          <c:xMode val="edge"/>
          <c:yMode val="edge"/>
          <c:x val="0.296749929335756"/>
          <c:y val="0.895000088076239"/>
          <c:w val="0.403337936604078"/>
          <c:h val="0.0745614684070531"/>
        </c:manualLayout>
      </c:layout>
      <c:overlay val="false"/>
      <c:spPr>
        <a:noFill/>
        <a:ln w="3175">
          <a:noFill/>
        </a:ln>
      </c:spPr>
      <c:txPr>
        <a:bodyPr rot="0" spcFirstLastPara="0" vertOverflow="ellipsis" vert="horz" wrap="square" anchor="ctr" anchorCtr="true"/>
        <a:lstStyle/>
        <a:p>
          <a:pPr>
            <a:defRPr lang="zh-CN" sz="525" b="0" i="0" u="none" strike="noStrike" kern="1200" baseline="0">
              <a:solidFill>
                <a:srgbClr val="333333"/>
              </a:solidFill>
              <a:latin typeface="Times New Roman" charset="0"/>
              <a:ea typeface="Times New Roman" charset="0"/>
              <a:cs typeface="Times New Roman" charset="0"/>
              <a:sym typeface="Times New Roman" charset="0"/>
            </a:defRPr>
          </a:pPr>
        </a:p>
      </c:txPr>
    </c:legend>
    <c:plotVisOnly val="true"/>
    <c:dispBlanksAs val="gap"/>
    <c:showDLblsOverMax val="false"/>
  </c:chart>
  <c:spPr>
    <a:solidFill>
      <a:schemeClr val="bg1"/>
    </a:solidFill>
    <a:ln w="9525" cap="flat" cmpd="sng" algn="ctr">
      <a:noFill/>
      <a:prstDash val="solid"/>
      <a:round/>
    </a:ln>
    <a:effectLst/>
  </c:spPr>
  <c:txPr>
    <a:bodyPr rot="0" wrap="square" anchor="ctr" anchorCtr="true"/>
    <a:lstStyle/>
    <a:p>
      <a:pPr>
        <a:defRPr lang="zh-CN" sz="1000" b="0" i="0" u="none" strike="noStrike" baseline="0">
          <a:solidFill>
            <a:srgbClr val="000000">
              <a:alpha val="100000"/>
            </a:srgbClr>
          </a:solidFill>
          <a:latin typeface="Times New Roman" charset="0"/>
          <a:ea typeface="Times New Roman" charset="0"/>
          <a:cs typeface="Times New Roman" charset="0"/>
          <a:sym typeface="Times New Roman" charset="0"/>
        </a:defRPr>
      </a:pPr>
    </a:p>
  </c:txPr>
  <c:externalData r:id="rId1">
    <c:autoUpdate val="false"/>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true"/>
          <a:lstStyle/>
          <a:p>
            <a:pPr defTabSz="914400">
              <a:defRPr lang="zh-CN" sz="1400" b="0" i="0" u="none" strike="noStrike" kern="1200" baseline="0">
                <a:solidFill>
                  <a:srgbClr val="000000">
                    <a:alpha val="100000"/>
                  </a:srgbClr>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defRPr>
            </a:pPr>
            <a:r>
              <a:rPr sz="1400" b="0" i="0" u="none" strike="noStrike" baseline="0">
                <a:solidFill>
                  <a:srgbClr val="333333"/>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201</a:t>
            </a:r>
            <a:r>
              <a:rPr lang="en-US" altLang="zh-CN" sz="1400" b="0" i="0" u="none" strike="noStrike" baseline="0">
                <a:solidFill>
                  <a:srgbClr val="333333"/>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333333"/>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年</a:t>
            </a:r>
            <a:r>
              <a:rPr lang="en-US" altLang="zh-CN" sz="1400" b="0" i="0" u="none" strike="noStrike" baseline="0">
                <a:solidFill>
                  <a:srgbClr val="333333"/>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a:t>
            </a:r>
            <a:r>
              <a:rPr sz="1400" b="0" i="0" u="none" strike="noStrike" baseline="0">
                <a:solidFill>
                  <a:srgbClr val="333333"/>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202</a:t>
            </a:r>
            <a:r>
              <a:rPr lang="en-US" altLang="zh-CN" sz="1400" b="0" i="0" u="none" strike="noStrike" baseline="0">
                <a:solidFill>
                  <a:srgbClr val="333333"/>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333333"/>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年人均地区生产总值及增速</a:t>
            </a:r>
            <a:endPar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endParaRPr>
          </a:p>
        </c:rich>
      </c:tx>
      <c:layout>
        <c:manualLayout>
          <c:xMode val="edge"/>
          <c:yMode val="edge"/>
          <c:x val="0.216067426223911"/>
          <c:y val="0.0233246480075391"/>
        </c:manualLayout>
      </c:layout>
      <c:overlay val="false"/>
      <c:spPr>
        <a:noFill/>
        <a:ln w="3175">
          <a:noFill/>
        </a:ln>
      </c:spPr>
    </c:title>
    <c:autoTitleDeleted val="false"/>
    <c:plotArea>
      <c:layout>
        <c:manualLayout>
          <c:layoutTarget val="inner"/>
          <c:xMode val="edge"/>
          <c:yMode val="edge"/>
          <c:x val="0.0695421686746988"/>
          <c:y val="0.235736106134524"/>
          <c:w val="0.908715134887974"/>
          <c:h val="0.580456621004566"/>
        </c:manualLayout>
      </c:layout>
      <c:barChart>
        <c:barDir val="col"/>
        <c:grouping val="clustered"/>
        <c:varyColors val="false"/>
        <c:ser>
          <c:idx val="0"/>
          <c:order val="0"/>
          <c:tx>
            <c:strRef>
              <c:f>[2024年公报图表.xls]人均GDP!$B$2</c:f>
              <c:strCache>
                <c:ptCount val="1"/>
                <c:pt idx="0">
                  <c:v>人均地区生产总值</c:v>
                </c:pt>
              </c:strCache>
            </c:strRef>
          </c:tx>
          <c:spPr>
            <a:solidFill>
              <a:schemeClr val="bg2">
                <a:lumMod val="75000"/>
              </a:schemeClr>
            </a:solidFill>
            <a:ln>
              <a:noFill/>
            </a:ln>
            <a:effectLst/>
          </c:spPr>
          <c:invertIfNegative val="false"/>
          <c:dLbls>
            <c:dLbl>
              <c:idx val="0"/>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1"/>
              <c:layout>
                <c:manualLayout>
                  <c:x val="0.00180722891566265"/>
                  <c:y val="-0.045271629778672"/>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15:layout/>
                </c:ext>
              </c:extLst>
            </c:dLbl>
            <c:dLbl>
              <c:idx val="2"/>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3"/>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4"/>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5"/>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6"/>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7"/>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8"/>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9"/>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10"/>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[2024年公报图表.xls]人均GDP!$G$1:$Q$1</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[2024年公报图表.xls]人均GDP!$G$2:$Q$2</c:f>
              <c:numCache>
                <c:formatCode>0_ </c:formatCode>
                <c:ptCount val="11"/>
                <c:pt idx="0">
                  <c:v>8488.49784721338</c:v>
                </c:pt>
                <c:pt idx="1">
                  <c:v>9497.6718053464</c:v>
                </c:pt>
                <c:pt idx="2">
                  <c:v>11130.5639810454</c:v>
                </c:pt>
                <c:pt idx="3" c:formatCode="General">
                  <c:v>12274</c:v>
                </c:pt>
                <c:pt idx="4" c:formatCode="General">
                  <c:v>14613</c:v>
                </c:pt>
                <c:pt idx="5" c:formatCode="General">
                  <c:v>16444</c:v>
                </c:pt>
                <c:pt idx="6" c:formatCode="General">
                  <c:v>17033</c:v>
                </c:pt>
                <c:pt idx="7" c:formatCode="General">
                  <c:v>19335</c:v>
                </c:pt>
                <c:pt idx="8" c:formatCode="General">
                  <c:v>21158</c:v>
                </c:pt>
                <c:pt idx="9" c:formatCode="General">
                  <c:v>22349</c:v>
                </c:pt>
                <c:pt idx="10" c:formatCode="General">
                  <c:v>23550</c:v>
                </c:pt>
              </c:numCache>
            </c:numRef>
          </c:val>
        </c:ser>
        <c:dLbls>
          <c:showLegendKey val="false"/>
          <c:showVal val="false"/>
          <c:showCatName val="false"/>
          <c:showSerName val="false"/>
          <c:showPercent val="false"/>
          <c:showBubbleSize val="false"/>
        </c:dLbls>
        <c:gapWidth val="100"/>
        <c:overlap val="-27"/>
        <c:axId val="91387039"/>
        <c:axId val="131622851"/>
      </c:barChart>
      <c:lineChart>
        <c:grouping val="standard"/>
        <c:varyColors val="false"/>
        <c:ser>
          <c:idx val="1"/>
          <c:order val="1"/>
          <c:tx>
            <c:strRef>
              <c:f>[2024年公报图表.xls]人均GDP!$B$3</c:f>
              <c:strCache>
                <c:ptCount val="1"/>
                <c:pt idx="0">
                  <c:v>增速</c:v>
                </c:pt>
              </c:strCache>
            </c:strRef>
          </c:tx>
          <c:spPr>
            <a:ln w="22225" cap="rnd" cmpd="sng" algn="ctr">
              <a:solidFill>
                <a:schemeClr val="tx2">
                  <a:lumMod val="75000"/>
                </a:schemeClr>
              </a:solidFill>
              <a:prstDash val="solid"/>
              <a:round/>
            </a:ln>
            <a:effectLst/>
          </c:spPr>
          <c:marker>
            <c:symbol val="diamond"/>
            <c:size val="6"/>
          </c:marker>
          <c:dLbls>
            <c:dLbl>
              <c:idx val="0"/>
              <c:layout>
                <c:manualLayout>
                  <c:x val="0.00542168674698795"/>
                  <c:y val="0.109406438631791"/>
                </c:manualLayout>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15:layout/>
                </c:ext>
              </c:extLst>
            </c:dLbl>
            <c:dLbl>
              <c:idx val="1"/>
              <c:layout>
                <c:manualLayout>
                  <c:x val="0.00960219478737996"/>
                  <c:y val="0.0141899341252998"/>
                </c:manualLayout>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15:layout/>
                </c:ext>
              </c:extLst>
            </c:dLbl>
            <c:dLbl>
              <c:idx val="2"/>
              <c:layout>
                <c:manualLayout>
                  <c:x val="0.00685871056241427"/>
                  <c:y val="-0.0794520547945206"/>
                </c:manualLayout>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15:layout/>
                </c:ext>
              </c:extLst>
            </c:dLbl>
            <c:dLbl>
              <c:idx val="3"/>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4"/>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5"/>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6"/>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0"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7"/>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8"/>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9"/>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10"/>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[2024年公报图表.xls]人均GDP!$G$1:$Q$1</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[2024年公报图表.xls]人均GDP!$G$3:$Q$3</c:f>
              <c:numCache>
                <c:formatCode>0.0_ </c:formatCode>
                <c:ptCount val="11"/>
                <c:pt idx="0">
                  <c:v>8</c:v>
                </c:pt>
                <c:pt idx="1">
                  <c:v>7.5</c:v>
                </c:pt>
                <c:pt idx="2">
                  <c:v>5.9</c:v>
                </c:pt>
                <c:pt idx="3" c:formatCode="General">
                  <c:v>4.3</c:v>
                </c:pt>
                <c:pt idx="4" c:formatCode="General">
                  <c:v>5.8</c:v>
                </c:pt>
                <c:pt idx="5" c:formatCode="General">
                  <c:v>6.4</c:v>
                </c:pt>
                <c:pt idx="6" c:formatCode="General">
                  <c:v>2.7</c:v>
                </c:pt>
                <c:pt idx="7" c:formatCode="General">
                  <c:v>6.7</c:v>
                </c:pt>
                <c:pt idx="8" c:formatCode="General">
                  <c:v>4.7</c:v>
                </c:pt>
                <c:pt idx="9" c:formatCode="General">
                  <c:v>4.8</c:v>
                </c:pt>
                <c:pt idx="10" c:formatCode="General">
                  <c:v>5.6</c:v>
                </c:pt>
              </c:numCache>
            </c:numRef>
          </c:val>
          <c:smooth val="false"/>
        </c:ser>
        <c:dLbls>
          <c:showLegendKey val="false"/>
          <c:showVal val="false"/>
          <c:showCatName val="false"/>
          <c:showSerName val="false"/>
          <c:showPercent val="false"/>
          <c:showBubbleSize val="false"/>
        </c:dLbls>
        <c:marker val="true"/>
        <c:smooth val="false"/>
        <c:axId val="209214748"/>
        <c:axId val="688575877"/>
      </c:lineChart>
      <c:catAx>
        <c:axId val="91387039"/>
        <c:scaling>
          <c:orientation val="minMax"/>
        </c:scaling>
        <c:delete val="false"/>
        <c:axPos val="b"/>
        <c:title>
          <c:tx>
            <c:rich>
              <a:bodyPr rot="0" spcFirstLastPara="0" vertOverflow="ellipsis" vert="horz" wrap="square" anchor="ctr" anchorCtr="true"/>
              <a:lstStyle/>
              <a:p>
                <a:pPr defTabSz="914400">
                  <a:defRPr lang="zh-CN" sz="10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r>
                  <a:rPr>
                    <a:latin typeface="Times New Roman" charset="0"/>
                    <a:ea typeface="Times New Roman" charset="0"/>
                    <a:cs typeface="Times New Roman" charset="0"/>
                    <a:sym typeface="Times New Roman" charset="0"/>
                  </a:rPr>
                  <a:t>元</a:t>
                </a:r>
                <a:endParaRPr sz="1000" b="1" i="0" u="none" strike="noStrike" baseline="0">
                  <a:solidFill>
                    <a:srgbClr val="333333">
                      <a:alpha val="100000"/>
                    </a:srgbClr>
                  </a:solidFill>
                  <a:latin typeface="Times New Roman" charset="0"/>
                  <a:ea typeface="Times New Roman" charset="0"/>
                  <a:cs typeface="Times New Roman" charset="0"/>
                  <a:sym typeface="Times New Roman" charset="0"/>
                </a:endParaRPr>
              </a:p>
            </c:rich>
          </c:tx>
          <c:layout>
            <c:manualLayout>
              <c:xMode val="edge"/>
              <c:yMode val="edge"/>
              <c:x val="0.0122238280753356"/>
              <c:y val="0.128102128307757"/>
            </c:manualLayout>
          </c:layout>
          <c:overlay val="false"/>
          <c:spPr>
            <a:noFill/>
            <a:ln w="3175">
              <a:noFill/>
            </a:ln>
          </c:spPr>
        </c:title>
        <c:majorTickMark val="in"/>
        <c:minorTickMark val="none"/>
        <c:tickLblPos val="nextTo"/>
        <c:spPr>
          <a:noFill/>
          <a:ln w="9525" cap="flat" cmpd="sng" algn="ctr">
            <a:solidFill>
              <a:schemeClr val="accent1"/>
            </a:solidFill>
            <a:prstDash val="solid"/>
            <a:round/>
          </a:ln>
          <a:effectLst/>
        </c:spPr>
        <c:txPr>
          <a:bodyPr rot="0" spcFirstLastPara="0" vertOverflow="ellipsis" vert="horz" wrap="square" anchor="ctr" anchorCtr="true"/>
          <a:lstStyle/>
          <a:p>
            <a:pPr>
              <a:defRPr lang="zh-CN" sz="10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crossAx val="131622851"/>
        <c:crossesAt val="0"/>
        <c:auto val="true"/>
        <c:lblAlgn val="ctr"/>
        <c:lblOffset val="100"/>
        <c:noMultiLvlLbl val="false"/>
      </c:catAx>
      <c:valAx>
        <c:axId val="131622851"/>
        <c:scaling>
          <c:orientation val="minMax"/>
        </c:scaling>
        <c:delete val="false"/>
        <c:axPos val="l"/>
        <c:numFmt formatCode="0_ " sourceLinked="true"/>
        <c:majorTickMark val="in"/>
        <c:minorTickMark val="none"/>
        <c:tickLblPos val="nextTo"/>
        <c:spPr>
          <a:ln w="9525" cap="flat" cmpd="sng" algn="ctr">
            <a:solidFill>
              <a:schemeClr val="accent1"/>
            </a:solidFill>
            <a:prstDash val="solid"/>
            <a:round/>
          </a:ln>
          <a:effectLst/>
        </c:spPr>
        <c:txPr>
          <a:bodyPr rot="0" spcFirstLastPara="0" vertOverflow="ellipsis" vert="horz" wrap="square" anchor="ctr" anchorCtr="true"/>
          <a:lstStyle/>
          <a:p>
            <a:pPr>
              <a:defRPr lang="zh-CN" sz="8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crossAx val="91387039"/>
        <c:crosses val="autoZero"/>
        <c:crossBetween val="between"/>
      </c:valAx>
      <c:catAx>
        <c:axId val="209214748"/>
        <c:scaling>
          <c:orientation val="minMax"/>
        </c:scaling>
        <c:delete val="true"/>
        <c:axPos val="b"/>
        <c:title>
          <c:tx>
            <c:rich>
              <a:bodyPr rot="0" spcFirstLastPara="0" vertOverflow="ellipsis" vert="horz" wrap="square" anchor="ctr" anchorCtr="true"/>
              <a:lstStyle/>
              <a:p>
                <a:pPr defTabSz="914400">
                  <a:defRPr lang="zh-CN" sz="12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r>
                  <a:rPr>
                    <a:latin typeface="Times New Roman" charset="0"/>
                    <a:ea typeface="Times New Roman" charset="0"/>
                    <a:cs typeface="Times New Roman" charset="0"/>
                    <a:sym typeface="Times New Roman" charset="0"/>
                  </a:rPr>
                  <a:t>%</a:t>
                </a:r>
                <a:endParaRPr sz="1200" b="1" i="0" u="none" strike="noStrike" baseline="0">
                  <a:solidFill>
                    <a:srgbClr val="000000">
                      <a:alpha val="100000"/>
                    </a:srgbClr>
                  </a:solidFill>
                  <a:latin typeface="Times New Roman" charset="0"/>
                  <a:ea typeface="Times New Roman" charset="0"/>
                  <a:cs typeface="Times New Roman" charset="0"/>
                  <a:sym typeface="Times New Roman" charset="0"/>
                </a:endParaRPr>
              </a:p>
            </c:rich>
          </c:tx>
          <c:layout>
            <c:manualLayout>
              <c:xMode val="edge"/>
              <c:yMode val="edge"/>
              <c:x val="0.957590361445783"/>
              <c:y val="0.0866493799410737"/>
            </c:manualLayout>
          </c:layout>
          <c:overlay val="false"/>
        </c:title>
        <c:majorTickMark val="out"/>
        <c:minorTickMark val="none"/>
        <c:tickLblPos val="none"/>
        <c:txPr>
          <a:bodyPr rot="-60000000" spcFirstLastPara="0" vertOverflow="ellipsis" vert="horz" wrap="square" anchor="ctr" anchorCtr="true"/>
          <a:lstStyle/>
          <a:p>
            <a:pPr>
              <a:defRPr lang="zh-CN" sz="1000" b="0"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688575877"/>
        <c:crosses val="autoZero"/>
        <c:auto val="true"/>
        <c:lblAlgn val="ctr"/>
        <c:lblOffset val="100"/>
        <c:noMultiLvlLbl val="false"/>
      </c:catAx>
      <c:valAx>
        <c:axId val="688575877"/>
        <c:scaling>
          <c:orientation val="minMax"/>
          <c:max val="15"/>
        </c:scaling>
        <c:delete val="false"/>
        <c:axPos val="r"/>
        <c:numFmt formatCode="#,##0_ " sourceLinked="false"/>
        <c:majorTickMark val="in"/>
        <c:minorTickMark val="none"/>
        <c:tickLblPos val="nextTo"/>
        <c:spPr>
          <a:solidFill>
            <a:schemeClr val="bg1"/>
          </a:solidFill>
          <a:ln w="9525" cap="flat" cmpd="sng" algn="ctr">
            <a:solidFill>
              <a:schemeClr val="accent1"/>
            </a:solidFill>
            <a:prstDash val="solid"/>
            <a:round/>
          </a:ln>
          <a:effectLst/>
        </c:spPr>
        <c:txPr>
          <a:bodyPr rot="0" spcFirstLastPara="0" vertOverflow="ellipsis" vert="horz" wrap="square" anchor="ctr" anchorCtr="true"/>
          <a:lstStyle/>
          <a:p>
            <a:pPr>
              <a:defRPr lang="zh-CN" sz="10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crossAx val="209214748"/>
        <c:crosses val="max"/>
        <c:crossBetween val="between"/>
      </c:valAx>
      <c:spPr>
        <a:noFill/>
        <a:ln w="3175">
          <a:noFill/>
        </a:ln>
      </c:spPr>
    </c:plotArea>
    <c:legend>
      <c:legendPos val="r"/>
      <c:legendEntry>
        <c:idx val="0"/>
        <c:txPr>
          <a:bodyPr rot="0" spcFirstLastPara="0" vertOverflow="ellipsis" vert="horz" wrap="square" anchor="ctr" anchorCtr="true"/>
          <a:lstStyle/>
          <a:p>
            <a:pPr>
              <a:defRPr lang="zh-CN" sz="800" b="0"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legendEntry>
      <c:legendEntry>
        <c:idx val="1"/>
        <c:txPr>
          <a:bodyPr rot="0" spcFirstLastPara="0" vertOverflow="ellipsis" vert="horz" wrap="square" anchor="ctr" anchorCtr="true"/>
          <a:lstStyle/>
          <a:p>
            <a:pPr>
              <a:defRPr lang="zh-CN" sz="800" b="0"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legendEntry>
      <c:layout>
        <c:manualLayout>
          <c:xMode val="edge"/>
          <c:yMode val="edge"/>
          <c:x val="0.293615314546587"/>
          <c:y val="0.914972135332399"/>
          <c:w val="0.443"/>
          <c:h val="0.0755"/>
        </c:manualLayout>
      </c:layout>
      <c:overlay val="false"/>
      <c:spPr>
        <a:noFill/>
        <a:ln w="3175">
          <a:noFill/>
        </a:ln>
      </c:spPr>
      <c:txPr>
        <a:bodyPr rot="0" spcFirstLastPara="0" vertOverflow="ellipsis" vert="horz" wrap="square" anchor="ctr" anchorCtr="true"/>
        <a:lstStyle/>
        <a:p>
          <a:pPr>
            <a:defRPr lang="zh-CN" sz="800" b="0" i="0" u="none" strike="noStrike" kern="1200" baseline="0">
              <a:solidFill>
                <a:srgbClr val="333333"/>
              </a:solidFill>
              <a:latin typeface="Times New Roman" charset="0"/>
              <a:ea typeface="Times New Roman" charset="0"/>
              <a:cs typeface="Times New Roman" charset="0"/>
              <a:sym typeface="Times New Roman" charset="0"/>
            </a:defRPr>
          </a:pPr>
        </a:p>
      </c:txPr>
    </c:legend>
    <c:plotVisOnly val="true"/>
    <c:dispBlanksAs val="gap"/>
    <c:showDLblsOverMax val="false"/>
  </c:chart>
  <c:spPr>
    <a:solidFill>
      <a:schemeClr val="bg1"/>
    </a:solidFill>
    <a:ln w="9525" cap="flat" cmpd="sng" algn="ctr">
      <a:noFill/>
      <a:prstDash val="solid"/>
      <a:round/>
    </a:ln>
    <a:effectLst/>
  </c:spPr>
  <c:txPr>
    <a:bodyPr rot="0" wrap="square" anchor="ctr" anchorCtr="true"/>
    <a:lstStyle/>
    <a:p>
      <a:pPr>
        <a:defRPr lang="zh-CN" sz="1000" b="0" i="0" u="none" strike="noStrike" baseline="0">
          <a:solidFill>
            <a:srgbClr val="000000">
              <a:alpha val="100000"/>
            </a:srgbClr>
          </a:solidFill>
          <a:latin typeface="Times New Roman" charset="0"/>
          <a:ea typeface="Times New Roman" charset="0"/>
          <a:cs typeface="Times New Roman" charset="0"/>
          <a:sym typeface="Times New Roman" charset="0"/>
        </a:defRPr>
      </a:pPr>
    </a:p>
  </c:txPr>
  <c:externalData r:id="rId1">
    <c:autoUpdate val="false"/>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true"/>
          <a:lstStyle/>
          <a:p>
            <a:pPr defTabSz="914400">
              <a:defRPr lang="zh-CN" sz="1400" b="0" i="0" u="none" strike="noStrike" kern="1200" baseline="0">
                <a:solidFill>
                  <a:srgbClr val="000000">
                    <a:alpha val="100000"/>
                  </a:srgbClr>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defRPr>
            </a:pP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2017—202</a:t>
            </a:r>
            <a:r>
              <a:rPr lang="en-US" altLang="zh-CN"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年全地区粮食总产量及增速</a:t>
            </a:r>
            <a:endPar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endParaRPr>
          </a:p>
        </c:rich>
      </c:tx>
      <c:layout>
        <c:manualLayout>
          <c:xMode val="edge"/>
          <c:yMode val="edge"/>
          <c:x val="0.175954254862394"/>
          <c:y val="0.0377931652426974"/>
        </c:manualLayout>
      </c:layout>
      <c:overlay val="false"/>
      <c:spPr>
        <a:noFill/>
        <a:ln w="25400">
          <a:noFill/>
        </a:ln>
      </c:spPr>
    </c:title>
    <c:autoTitleDeleted val="false"/>
    <c:plotArea>
      <c:layout>
        <c:manualLayout>
          <c:layoutTarget val="inner"/>
          <c:xMode val="edge"/>
          <c:yMode val="edge"/>
          <c:x val="0.0540249759846302"/>
          <c:y val="0.242544017247575"/>
          <c:w val="0.899769452449568"/>
          <c:h val="0.618756737333812"/>
        </c:manualLayout>
      </c:layout>
      <c:barChart>
        <c:barDir val="col"/>
        <c:grouping val="clustered"/>
        <c:varyColors val="false"/>
        <c:ser>
          <c:idx val="1"/>
          <c:order val="0"/>
          <c:tx>
            <c:strRef>
              <c:f>[2024年公报图表.xls]粮食3!$B$2</c:f>
              <c:strCache>
                <c:ptCount val="1"/>
                <c:pt idx="0">
                  <c:v>粮食</c:v>
                </c:pt>
              </c:strCache>
            </c:strRef>
          </c:tx>
          <c:spPr>
            <a:blipFill>
              <a:blip xmlns:r="http://schemas.openxmlformats.org/officeDocument/2006/relationships" r:embed="rId3"/>
              <a:tile tx="0" ty="0" sx="100000" sy="100000" flip="none" algn="tl"/>
            </a:blipFill>
          </c:spPr>
          <c:invertIfNegative val="false"/>
          <c:dLbls>
            <c:dLbl>
              <c:idx val="1"/>
              <c:layout/>
              <c:numFmt formatCode="General" sourceLinked="true"/>
              <c:spPr>
                <a:noFill/>
                <a:ln w="25400">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4"/>
              <c:layout/>
              <c:numFmt formatCode="General" sourceLinked="true"/>
              <c:spPr>
                <a:noFill/>
                <a:ln w="25400">
                  <a:noFill/>
                </a:ln>
                <a:effectLst/>
              </c:spPr>
              <c:txPr>
                <a:bodyPr rot="0" spcFirstLastPara="0" vertOverflow="ellipsis" vert="horz" wrap="square" lIns="38100" tIns="19050" rIns="38100" bIns="19050" anchor="ctr" anchorCtr="true"/>
                <a:lstStyle/>
                <a:p>
                  <a:pPr>
                    <a:defRPr lang="zh-CN" sz="11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6"/>
              <c:layout/>
              <c:numFmt formatCode="General" sourceLinked="true"/>
              <c:spPr>
                <a:noFill/>
                <a:ln w="25400">
                  <a:noFill/>
                </a:ln>
                <a:effectLst/>
              </c:spPr>
              <c:txPr>
                <a:bodyPr rot="0" spcFirstLastPara="0" vertOverflow="ellipsis" vert="horz" wrap="square" lIns="38100" tIns="19050" rIns="38100" bIns="19050" anchor="ctr" anchorCtr="true"/>
                <a:lstStyle/>
                <a:p>
                  <a:pPr>
                    <a:defRPr lang="zh-CN" sz="11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7"/>
              <c:layout/>
              <c:numFmt formatCode="General" sourceLinked="true"/>
              <c:spPr>
                <a:noFill/>
                <a:ln w="25400">
                  <a:noFill/>
                </a:ln>
                <a:effectLst/>
              </c:spPr>
              <c:txPr>
                <a:bodyPr rot="0" spcFirstLastPara="0" vertOverflow="ellipsis" vert="horz" wrap="square" lIns="38100" tIns="19050" rIns="38100" bIns="19050" anchor="ctr" anchorCtr="true"/>
                <a:lstStyle/>
                <a:p>
                  <a:pPr>
                    <a:defRPr lang="zh-CN" sz="11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numFmt formatCode="General" sourceLinked="true"/>
            <c:spPr>
              <a:noFill/>
              <a:ln w="25400">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[2024年公报图表.xls]粮食3!$I$1:$P$1</c:f>
              <c:strCache>
                <c:ptCount val="8"/>
                <c:pt idx="0">
                  <c:v>2017年</c:v>
                </c:pt>
                <c:pt idx="1">
                  <c:v>2018年</c:v>
                </c:pt>
                <c:pt idx="2">
                  <c:v>2019年</c:v>
                </c:pt>
                <c:pt idx="3">
                  <c:v>2020年</c:v>
                </c:pt>
                <c:pt idx="4">
                  <c:v>2021年</c:v>
                </c:pt>
                <c:pt idx="5">
                  <c:v>2022年</c:v>
                </c:pt>
                <c:pt idx="6">
                  <c:v>2023年</c:v>
                </c:pt>
                <c:pt idx="7">
                  <c:v>2024年</c:v>
                </c:pt>
              </c:strCache>
            </c:strRef>
          </c:cat>
          <c:val>
            <c:numRef>
              <c:f>[2024年公报图表.xls]粮食3!$I$2:$P$2</c:f>
              <c:numCache>
                <c:formatCode>General</c:formatCode>
                <c:ptCount val="8"/>
                <c:pt idx="0">
                  <c:v>109.77</c:v>
                </c:pt>
                <c:pt idx="1">
                  <c:v>100.86</c:v>
                </c:pt>
                <c:pt idx="2">
                  <c:v>86.11</c:v>
                </c:pt>
                <c:pt idx="3">
                  <c:v>73.39</c:v>
                </c:pt>
                <c:pt idx="4">
                  <c:v>84.88</c:v>
                </c:pt>
                <c:pt idx="5">
                  <c:v>90.51</c:v>
                </c:pt>
                <c:pt idx="6">
                  <c:v>103.11</c:v>
                </c:pt>
                <c:pt idx="7">
                  <c:v>123.12</c:v>
                </c:pt>
              </c:numCache>
            </c:numRef>
          </c:val>
        </c:ser>
        <c:dLbls>
          <c:showLegendKey val="false"/>
          <c:showVal val="false"/>
          <c:showCatName val="false"/>
          <c:showSerName val="false"/>
          <c:showPercent val="false"/>
          <c:showBubbleSize val="false"/>
        </c:dLbls>
        <c:gapWidth val="100"/>
        <c:overlap val="0"/>
        <c:axId val="672985737"/>
        <c:axId val="602707617"/>
      </c:barChart>
      <c:lineChart>
        <c:grouping val="standard"/>
        <c:varyColors val="false"/>
        <c:ser>
          <c:idx val="0"/>
          <c:order val="1"/>
          <c:tx>
            <c:strRef>
              <c:f>[2024年公报图表.xls]粮食3!$B$3</c:f>
              <c:strCache>
                <c:ptCount val="1"/>
                <c:pt idx="0">
                  <c:v>增速</c:v>
                </c:pt>
              </c:strCache>
            </c:strRef>
          </c:tx>
          <c:spPr>
            <a:ln w="22225" cap="rnd" cmpd="sng" algn="ctr">
              <a:solidFill>
                <a:srgbClr val="FF0000"/>
              </a:solidFill>
              <a:prstDash val="solid"/>
              <a:round/>
            </a:ln>
          </c:spPr>
          <c:marker>
            <c:symbol val="diamond"/>
            <c:size val="5"/>
            <c:spPr>
              <a:solidFill>
                <a:srgbClr val="FF0000"/>
              </a:solidFill>
              <a:ln w="9525" cap="flat" cmpd="sng" algn="ctr">
                <a:solidFill>
                  <a:srgbClr val="FF0000"/>
                </a:solidFill>
                <a:prstDash val="solid"/>
                <a:round/>
              </a:ln>
            </c:spPr>
          </c:marker>
          <c:dLbls>
            <c:dLbl>
              <c:idx val="0"/>
              <c:layout>
                <c:manualLayout>
                  <c:x val="-0.041787020323494"/>
                  <c:y val="0.0360436241252584"/>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1"/>
              <c:layout>
                <c:manualLayout>
                  <c:x val="-0.0389051759430906"/>
                  <c:y val="0.0285591800286748"/>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2"/>
              <c:layout>
                <c:manualLayout>
                  <c:x val="-0.0417867435158501"/>
                  <c:y val="0.0309757260311012"/>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3"/>
              <c:layout>
                <c:manualLayout>
                  <c:x val="-0.0417866051120282"/>
                  <c:y val="0.028617881551001"/>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4"/>
              <c:layout>
                <c:manualLayout>
                  <c:x val="0.00576368876080692"/>
                  <c:y val="0.0862378727991376"/>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15:layout/>
                </c:ext>
              </c:extLst>
            </c:dLbl>
            <c:dLbl>
              <c:idx val="5"/>
              <c:layout>
                <c:manualLayout>
                  <c:x val="0.00576368876080692"/>
                  <c:y val="0.0751797511766987"/>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15:layout/>
                </c:ext>
              </c:extLst>
            </c:dLbl>
            <c:dLbl>
              <c:idx val="6"/>
              <c:layout>
                <c:manualLayout>
                  <c:x val="0.00144092219020173"/>
                  <c:y val="0.0581901075483043"/>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15:layout/>
                </c:ext>
              </c:extLst>
            </c:dLbl>
            <c:dLbl>
              <c:idx val="7"/>
              <c:layout>
                <c:manualLayout>
                  <c:x val="0.00576368876080692"/>
                  <c:y val="0.0350341358246497"/>
                </c:manualLayout>
              </c:layout>
              <c:dLblPos val="t"/>
              <c:showLegendKey val="false"/>
              <c:showVal val="true"/>
              <c:showCatName val="false"/>
              <c:showSerName val="false"/>
              <c:showPercent val="false"/>
              <c:showBubbleSize val="false"/>
              <c:extLst>
                <c:ext xmlns:c15="http://schemas.microsoft.com/office/drawing/2012/chart" uri="{CE6537A1-D6FC-4f65-9D91-7224C49458BB}">
                  <c15:layout/>
                </c:ext>
              </c:extLst>
            </c:dLbl>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[2024年公报图表.xls]粮食3!$I$1:$P$1</c:f>
              <c:strCache>
                <c:ptCount val="8"/>
                <c:pt idx="0">
                  <c:v>2017年</c:v>
                </c:pt>
                <c:pt idx="1">
                  <c:v>2018年</c:v>
                </c:pt>
                <c:pt idx="2">
                  <c:v>2019年</c:v>
                </c:pt>
                <c:pt idx="3">
                  <c:v>2020年</c:v>
                </c:pt>
                <c:pt idx="4">
                  <c:v>2021年</c:v>
                </c:pt>
                <c:pt idx="5">
                  <c:v>2022年</c:v>
                </c:pt>
                <c:pt idx="6">
                  <c:v>2023年</c:v>
                </c:pt>
                <c:pt idx="7">
                  <c:v>2024年</c:v>
                </c:pt>
              </c:strCache>
            </c:strRef>
          </c:cat>
          <c:val>
            <c:numRef>
              <c:f>[2024年公报图表.xls]粮食3!$I$3:$P$3</c:f>
              <c:numCache>
                <c:formatCode>General</c:formatCode>
                <c:ptCount val="8"/>
                <c:pt idx="0">
                  <c:v>-2.1</c:v>
                </c:pt>
                <c:pt idx="1">
                  <c:v>-8.1</c:v>
                </c:pt>
                <c:pt idx="2">
                  <c:v>-14.6</c:v>
                </c:pt>
                <c:pt idx="3">
                  <c:v>-14.8</c:v>
                </c:pt>
                <c:pt idx="4">
                  <c:v>10.6</c:v>
                </c:pt>
                <c:pt idx="5">
                  <c:v>6.6</c:v>
                </c:pt>
                <c:pt idx="6">
                  <c:v>13.9</c:v>
                </c:pt>
                <c:pt idx="7">
                  <c:v>19.4</c:v>
                </c:pt>
              </c:numCache>
            </c:numRef>
          </c:val>
          <c:smooth val="false"/>
        </c:ser>
        <c:dLbls>
          <c:showLegendKey val="false"/>
          <c:showVal val="false"/>
          <c:showCatName val="false"/>
          <c:showSerName val="false"/>
          <c:showPercent val="false"/>
          <c:showBubbleSize val="false"/>
        </c:dLbls>
        <c:marker val="true"/>
        <c:smooth val="false"/>
        <c:axId val="179180385"/>
        <c:axId val="683528791"/>
      </c:lineChart>
      <c:catAx>
        <c:axId val="672985737"/>
        <c:scaling>
          <c:orientation val="minMax"/>
        </c:scaling>
        <c:delete val="false"/>
        <c:axPos val="b"/>
        <c:title>
          <c:tx>
            <c:rich>
              <a:bodyPr rot="0" spcFirstLastPara="0" vertOverflow="ellipsis" vert="horz" wrap="square" anchor="ctr" anchorCtr="true"/>
              <a:lstStyle/>
              <a:p>
                <a:pPr defTabSz="914400">
                  <a:defRPr lang="zh-CN" sz="11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r>
                  <a:rPr b="1">
                    <a:latin typeface="Times New Roman" charset="0"/>
                    <a:ea typeface="Times New Roman" charset="0"/>
                    <a:cs typeface="Times New Roman" charset="0"/>
                    <a:sym typeface="Times New Roman" charset="0"/>
                  </a:rPr>
                  <a:t>万吨</a:t>
                </a:r>
                <a:endParaRPr sz="1100" b="1" i="0" u="none" strike="noStrike" baseline="0">
                  <a:solidFill>
                    <a:srgbClr val="000000">
                      <a:alpha val="100000"/>
                    </a:srgbClr>
                  </a:solidFill>
                  <a:latin typeface="Times New Roman" charset="0"/>
                  <a:ea typeface="Times New Roman" charset="0"/>
                  <a:cs typeface="Times New Roman" charset="0"/>
                  <a:sym typeface="Times New Roman" charset="0"/>
                </a:endParaRPr>
              </a:p>
            </c:rich>
          </c:tx>
          <c:layout>
            <c:manualLayout>
              <c:xMode val="edge"/>
              <c:yMode val="edge"/>
              <c:x val="0.00974641367196713"/>
              <c:y val="0.13227553210689"/>
            </c:manualLayout>
          </c:layout>
          <c:overlay val="false"/>
          <c:spPr>
            <a:noFill/>
            <a:ln w="25400">
              <a:noFill/>
            </a:ln>
          </c:spPr>
        </c:title>
        <c:majorTickMark val="in"/>
        <c:minorTickMark val="none"/>
        <c:tickLblPos val="low"/>
        <c:spPr>
          <a:ln w="3175" cap="flat" cmpd="sng" algn="ctr">
            <a:solidFill>
              <a:srgbClr val="000000"/>
            </a:solidFill>
            <a:prstDash val="solid"/>
            <a:round/>
          </a:ln>
        </c:spPr>
        <c:txPr>
          <a:bodyPr rot="0" spcFirstLastPara="0" vertOverflow="ellipsis" vert="horz" wrap="square"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602707617"/>
        <c:crosses val="autoZero"/>
        <c:auto val="false"/>
        <c:lblAlgn val="ctr"/>
        <c:lblOffset val="100"/>
        <c:tickLblSkip val="1"/>
        <c:noMultiLvlLbl val="false"/>
      </c:catAx>
      <c:valAx>
        <c:axId val="602707617"/>
        <c:scaling>
          <c:orientation val="minMax"/>
          <c:min val="-40"/>
        </c:scaling>
        <c:delete val="false"/>
        <c:axPos val="l"/>
        <c:numFmt formatCode="General" sourceLinked="true"/>
        <c:majorTickMark val="in"/>
        <c:minorTickMark val="none"/>
        <c:tickLblPos val="nextTo"/>
        <c:spPr>
          <a:ln w="3175" cap="flat" cmpd="sng" algn="ctr">
            <a:solidFill>
              <a:srgbClr val="000000"/>
            </a:solidFill>
            <a:prstDash val="solid"/>
            <a:round/>
          </a:ln>
        </c:spPr>
        <c:txPr>
          <a:bodyPr rot="0" spcFirstLastPara="0" vertOverflow="ellipsis" vert="horz" wrap="square" anchor="ctr" anchorCtr="true"/>
          <a:lstStyle/>
          <a:p>
            <a:pPr>
              <a:defRPr lang="zh-CN" sz="11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672985737"/>
        <c:crosses val="autoZero"/>
        <c:crossBetween val="between"/>
      </c:valAx>
      <c:catAx>
        <c:axId val="179180385"/>
        <c:scaling>
          <c:orientation val="minMax"/>
        </c:scaling>
        <c:delete val="true"/>
        <c:axPos val="b"/>
        <c:title>
          <c:tx>
            <c:rich>
              <a:bodyPr rot="0" spcFirstLastPara="0" vertOverflow="ellipsis" vert="horz" wrap="square" anchor="ctr" anchorCtr="true"/>
              <a:lstStyle/>
              <a:p>
                <a:pPr defTabSz="914400">
                  <a:defRPr lang="zh-CN" sz="13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r>
                  <a:rPr b="1">
                    <a:latin typeface="Times New Roman" charset="0"/>
                    <a:ea typeface="Times New Roman" charset="0"/>
                    <a:cs typeface="Times New Roman" charset="0"/>
                    <a:sym typeface="Times New Roman" charset="0"/>
                  </a:rPr>
                  <a:t>%</a:t>
                </a:r>
                <a:endParaRPr sz="1300" b="1" i="0" u="none" strike="noStrike" baseline="0">
                  <a:solidFill>
                    <a:srgbClr val="000000">
                      <a:alpha val="100000"/>
                    </a:srgbClr>
                  </a:solidFill>
                  <a:latin typeface="Times New Roman" charset="0"/>
                  <a:ea typeface="Times New Roman" charset="0"/>
                  <a:cs typeface="Times New Roman" charset="0"/>
                  <a:sym typeface="Times New Roman" charset="0"/>
                </a:endParaRPr>
              </a:p>
            </c:rich>
          </c:tx>
          <c:layout>
            <c:manualLayout>
              <c:xMode val="edge"/>
              <c:yMode val="edge"/>
              <c:x val="0.949740870194046"/>
              <c:y val="0.135465864225945"/>
            </c:manualLayout>
          </c:layout>
          <c:overlay val="false"/>
          <c:spPr>
            <a:noFill/>
            <a:ln w="25400">
              <a:noFill/>
            </a:ln>
          </c:spPr>
        </c:title>
        <c:majorTickMark val="out"/>
        <c:minorTickMark val="none"/>
        <c:tickLblPos val="none"/>
        <c:txPr>
          <a:bodyPr rot="-60000000" spcFirstLastPara="0" vertOverflow="ellipsis" vert="horz" wrap="square" anchor="ctr" anchorCtr="true"/>
          <a:lstStyle/>
          <a:p>
            <a:pPr>
              <a:defRPr lang="zh-CN" sz="11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683528791"/>
        <c:crosses val="autoZero"/>
        <c:auto val="false"/>
        <c:lblAlgn val="ctr"/>
        <c:lblOffset val="100"/>
        <c:noMultiLvlLbl val="false"/>
      </c:catAx>
      <c:valAx>
        <c:axId val="683528791"/>
        <c:scaling>
          <c:orientation val="minMax"/>
          <c:max val="70"/>
        </c:scaling>
        <c:delete val="false"/>
        <c:axPos val="r"/>
        <c:numFmt formatCode="General" sourceLinked="true"/>
        <c:majorTickMark val="in"/>
        <c:minorTickMark val="none"/>
        <c:tickLblPos val="nextTo"/>
        <c:spPr>
          <a:ln w="3175" cap="flat" cmpd="sng" algn="ctr">
            <a:solidFill>
              <a:srgbClr val="000000"/>
            </a:solidFill>
            <a:prstDash val="solid"/>
            <a:round/>
          </a:ln>
        </c:spPr>
        <c:txPr>
          <a:bodyPr rot="0" spcFirstLastPara="0" vertOverflow="ellipsis" vert="horz" wrap="square"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179180385"/>
        <c:crosses val="max"/>
        <c:crossBetween val="between"/>
      </c:valAx>
    </c:plotArea>
    <c:legend>
      <c:legendPos val="r"/>
      <c:legendEntry>
        <c:idx val="0"/>
        <c:txPr>
          <a:bodyPr rot="0" spcFirstLastPara="0" vertOverflow="ellipsis" vert="horz" wrap="square" anchor="ctr" anchorCtr="true"/>
          <a:lstStyle/>
          <a:p>
            <a:pPr>
              <a:defRPr lang="zh-CN" sz="845" b="1" i="0" u="none" strike="noStrike" kern="1200" baseline="0">
                <a:solidFill>
                  <a:srgbClr val="000000"/>
                </a:solidFill>
                <a:latin typeface="Times New Roman" charset="0"/>
                <a:ea typeface="Times New Roman" charset="0"/>
                <a:cs typeface="Times New Roman" charset="0"/>
                <a:sym typeface="Times New Roman" charset="0"/>
              </a:defRPr>
            </a:pPr>
          </a:p>
        </c:txPr>
      </c:legendEntry>
      <c:legendEntry>
        <c:idx val="1"/>
        <c:txPr>
          <a:bodyPr rot="0" spcFirstLastPara="0" vertOverflow="ellipsis" vert="horz" wrap="square" anchor="ctr" anchorCtr="true"/>
          <a:lstStyle/>
          <a:p>
            <a:pPr>
              <a:defRPr lang="zh-CN" sz="845" b="1" i="0" u="none" strike="noStrike" kern="1200" baseline="0">
                <a:solidFill>
                  <a:srgbClr val="000000"/>
                </a:solidFill>
                <a:latin typeface="Times New Roman" charset="0"/>
                <a:ea typeface="Times New Roman" charset="0"/>
                <a:cs typeface="Times New Roman" charset="0"/>
                <a:sym typeface="Times New Roman" charset="0"/>
              </a:defRPr>
            </a:pPr>
          </a:p>
        </c:txPr>
      </c:legendEntry>
      <c:layout>
        <c:manualLayout>
          <c:xMode val="edge"/>
          <c:yMode val="edge"/>
          <c:x val="0.30022268109858"/>
          <c:y val="0.826893221987833"/>
          <c:w val="0.42025"/>
          <c:h val="0.05825"/>
        </c:manualLayout>
      </c:layout>
      <c:overlay val="false"/>
      <c:spPr>
        <a:noFill/>
        <a:ln w="25400">
          <a:noFill/>
        </a:ln>
      </c:spPr>
      <c:txPr>
        <a:bodyPr rot="0" spcFirstLastPara="0" vertOverflow="ellipsis" vert="horz" wrap="square" anchor="ctr" anchorCtr="true"/>
        <a:lstStyle/>
        <a:p>
          <a:pPr>
            <a:defRPr lang="zh-CN" sz="845" b="1" i="0" u="none" strike="noStrike" kern="1200" baseline="0">
              <a:solidFill>
                <a:srgbClr val="000000"/>
              </a:solidFill>
              <a:latin typeface="Times New Roman" charset="0"/>
              <a:ea typeface="Times New Roman" charset="0"/>
              <a:cs typeface="Times New Roman" charset="0"/>
              <a:sym typeface="Times New Roman" charset="0"/>
            </a:defRPr>
          </a:pPr>
        </a:p>
      </c:txPr>
    </c:legend>
    <c:plotVisOnly val="true"/>
    <c:dispBlanksAs val="gap"/>
    <c:showDLblsOverMax val="false"/>
  </c:chart>
  <c:spPr>
    <a:solidFill>
      <a:srgbClr val="FFFFFF"/>
    </a:solidFill>
    <a:ln w="9525" cap="flat" cmpd="sng" algn="ctr">
      <a:noFill/>
      <a:prstDash val="solid"/>
      <a:round/>
    </a:ln>
  </c:spPr>
  <c:txPr>
    <a:bodyPr rot="0" wrap="square" anchor="ctr" anchorCtr="true"/>
    <a:lstStyle/>
    <a:p>
      <a:pPr>
        <a:defRPr lang="zh-CN" sz="1100" b="1" i="0" u="none" strike="noStrike" baseline="0">
          <a:solidFill>
            <a:srgbClr val="000000">
              <a:alpha val="100000"/>
            </a:srgbClr>
          </a:solidFill>
          <a:latin typeface="Times New Roman" charset="0"/>
          <a:ea typeface="Times New Roman" charset="0"/>
          <a:cs typeface="Times New Roman" charset="0"/>
          <a:sym typeface="Times New Roman" charset="0"/>
        </a:defRPr>
      </a:pPr>
    </a:p>
  </c:txPr>
  <c:externalData r:id="rId1">
    <c:autoUpdate val="false"/>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true"/>
          <a:lstStyle/>
          <a:p>
            <a:pPr defTabSz="914400">
              <a:defRPr lang="zh-CN" sz="1400" b="0" i="0" u="none" strike="noStrike" kern="1200" baseline="0">
                <a:solidFill>
                  <a:srgbClr val="000000">
                    <a:alpha val="100000"/>
                  </a:srgbClr>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defRPr>
            </a:pP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201</a:t>
            </a:r>
            <a:r>
              <a:rPr lang="en-US" altLang="zh-CN"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202</a:t>
            </a:r>
            <a:r>
              <a:rPr lang="en-US" altLang="zh-CN"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年全地区全口径工业增加值及增速</a:t>
            </a:r>
            <a:endPar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endParaRPr>
          </a:p>
        </c:rich>
      </c:tx>
      <c:layout>
        <c:manualLayout>
          <c:xMode val="edge"/>
          <c:yMode val="edge"/>
          <c:x val="0.153820343575377"/>
          <c:y val="0.0297105744931361"/>
        </c:manualLayout>
      </c:layout>
      <c:overlay val="false"/>
      <c:spPr>
        <a:noFill/>
        <a:ln w="3175">
          <a:noFill/>
        </a:ln>
      </c:spPr>
    </c:title>
    <c:autoTitleDeleted val="false"/>
    <c:plotArea>
      <c:layout>
        <c:manualLayout>
          <c:layoutTarget val="inner"/>
          <c:xMode val="edge"/>
          <c:yMode val="edge"/>
          <c:x val="0.0490073037753318"/>
          <c:y val="0.213426853707415"/>
          <c:w val="0.894722765147619"/>
          <c:h val="0.590380761523046"/>
        </c:manualLayout>
      </c:layout>
      <c:barChart>
        <c:barDir val="col"/>
        <c:grouping val="clustered"/>
        <c:varyColors val="false"/>
        <c:ser>
          <c:idx val="1"/>
          <c:order val="0"/>
          <c:tx>
            <c:strRef>
              <c:f>[2024年公报图表.xls]工业!$B$2</c:f>
              <c:strCache>
                <c:ptCount val="1"/>
                <c:pt idx="0">
                  <c:v>增加值</c:v>
                </c:pt>
              </c:strCache>
            </c:strRef>
          </c:tx>
          <c:spPr>
            <a:solidFill>
              <a:schemeClr val="tx2">
                <a:lumMod val="40000"/>
                <a:lumOff val="60000"/>
              </a:schemeClr>
            </a:solidFill>
          </c:spPr>
          <c:invertIfNegative val="false"/>
          <c:dPt>
            <c:idx val="9"/>
            <c:invertIfNegative val="false"/>
            <c:bubble3D val="false"/>
            <c:explosion val="0"/>
            <c:spPr>
              <a:solidFill>
                <a:schemeClr val="tx2">
                  <a:lumMod val="40000"/>
                  <a:lumOff val="60000"/>
                </a:schemeClr>
              </a:solidFill>
            </c:spPr>
          </c:dPt>
          <c:dLbls>
            <c:dLbl>
              <c:idx val="1"/>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extLst>
                <c:ext xmlns:c15="http://schemas.microsoft.com/office/drawing/2012/chart" uri="{CE6537A1-D6FC-4f65-9D91-7224C49458BB}"/>
              </c:extLst>
            </c:dLbl>
            <c:dLbl>
              <c:idx val="2"/>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extLst>
                <c:ext xmlns:c15="http://schemas.microsoft.com/office/drawing/2012/chart" uri="{CE6537A1-D6FC-4f65-9D91-7224C49458BB}"/>
              </c:extLst>
            </c:dLbl>
            <c:dLbl>
              <c:idx val="4"/>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extLst>
                <c:ext xmlns:c15="http://schemas.microsoft.com/office/drawing/2012/chart" uri="{CE6537A1-D6FC-4f65-9D91-7224C49458BB}"/>
              </c:extLst>
            </c:dLbl>
            <c:dLbl>
              <c:idx val="5"/>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extLst>
                <c:ext xmlns:c15="http://schemas.microsoft.com/office/drawing/2012/chart" uri="{CE6537A1-D6FC-4f65-9D91-7224C49458BB}"/>
              </c:extLst>
            </c:dLbl>
            <c:dLbl>
              <c:idx val="8"/>
              <c:layout>
                <c:manualLayout>
                  <c:x val="0"/>
                  <c:y val="-0.0383431952662722"/>
                </c:manualLayout>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9"/>
              <c:layout>
                <c:manualLayout>
                  <c:x val="-0.00144630589369652"/>
                  <c:y val="0.053491124260355"/>
                </c:manualLayout>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extLst>
                <c:ext xmlns:c15="http://schemas.microsoft.com/office/drawing/2012/chart" uri="{CE6537A1-D6FC-4f65-9D91-7224C49458BB}">
                  <c15:layout>
                    <c:manualLayout>
                      <c:w val="0.0678558515125949"/>
                      <c:h val="0.0653254437869823"/>
                    </c:manualLayout>
                  </c15:layout>
                </c:ext>
              </c:extLst>
            </c:dLbl>
            <c:dLbl>
              <c:idx val="10"/>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extLst>
                <c:ext xmlns:c15="http://schemas.microsoft.com/office/drawing/2012/chart" uri="{CE6537A1-D6FC-4f65-9D91-7224C49458BB}"/>
              </c:extLst>
            </c:dLbl>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[2024年公报图表.xls]工业!$G$1:$Q$1</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[2024年公报图表.xls]工业!$G$2:$Q$2</c:f>
              <c:numCache>
                <c:formatCode>General</c:formatCode>
                <c:ptCount val="11"/>
                <c:pt idx="0">
                  <c:v>11.05</c:v>
                </c:pt>
                <c:pt idx="1">
                  <c:v>8.47</c:v>
                </c:pt>
                <c:pt idx="2">
                  <c:v>11.96</c:v>
                </c:pt>
                <c:pt idx="3">
                  <c:v>14.16</c:v>
                </c:pt>
                <c:pt idx="4">
                  <c:v>16.78</c:v>
                </c:pt>
                <c:pt idx="5">
                  <c:v>24.87</c:v>
                </c:pt>
                <c:pt idx="6">
                  <c:v>33.51</c:v>
                </c:pt>
                <c:pt idx="7">
                  <c:v>38.85</c:v>
                </c:pt>
                <c:pt idx="8">
                  <c:v>35.08</c:v>
                </c:pt>
                <c:pt idx="9">
                  <c:v>39.06</c:v>
                </c:pt>
                <c:pt idx="10">
                  <c:v>48.28</c:v>
                </c:pt>
              </c:numCache>
            </c:numRef>
          </c:val>
        </c:ser>
        <c:dLbls>
          <c:showLegendKey val="false"/>
          <c:showVal val="false"/>
          <c:showCatName val="false"/>
          <c:showSerName val="false"/>
          <c:showPercent val="false"/>
          <c:showBubbleSize val="false"/>
        </c:dLbls>
        <c:gapWidth val="100"/>
        <c:overlap val="0"/>
        <c:axId val="512137127"/>
        <c:axId val="226986669"/>
      </c:barChart>
      <c:lineChart>
        <c:grouping val="standard"/>
        <c:varyColors val="false"/>
        <c:ser>
          <c:idx val="0"/>
          <c:order val="1"/>
          <c:tx>
            <c:strRef>
              <c:f>[2024年公报图表.xls]工业!$B$3</c:f>
              <c:strCache>
                <c:ptCount val="1"/>
                <c:pt idx="0">
                  <c:v>增速</c:v>
                </c:pt>
              </c:strCache>
            </c:strRef>
          </c:tx>
          <c:spPr>
            <a:ln w="12700" cap="rnd" cmpd="sng" algn="ctr">
              <a:solidFill>
                <a:srgbClr val="D8090F">
                  <a:alpha val="100000"/>
                </a:srgbClr>
              </a:solidFill>
              <a:prstDash val="solid"/>
              <a:round/>
            </a:ln>
            <a:sp3d contourW="12700"/>
          </c:spPr>
          <c:marker>
            <c:symbol val="diamond"/>
            <c:size val="5"/>
            <c:spPr>
              <a:solidFill>
                <a:srgbClr val="FF0000">
                  <a:alpha val="100000"/>
                </a:srgbClr>
              </a:solidFill>
              <a:ln w="9525" cap="flat" cmpd="sng" algn="ctr">
                <a:solidFill>
                  <a:srgbClr val="D8090F">
                    <a:alpha val="100000"/>
                  </a:srgbClr>
                </a:solidFill>
                <a:prstDash val="solid"/>
                <a:round/>
              </a:ln>
            </c:spPr>
          </c:marker>
          <c:dLbls>
            <c:dLbl>
              <c:idx val="0"/>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1"/>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2"/>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3"/>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4"/>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5"/>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6"/>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7"/>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8"/>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9"/>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10"/>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[2024年公报图表.xls]工业!$G$1:$Q$1</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[2024年公报图表.xls]工业!$G$3:$Q$3</c:f>
              <c:numCache>
                <c:formatCode>General</c:formatCode>
                <c:ptCount val="11"/>
                <c:pt idx="0">
                  <c:v>22.2</c:v>
                </c:pt>
                <c:pt idx="1">
                  <c:v>7.5</c:v>
                </c:pt>
                <c:pt idx="2">
                  <c:v>33.2</c:v>
                </c:pt>
                <c:pt idx="3">
                  <c:v>17.8</c:v>
                </c:pt>
                <c:pt idx="4">
                  <c:v>10.1</c:v>
                </c:pt>
                <c:pt idx="5">
                  <c:v>38.5</c:v>
                </c:pt>
                <c:pt idx="6" c:formatCode="0.0_ ">
                  <c:v>29</c:v>
                </c:pt>
                <c:pt idx="7">
                  <c:v>33.9</c:v>
                </c:pt>
                <c:pt idx="8">
                  <c:v>8.4</c:v>
                </c:pt>
                <c:pt idx="9">
                  <c:v>19.1</c:v>
                </c:pt>
                <c:pt idx="10">
                  <c:v>33.5</c:v>
                </c:pt>
              </c:numCache>
            </c:numRef>
          </c:val>
          <c:smooth val="false"/>
        </c:ser>
        <c:dLbls>
          <c:showLegendKey val="false"/>
          <c:showVal val="false"/>
          <c:showCatName val="false"/>
          <c:showSerName val="false"/>
          <c:showPercent val="false"/>
          <c:showBubbleSize val="false"/>
        </c:dLbls>
        <c:marker val="true"/>
        <c:smooth val="false"/>
        <c:axId val="575913922"/>
        <c:axId val="321925295"/>
      </c:lineChart>
      <c:catAx>
        <c:axId val="512137127"/>
        <c:scaling>
          <c:orientation val="minMax"/>
        </c:scaling>
        <c:delete val="false"/>
        <c:axPos val="b"/>
        <c:title>
          <c:tx>
            <c:rich>
              <a:bodyPr rot="0" spcFirstLastPara="0" vertOverflow="ellipsis" vert="horz" wrap="square" anchor="ctr" anchorCtr="true"/>
              <a:lstStyle/>
              <a:p>
                <a:pPr defTabSz="914400">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r>
                  <a:rPr sz="800" b="1">
                    <a:latin typeface="Times New Roman" charset="0"/>
                    <a:ea typeface="Times New Roman" charset="0"/>
                    <a:cs typeface="Times New Roman" charset="0"/>
                    <a:sym typeface="Times New Roman" charset="0"/>
                  </a:rPr>
                  <a:t>亿元</a:t>
                </a:r>
                <a:endParaRPr sz="800" b="1" i="0" u="none" strike="noStrike" baseline="0">
                  <a:solidFill>
                    <a:srgbClr val="000000">
                      <a:alpha val="100000"/>
                    </a:srgbClr>
                  </a:solidFill>
                  <a:latin typeface="Times New Roman" charset="0"/>
                  <a:ea typeface="Times New Roman" charset="0"/>
                  <a:cs typeface="Times New Roman" charset="0"/>
                  <a:sym typeface="Times New Roman" charset="0"/>
                </a:endParaRPr>
              </a:p>
            </c:rich>
          </c:tx>
          <c:layout>
            <c:manualLayout>
              <c:xMode val="edge"/>
              <c:yMode val="edge"/>
              <c:x val="0.00308609571951654"/>
              <c:y val="0.133634421823398"/>
            </c:manualLayout>
          </c:layout>
          <c:overlay val="false"/>
          <c:spPr>
            <a:noFill/>
            <a:ln w="3175">
              <a:noFill/>
            </a:ln>
          </c:spPr>
        </c:title>
        <c:majorTickMark val="in"/>
        <c:minorTickMark val="none"/>
        <c:tickLblPos val="nextTo"/>
        <c:spPr>
          <a:ln w="3175" cap="flat" cmpd="sng" algn="ctr">
            <a:solidFill>
              <a:srgbClr val="000000">
                <a:alpha val="100000"/>
              </a:srgbClr>
            </a:solidFill>
            <a:prstDash val="solid"/>
            <a:round/>
          </a:ln>
        </c:spPr>
        <c:txPr>
          <a:bodyPr rot="0" spcFirstLastPara="0" vertOverflow="ellipsis" vert="horz" wrap="square"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226986669"/>
        <c:crosses val="autoZero"/>
        <c:auto val="false"/>
        <c:lblAlgn val="ctr"/>
        <c:lblOffset val="100"/>
        <c:tickLblSkip val="1"/>
        <c:noMultiLvlLbl val="false"/>
      </c:catAx>
      <c:valAx>
        <c:axId val="226986669"/>
        <c:scaling>
          <c:orientation val="minMax"/>
          <c:max val="60"/>
        </c:scaling>
        <c:delete val="false"/>
        <c:axPos val="l"/>
        <c:numFmt formatCode="General" sourceLinked="true"/>
        <c:majorTickMark val="in"/>
        <c:minorTickMark val="none"/>
        <c:tickLblPos val="nextTo"/>
        <c:spPr>
          <a:ln w="3175" cap="flat" cmpd="sng" algn="ctr">
            <a:solidFill>
              <a:srgbClr val="000000">
                <a:alpha val="100000"/>
              </a:srgbClr>
            </a:solidFill>
            <a:prstDash val="solid"/>
            <a:round/>
          </a:ln>
        </c:spPr>
        <c:txPr>
          <a:bodyPr rot="0" spcFirstLastPara="0" vertOverflow="ellipsis" vert="horz" wrap="square"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512137127"/>
        <c:crosses val="autoZero"/>
        <c:crossBetween val="between"/>
      </c:valAx>
      <c:catAx>
        <c:axId val="575913922"/>
        <c:scaling>
          <c:orientation val="minMax"/>
        </c:scaling>
        <c:delete val="true"/>
        <c:axPos val="b"/>
        <c:title>
          <c:tx>
            <c:rich>
              <a:bodyPr rot="0" spcFirstLastPara="0" vertOverflow="ellipsis" vert="horz" wrap="square" anchor="ctr" anchorCtr="true"/>
              <a:lstStyle/>
              <a:p>
                <a:pPr defTabSz="914400">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r>
                  <a:rPr sz="900" b="1">
                    <a:latin typeface="Times New Roman" charset="0"/>
                    <a:ea typeface="Times New Roman" charset="0"/>
                    <a:cs typeface="Times New Roman" charset="0"/>
                    <a:sym typeface="Times New Roman" charset="0"/>
                  </a:rPr>
                  <a:t>%</a:t>
                </a:r>
                <a:endParaRPr sz="900" b="1" i="0" u="none" strike="noStrike" baseline="0">
                  <a:solidFill>
                    <a:srgbClr val="000000">
                      <a:alpha val="100000"/>
                    </a:srgbClr>
                  </a:solidFill>
                  <a:latin typeface="Times New Roman" charset="0"/>
                  <a:ea typeface="Times New Roman" charset="0"/>
                  <a:cs typeface="Times New Roman" charset="0"/>
                  <a:sym typeface="Times New Roman" charset="0"/>
                </a:endParaRPr>
              </a:p>
            </c:rich>
          </c:tx>
          <c:layout>
            <c:manualLayout>
              <c:xMode val="edge"/>
              <c:yMode val="edge"/>
              <c:x val="0.950952160182256"/>
              <c:y val="0.120680257772819"/>
            </c:manualLayout>
          </c:layout>
          <c:overlay val="false"/>
          <c:spPr>
            <a:noFill/>
            <a:ln w="3175">
              <a:noFill/>
            </a:ln>
          </c:spPr>
        </c:title>
        <c:majorTickMark val="out"/>
        <c:minorTickMark val="none"/>
        <c:tickLblPos val="none"/>
        <c:txPr>
          <a:bodyPr rot="-60000000" spcFirstLastPara="0" vertOverflow="ellipsis" vert="horz" wrap="square"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321925295"/>
        <c:crosses val="autoZero"/>
        <c:auto val="false"/>
        <c:lblAlgn val="ctr"/>
        <c:lblOffset val="100"/>
        <c:noMultiLvlLbl val="false"/>
      </c:catAx>
      <c:valAx>
        <c:axId val="321925295"/>
        <c:scaling>
          <c:orientation val="minMax"/>
          <c:max val="60"/>
        </c:scaling>
        <c:delete val="false"/>
        <c:axPos val="r"/>
        <c:numFmt formatCode="General" sourceLinked="true"/>
        <c:majorTickMark val="in"/>
        <c:minorTickMark val="none"/>
        <c:tickLblPos val="nextTo"/>
        <c:spPr>
          <a:ln w="3175" cap="flat" cmpd="sng" algn="ctr">
            <a:solidFill>
              <a:srgbClr val="000000">
                <a:alpha val="100000"/>
              </a:srgbClr>
            </a:solidFill>
            <a:prstDash val="solid"/>
            <a:round/>
          </a:ln>
        </c:spPr>
        <c:txPr>
          <a:bodyPr rot="0" spcFirstLastPara="0" vertOverflow="ellipsis" vert="horz" wrap="square"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575913922"/>
        <c:crosses val="max"/>
        <c:crossBetween val="between"/>
      </c:valAx>
      <c:spPr>
        <a:noFill/>
        <a:ln w="3175">
          <a:noFill/>
        </a:ln>
      </c:spPr>
    </c:plotArea>
    <c:legend>
      <c:legendPos val="r"/>
      <c:legendEntry>
        <c:idx val="0"/>
        <c:txPr>
          <a:bodyPr rot="0" spcFirstLastPara="0" vertOverflow="ellipsis" vert="horz" wrap="square" anchor="ctr" anchorCtr="true"/>
          <a:lstStyle/>
          <a:p>
            <a:pPr>
              <a:defRPr lang="zh-CN" sz="900" b="1" i="0" u="none" strike="noStrike" kern="1200" baseline="0">
                <a:solidFill>
                  <a:srgbClr val="000000"/>
                </a:solidFill>
                <a:latin typeface="Times New Roman" charset="0"/>
                <a:ea typeface="Times New Roman" charset="0"/>
                <a:cs typeface="Times New Roman" charset="0"/>
                <a:sym typeface="Times New Roman" charset="0"/>
              </a:defRPr>
            </a:pPr>
          </a:p>
        </c:txPr>
      </c:legendEntry>
      <c:legendEntry>
        <c:idx val="1"/>
        <c:txPr>
          <a:bodyPr rot="0" spcFirstLastPara="0" vertOverflow="ellipsis" vert="horz" wrap="square" anchor="ctr" anchorCtr="true"/>
          <a:lstStyle/>
          <a:p>
            <a:pPr>
              <a:defRPr lang="zh-CN" sz="900" b="1" i="0" u="none" strike="noStrike" kern="1200" baseline="0">
                <a:solidFill>
                  <a:srgbClr val="000000"/>
                </a:solidFill>
                <a:latin typeface="Times New Roman" charset="0"/>
                <a:ea typeface="Times New Roman" charset="0"/>
                <a:cs typeface="Times New Roman" charset="0"/>
                <a:sym typeface="Times New Roman" charset="0"/>
              </a:defRPr>
            </a:pPr>
          </a:p>
        </c:txPr>
      </c:legendEntry>
      <c:layout>
        <c:manualLayout>
          <c:xMode val="edge"/>
          <c:yMode val="edge"/>
          <c:x val="0.289944104209196"/>
          <c:y val="0.89537348371994"/>
          <c:w val="0.42375"/>
          <c:h val="0.05875"/>
        </c:manualLayout>
      </c:layout>
      <c:overlay val="false"/>
      <c:spPr>
        <a:noFill/>
        <a:ln w="3175">
          <a:noFill/>
        </a:ln>
      </c:spPr>
      <c:txPr>
        <a:bodyPr rot="0" spcFirstLastPara="0" vertOverflow="ellipsis" vert="horz" wrap="square" anchor="ctr" anchorCtr="true"/>
        <a:lstStyle/>
        <a:p>
          <a:pPr>
            <a:defRPr lang="zh-CN" sz="900" b="1" i="0" u="none" strike="noStrike" kern="1200" baseline="0">
              <a:solidFill>
                <a:srgbClr val="000000"/>
              </a:solidFill>
              <a:latin typeface="Times New Roman" charset="0"/>
              <a:ea typeface="Times New Roman" charset="0"/>
              <a:cs typeface="Times New Roman" charset="0"/>
              <a:sym typeface="Times New Roman" charset="0"/>
            </a:defRPr>
          </a:pPr>
        </a:p>
      </c:txPr>
    </c:legend>
    <c:plotVisOnly val="true"/>
    <c:dispBlanksAs val="gap"/>
    <c:showDLblsOverMax val="false"/>
  </c:chart>
  <c:spPr>
    <a:solidFill>
      <a:srgbClr val="FFFFFF">
        <a:alpha val="100000"/>
      </a:srgbClr>
    </a:solidFill>
    <a:ln w="3175" cap="flat" cmpd="sng" algn="ctr">
      <a:noFill/>
      <a:prstDash val="solid"/>
      <a:round/>
    </a:ln>
  </c:spPr>
  <c:txPr>
    <a:bodyPr rot="0" wrap="square" anchor="ctr" anchorCtr="true"/>
    <a:lstStyle/>
    <a:p>
      <a:pPr>
        <a:defRPr lang="zh-CN" sz="900" b="1" i="0" u="none" strike="noStrike" baseline="0">
          <a:solidFill>
            <a:srgbClr val="000000"/>
          </a:solidFill>
          <a:latin typeface="Times New Roman" charset="0"/>
          <a:ea typeface="Times New Roman" charset="0"/>
          <a:cs typeface="Times New Roman" charset="0"/>
          <a:sym typeface="Times New Roman" charset="0"/>
        </a:defRPr>
      </a:pPr>
    </a:p>
  </c:txPr>
  <c:externalData r:id="rId1">
    <c:autoUpdate val="false"/>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true"/>
          <a:lstStyle/>
          <a:p>
            <a:pPr defTabSz="914400">
              <a:defRPr lang="zh-CN" sz="1400" b="0" i="0" u="none" strike="noStrike" kern="1200" baseline="0">
                <a:solidFill>
                  <a:srgbClr val="000000">
                    <a:alpha val="100000"/>
                  </a:srgbClr>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defRPr>
            </a:pP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201</a:t>
            </a:r>
            <a:r>
              <a:rPr lang="en-US" altLang="zh-CN"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202</a:t>
            </a:r>
            <a:r>
              <a:rPr lang="en-US" altLang="zh-CN"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年建筑业增加值及增速</a:t>
            </a:r>
            <a:endPar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endParaRPr>
          </a:p>
        </c:rich>
      </c:tx>
      <c:layout>
        <c:manualLayout>
          <c:xMode val="edge"/>
          <c:yMode val="edge"/>
          <c:x val="0.217875963754363"/>
          <c:y val="0.0490961286089239"/>
        </c:manualLayout>
      </c:layout>
      <c:overlay val="false"/>
      <c:spPr>
        <a:noFill/>
        <a:ln w="3175">
          <a:noFill/>
        </a:ln>
      </c:spPr>
    </c:title>
    <c:autoTitleDeleted val="false"/>
    <c:plotArea>
      <c:layout>
        <c:manualLayout>
          <c:layoutTarget val="inner"/>
          <c:xMode val="edge"/>
          <c:yMode val="edge"/>
          <c:x val="0.0406421630756231"/>
          <c:y val="0.213690062543433"/>
          <c:w val="0.922198195511148"/>
          <c:h val="0.611188325225851"/>
        </c:manualLayout>
      </c:layout>
      <c:barChart>
        <c:barDir val="col"/>
        <c:grouping val="clustered"/>
        <c:varyColors val="false"/>
        <c:ser>
          <c:idx val="1"/>
          <c:order val="0"/>
          <c:tx>
            <c:strRef>
              <c:f>[2024年公报图表.xls]建筑业!$B$2</c:f>
              <c:strCache>
                <c:ptCount val="1"/>
                <c:pt idx="0">
                  <c:v>增加值</c:v>
                </c:pt>
              </c:strCache>
            </c:strRef>
          </c:tx>
          <c:spPr>
            <a:gradFill>
              <a:gsLst>
                <a:gs pos="58000">
                  <a:srgbClr val="FECF40"/>
                </a:gs>
                <a:gs pos="100000">
                  <a:srgbClr val="846C21"/>
                </a:gs>
              </a:gsLst>
              <a:lin ang="5400000" scaled="false"/>
            </a:gradFill>
          </c:spPr>
          <c:invertIfNegative val="false"/>
          <c:dPt>
            <c:idx val="9"/>
            <c:invertIfNegative val="false"/>
            <c:bubble3D val="false"/>
            <c:explosion val="0"/>
            <c:spPr>
              <a:gradFill>
                <a:gsLst>
                  <a:gs pos="58000">
                    <a:srgbClr val="FECF40"/>
                  </a:gs>
                  <a:gs pos="100000">
                    <a:srgbClr val="846C21"/>
                  </a:gs>
                </a:gsLst>
                <a:lin ang="5400000" scaled="false"/>
              </a:gradFill>
            </c:spPr>
          </c:dPt>
          <c:dLbls>
            <c:dLbl>
              <c:idx val="1"/>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2"/>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4"/>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5"/>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6"/>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7"/>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8"/>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9"/>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10"/>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[2024年公报图表.xls]建筑业!$G$1:$Q$1</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[2024年公报图表.xls]建筑业!$G$2:$Q$2</c:f>
              <c:numCache>
                <c:formatCode>0.00_ </c:formatCode>
                <c:ptCount val="11"/>
                <c:pt idx="0">
                  <c:v>21.3295499289231</c:v>
                </c:pt>
                <c:pt idx="1">
                  <c:v>24.6092</c:v>
                </c:pt>
                <c:pt idx="2">
                  <c:v>22.9713</c:v>
                </c:pt>
                <c:pt idx="3">
                  <c:v>24.0568</c:v>
                </c:pt>
                <c:pt idx="4">
                  <c:v>30.5102</c:v>
                </c:pt>
                <c:pt idx="5">
                  <c:v>32.54</c:v>
                </c:pt>
                <c:pt idx="6">
                  <c:v>35.27</c:v>
                </c:pt>
                <c:pt idx="7">
                  <c:v>43.19</c:v>
                </c:pt>
                <c:pt idx="8">
                  <c:v>45.99</c:v>
                </c:pt>
                <c:pt idx="9">
                  <c:v>44.6</c:v>
                </c:pt>
                <c:pt idx="10">
                  <c:v>52.24</c:v>
                </c:pt>
              </c:numCache>
            </c:numRef>
          </c:val>
        </c:ser>
        <c:dLbls>
          <c:showLegendKey val="false"/>
          <c:showVal val="false"/>
          <c:showCatName val="false"/>
          <c:showSerName val="false"/>
          <c:showPercent val="false"/>
          <c:showBubbleSize val="false"/>
        </c:dLbls>
        <c:gapWidth val="100"/>
        <c:overlap val="0"/>
        <c:axId val="301355588"/>
        <c:axId val="293457773"/>
      </c:barChart>
      <c:lineChart>
        <c:grouping val="standard"/>
        <c:varyColors val="false"/>
        <c:ser>
          <c:idx val="0"/>
          <c:order val="1"/>
          <c:tx>
            <c:strRef>
              <c:f>[2024年公报图表.xls]建筑业!$B$3</c:f>
              <c:strCache>
                <c:ptCount val="1"/>
                <c:pt idx="0">
                  <c:v>    增速</c:v>
                </c:pt>
              </c:strCache>
            </c:strRef>
          </c:tx>
          <c:spPr>
            <a:ln w="15875" cap="rnd" cmpd="sng" algn="ctr">
              <a:solidFill>
                <a:srgbClr val="0070C0">
                  <a:alpha val="100000"/>
                </a:srgbClr>
              </a:solidFill>
              <a:prstDash val="solid"/>
              <a:round/>
            </a:ln>
          </c:spPr>
          <c:marker>
            <c:symbol val="diamond"/>
            <c:size val="5"/>
            <c:spPr>
              <a:gradFill>
                <a:gsLst>
                  <a:gs pos="0">
                    <a:srgbClr val="14CD68"/>
                  </a:gs>
                  <a:gs pos="100000">
                    <a:srgbClr val="0B6E38"/>
                  </a:gs>
                </a:gsLst>
                <a:lin ang="5400000" scaled="false"/>
              </a:gradFill>
              <a:ln w="19050" cap="flat" cmpd="sng" algn="ctr">
                <a:solidFill>
                  <a:srgbClr val="D8090F">
                    <a:alpha val="100000"/>
                  </a:srgbClr>
                </a:solidFill>
                <a:prstDash val="solid"/>
                <a:round/>
              </a:ln>
            </c:spPr>
          </c:marker>
          <c:dLbls>
            <c:dLbl>
              <c:idx val="0"/>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1"/>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2"/>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3"/>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4"/>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5"/>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6"/>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7"/>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8"/>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9"/>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10"/>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[2024年公报图表.xls]建筑业!$G$1:$Q$1</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[2024年公报图表.xls]建筑业!$G$3:$Q$3</c:f>
              <c:numCache>
                <c:formatCode>0.0_ </c:formatCode>
                <c:ptCount val="11"/>
                <c:pt idx="0">
                  <c:v>14.6</c:v>
                </c:pt>
                <c:pt idx="1">
                  <c:v>8.4</c:v>
                </c:pt>
                <c:pt idx="2">
                  <c:v>11.2</c:v>
                </c:pt>
                <c:pt idx="3">
                  <c:v>9.5</c:v>
                </c:pt>
                <c:pt idx="4">
                  <c:v>2.3</c:v>
                </c:pt>
                <c:pt idx="5">
                  <c:v>-2.9</c:v>
                </c:pt>
                <c:pt idx="6">
                  <c:v>8.1</c:v>
                </c:pt>
                <c:pt idx="7">
                  <c:v>11.9</c:v>
                </c:pt>
                <c:pt idx="8">
                  <c:v>7.7</c:v>
                </c:pt>
                <c:pt idx="9">
                  <c:v>-1.5</c:v>
                </c:pt>
                <c:pt idx="10">
                  <c:v>14</c:v>
                </c:pt>
              </c:numCache>
            </c:numRef>
          </c:val>
          <c:smooth val="false"/>
        </c:ser>
        <c:dLbls>
          <c:showLegendKey val="false"/>
          <c:showVal val="false"/>
          <c:showCatName val="false"/>
          <c:showSerName val="false"/>
          <c:showPercent val="false"/>
          <c:showBubbleSize val="false"/>
        </c:dLbls>
        <c:marker val="true"/>
        <c:smooth val="false"/>
        <c:axId val="335934164"/>
        <c:axId val="996260975"/>
      </c:lineChart>
      <c:catAx>
        <c:axId val="301355588"/>
        <c:scaling>
          <c:orientation val="minMax"/>
        </c:scaling>
        <c:delete val="false"/>
        <c:axPos val="b"/>
        <c:title>
          <c:tx>
            <c:rich>
              <a:bodyPr rot="0" spcFirstLastPara="0" vertOverflow="ellipsis" vert="horz" wrap="square" anchor="ctr" anchorCtr="true"/>
              <a:lstStyle/>
              <a:p>
                <a:pPr defTabSz="914400">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r>
                  <a:rPr sz="1000" b="1">
                    <a:latin typeface="Times New Roman" charset="0"/>
                    <a:ea typeface="Times New Roman" charset="0"/>
                    <a:cs typeface="Times New Roman" charset="0"/>
                    <a:sym typeface="Times New Roman" charset="0"/>
                  </a:rPr>
                  <a:t>亿元</a:t>
                </a:r>
                <a:endParaRPr sz="1000" b="1" i="0" u="none" strike="noStrike" baseline="0">
                  <a:solidFill>
                    <a:srgbClr val="000000">
                      <a:alpha val="100000"/>
                    </a:srgbClr>
                  </a:solidFill>
                  <a:latin typeface="Times New Roman" charset="0"/>
                  <a:ea typeface="Times New Roman" charset="0"/>
                  <a:cs typeface="Times New Roman" charset="0"/>
                  <a:sym typeface="Times New Roman" charset="0"/>
                </a:endParaRPr>
              </a:p>
            </c:rich>
          </c:tx>
          <c:layout>
            <c:manualLayout>
              <c:xMode val="edge"/>
              <c:yMode val="edge"/>
              <c:x val="0.00253458811945085"/>
              <c:y val="0.13293115704287"/>
            </c:manualLayout>
          </c:layout>
          <c:overlay val="false"/>
          <c:spPr>
            <a:noFill/>
            <a:ln w="3175">
              <a:noFill/>
            </a:ln>
          </c:spPr>
        </c:title>
        <c:majorTickMark val="in"/>
        <c:minorTickMark val="none"/>
        <c:tickLblPos val="low"/>
        <c:spPr>
          <a:ln w="3175" cap="flat" cmpd="sng" algn="ctr">
            <a:solidFill>
              <a:srgbClr val="000000">
                <a:alpha val="100000"/>
              </a:srgbClr>
            </a:solidFill>
            <a:prstDash val="solid"/>
            <a:round/>
          </a:ln>
        </c:spPr>
        <c:txPr>
          <a:bodyPr rot="0" spcFirstLastPara="0" vertOverflow="ellipsis" vert="horz" wrap="square"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293457773"/>
        <c:crosses val="autoZero"/>
        <c:auto val="false"/>
        <c:lblAlgn val="ctr"/>
        <c:lblOffset val="100"/>
        <c:tickLblSkip val="1"/>
        <c:noMultiLvlLbl val="false"/>
      </c:catAx>
      <c:valAx>
        <c:axId val="293457773"/>
        <c:scaling>
          <c:orientation val="minMax"/>
          <c:min val="-20"/>
        </c:scaling>
        <c:delete val="false"/>
        <c:axPos val="l"/>
        <c:numFmt formatCode="0_ " sourceLinked="false"/>
        <c:majorTickMark val="in"/>
        <c:minorTickMark val="none"/>
        <c:tickLblPos val="nextTo"/>
        <c:spPr>
          <a:ln w="3175" cap="flat" cmpd="sng" algn="ctr">
            <a:solidFill>
              <a:srgbClr val="000000">
                <a:alpha val="100000"/>
              </a:srgbClr>
            </a:solidFill>
            <a:prstDash val="solid"/>
            <a:round/>
          </a:ln>
        </c:spPr>
        <c:txPr>
          <a:bodyPr rot="0" spcFirstLastPara="0" vertOverflow="ellipsis" vert="horz" wrap="square"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301355588"/>
        <c:crosses val="autoZero"/>
        <c:crossBetween val="between"/>
      </c:valAx>
      <c:catAx>
        <c:axId val="335934164"/>
        <c:scaling>
          <c:orientation val="minMax"/>
        </c:scaling>
        <c:delete val="true"/>
        <c:axPos val="b"/>
        <c:title>
          <c:tx>
            <c:rich>
              <a:bodyPr rot="0" spcFirstLastPara="0" vertOverflow="ellipsis" vert="horz" wrap="square" anchor="ctr" anchorCtr="true"/>
              <a:lstStyle/>
              <a:p>
                <a:pPr defTabSz="914400">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r>
                  <a:rPr sz="1000" b="1">
                    <a:latin typeface="Times New Roman" charset="0"/>
                    <a:ea typeface="Times New Roman" charset="0"/>
                    <a:cs typeface="Times New Roman" charset="0"/>
                    <a:sym typeface="Times New Roman" charset="0"/>
                  </a:rPr>
                  <a:t>%</a:t>
                </a:r>
                <a:endParaRPr sz="1000" b="1" i="0" u="none" strike="noStrike" baseline="0">
                  <a:solidFill>
                    <a:srgbClr val="000000">
                      <a:alpha val="100000"/>
                    </a:srgbClr>
                  </a:solidFill>
                  <a:latin typeface="Times New Roman" charset="0"/>
                  <a:ea typeface="Times New Roman" charset="0"/>
                  <a:cs typeface="Times New Roman" charset="0"/>
                  <a:sym typeface="Times New Roman" charset="0"/>
                </a:endParaRPr>
              </a:p>
            </c:rich>
          </c:tx>
          <c:layout>
            <c:manualLayout>
              <c:xMode val="edge"/>
              <c:yMode val="edge"/>
              <c:x val="0.971663656111427"/>
              <c:y val="0.128269083552056"/>
            </c:manualLayout>
          </c:layout>
          <c:overlay val="false"/>
          <c:spPr>
            <a:noFill/>
            <a:ln w="3175">
              <a:noFill/>
            </a:ln>
          </c:spPr>
        </c:title>
        <c:majorTickMark val="out"/>
        <c:minorTickMark val="none"/>
        <c:tickLblPos val="none"/>
        <c:txPr>
          <a:bodyPr rot="-60000000" spcFirstLastPara="0" vertOverflow="ellipsis" vert="horz" wrap="square"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996260975"/>
        <c:crosses val="autoZero"/>
        <c:auto val="false"/>
        <c:lblAlgn val="ctr"/>
        <c:lblOffset val="100"/>
        <c:noMultiLvlLbl val="false"/>
      </c:catAx>
      <c:valAx>
        <c:axId val="996260975"/>
        <c:scaling>
          <c:orientation val="minMax"/>
          <c:max val="30"/>
          <c:min val="-10"/>
        </c:scaling>
        <c:delete val="false"/>
        <c:axPos val="r"/>
        <c:numFmt formatCode="0_ " sourceLinked="false"/>
        <c:majorTickMark val="in"/>
        <c:minorTickMark val="none"/>
        <c:tickLblPos val="nextTo"/>
        <c:spPr>
          <a:ln w="3175" cap="flat" cmpd="sng" algn="ctr">
            <a:solidFill>
              <a:srgbClr val="000000">
                <a:alpha val="100000"/>
              </a:srgbClr>
            </a:solidFill>
            <a:prstDash val="solid"/>
            <a:round/>
          </a:ln>
        </c:spPr>
        <c:txPr>
          <a:bodyPr rot="0" spcFirstLastPara="0" vertOverflow="ellipsis" vert="horz" wrap="square"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335934164"/>
        <c:crosses val="max"/>
        <c:crossBetween val="between"/>
      </c:valAx>
      <c:spPr>
        <a:noFill/>
        <a:ln w="3175">
          <a:noFill/>
        </a:ln>
      </c:spPr>
    </c:plotArea>
    <c:legend>
      <c:legendPos val="r"/>
      <c:legendEntry>
        <c:idx val="0"/>
        <c:txPr>
          <a:bodyPr rot="0" spcFirstLastPara="0" vertOverflow="ellipsis" vert="horz" wrap="square" anchor="ctr" anchorCtr="true"/>
          <a:lstStyle/>
          <a:p>
            <a:pPr>
              <a:defRPr lang="zh-CN" sz="1000" b="1" i="0" u="none" strike="noStrike" kern="1200" baseline="0">
                <a:solidFill>
                  <a:srgbClr val="000000"/>
                </a:solidFill>
                <a:latin typeface="Times New Roman" charset="0"/>
                <a:ea typeface="Times New Roman" charset="0"/>
                <a:cs typeface="Times New Roman" charset="0"/>
                <a:sym typeface="Times New Roman" charset="0"/>
              </a:defRPr>
            </a:pPr>
          </a:p>
        </c:txPr>
      </c:legendEntry>
      <c:legendEntry>
        <c:idx val="1"/>
        <c:txPr>
          <a:bodyPr rot="0" spcFirstLastPara="0" vertOverflow="ellipsis" vert="horz" wrap="square" anchor="ctr" anchorCtr="true"/>
          <a:lstStyle/>
          <a:p>
            <a:pPr>
              <a:defRPr lang="zh-CN" sz="1000" b="1" i="0" u="none" strike="noStrike" kern="1200" baseline="0">
                <a:solidFill>
                  <a:srgbClr val="000000"/>
                </a:solidFill>
                <a:latin typeface="Times New Roman" charset="0"/>
                <a:ea typeface="Times New Roman" charset="0"/>
                <a:cs typeface="Times New Roman" charset="0"/>
                <a:sym typeface="Times New Roman" charset="0"/>
              </a:defRPr>
            </a:pPr>
          </a:p>
        </c:txPr>
      </c:legendEntry>
      <c:layout>
        <c:manualLayout>
          <c:xMode val="edge"/>
          <c:yMode val="edge"/>
          <c:x val="0.298153564528873"/>
          <c:y val="0.919409685493675"/>
          <c:w val="0.42375"/>
          <c:h val="0.06125"/>
        </c:manualLayout>
      </c:layout>
      <c:overlay val="false"/>
      <c:spPr>
        <a:noFill/>
        <a:ln w="3175">
          <a:noFill/>
        </a:ln>
      </c:spPr>
      <c:txPr>
        <a:bodyPr rot="0" spcFirstLastPara="0" vertOverflow="ellipsis" vert="horz" wrap="square" anchor="ctr" anchorCtr="true"/>
        <a:lstStyle/>
        <a:p>
          <a:pPr>
            <a:defRPr lang="zh-CN" sz="1000" b="1" i="0" u="none" strike="noStrike" kern="1200" baseline="0">
              <a:solidFill>
                <a:srgbClr val="000000"/>
              </a:solidFill>
              <a:latin typeface="Times New Roman" charset="0"/>
              <a:ea typeface="Times New Roman" charset="0"/>
              <a:cs typeface="Times New Roman" charset="0"/>
              <a:sym typeface="Times New Roman" charset="0"/>
            </a:defRPr>
          </a:pPr>
        </a:p>
      </c:txPr>
    </c:legend>
    <c:plotVisOnly val="true"/>
    <c:dispBlanksAs val="gap"/>
    <c:showDLblsOverMax val="false"/>
  </c:chart>
  <c:spPr>
    <a:solidFill>
      <a:srgbClr val="FFFFFF">
        <a:alpha val="100000"/>
      </a:srgbClr>
    </a:solidFill>
    <a:ln w="3175" cap="flat" cmpd="sng" algn="ctr">
      <a:noFill/>
      <a:prstDash val="solid"/>
      <a:round/>
    </a:ln>
  </c:spPr>
  <c:txPr>
    <a:bodyPr rot="0" wrap="square" anchor="ctr" anchorCtr="true"/>
    <a:lstStyle/>
    <a:p>
      <a:pPr>
        <a:defRPr lang="zh-CN" sz="1000" b="1" i="0" u="none" strike="noStrike" baseline="0">
          <a:solidFill>
            <a:srgbClr val="000000">
              <a:alpha val="100000"/>
            </a:srgbClr>
          </a:solidFill>
          <a:latin typeface="Times New Roman" charset="0"/>
          <a:ea typeface="Times New Roman" charset="0"/>
          <a:cs typeface="Times New Roman" charset="0"/>
          <a:sym typeface="Times New Roman" charset="0"/>
        </a:defRPr>
      </a:pPr>
    </a:p>
  </c:txPr>
  <c:externalData r:id="rId1">
    <c:autoUpdate val="false"/>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true"/>
          <a:lstStyle/>
          <a:p>
            <a:pPr defTabSz="914400">
              <a:defRPr lang="zh-CN" sz="1400" b="0" i="0" u="none" strike="noStrike" kern="1200" baseline="0">
                <a:solidFill>
                  <a:srgbClr val="000000">
                    <a:alpha val="100000"/>
                  </a:srgbClr>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defRPr>
            </a:pP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201</a:t>
            </a:r>
            <a:r>
              <a:rPr lang="en-US" altLang="zh-CN"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—202</a:t>
            </a:r>
            <a:r>
              <a:rPr lang="en-US" altLang="zh-CN"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年服务业增加值及增速</a:t>
            </a:r>
            <a:endParaRPr sz="1400" b="0" i="0" u="none" strike="noStrike" baseline="0">
              <a:solidFill>
                <a:srgbClr val="000000"/>
              </a:solidFill>
              <a:latin typeface="宋体" charset="-122"/>
              <a:ea typeface="宋体" charset="-122"/>
              <a:cs typeface="宋体" charset="-122"/>
              <a:sym typeface="方正小标宋简体" panose="02000000000000000000" charset="-122"/>
            </a:endParaRPr>
          </a:p>
        </c:rich>
      </c:tx>
      <c:layout>
        <c:manualLayout>
          <c:xMode val="edge"/>
          <c:yMode val="edge"/>
          <c:x val="0.247583592261883"/>
          <c:y val="0.0349976668222119"/>
        </c:manualLayout>
      </c:layout>
      <c:overlay val="false"/>
      <c:spPr>
        <a:noFill/>
        <a:ln w="3175">
          <a:noFill/>
        </a:ln>
      </c:spPr>
    </c:title>
    <c:autoTitleDeleted val="false"/>
    <c:plotArea>
      <c:layout>
        <c:manualLayout>
          <c:layoutTarget val="inner"/>
          <c:xMode val="edge"/>
          <c:yMode val="edge"/>
          <c:x val="0.0450229478594538"/>
          <c:y val="0.230388109000826"/>
          <c:w val="0.92217289895418"/>
          <c:h val="0.594549958711808"/>
        </c:manualLayout>
      </c:layout>
      <c:barChart>
        <c:barDir val="col"/>
        <c:grouping val="clustered"/>
        <c:varyColors val="false"/>
        <c:ser>
          <c:idx val="1"/>
          <c:order val="0"/>
          <c:tx>
            <c:strRef>
              <c:f>[2024年公报图表.xls]服务业!$B$2</c:f>
              <c:strCache>
                <c:ptCount val="1"/>
                <c:pt idx="0">
                  <c:v>增加值</c:v>
                </c:pt>
              </c:strCache>
            </c:strRef>
          </c:tx>
          <c:spPr>
            <a:solidFill>
              <a:schemeClr val="accent3">
                <a:lumMod val="60000"/>
                <a:lumOff val="40000"/>
                <a:alpha val="100000"/>
              </a:schemeClr>
            </a:solidFill>
          </c:spPr>
          <c:invertIfNegative val="false"/>
          <c:dPt>
            <c:idx val="9"/>
            <c:invertIfNegative val="false"/>
            <c:bubble3D val="false"/>
            <c:explosion val="0"/>
            <c:spPr>
              <a:solidFill>
                <a:schemeClr val="accent3">
                  <a:lumMod val="60000"/>
                  <a:lumOff val="40000"/>
                  <a:alpha val="100000"/>
                </a:schemeClr>
              </a:solidFill>
            </c:spPr>
          </c:dPt>
          <c:dLbls>
            <c:dLbl>
              <c:idx val="1"/>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extLst>
                <c:ext xmlns:c15="http://schemas.microsoft.com/office/drawing/2012/chart" uri="{CE6537A1-D6FC-4f65-9D91-7224C49458BB}"/>
              </c:extLst>
            </c:dLbl>
            <c:dLbl>
              <c:idx val="2"/>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extLst>
                <c:ext xmlns:c15="http://schemas.microsoft.com/office/drawing/2012/chart" uri="{CE6537A1-D6FC-4f65-9D91-7224C49458BB}"/>
              </c:extLst>
            </c:dLbl>
            <c:dLbl>
              <c:idx val="5"/>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extLst>
                <c:ext xmlns:c15="http://schemas.microsoft.com/office/drawing/2012/chart" uri="{CE6537A1-D6FC-4f65-9D91-7224C49458BB}"/>
              </c:extLst>
            </c:dLbl>
            <c:dLbl>
              <c:idx val="6"/>
              <c:layout>
                <c:manualLayout>
                  <c:x val="-0.00130378096479791"/>
                  <c:y val="-0.0468831394339295"/>
                </c:manualLayout>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7"/>
              <c:layout>
                <c:manualLayout>
                  <c:x val="-0.00130378096479791"/>
                  <c:y val="-0.0573016148636916"/>
                </c:manualLayout>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8"/>
              <c:layout>
                <c:manualLayout>
                  <c:x val="0.00130378096479791"/>
                  <c:y val="-0.0729293280083348"/>
                </c:manualLayout>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9"/>
              <c:layout>
                <c:manualLayout>
                  <c:x val="0"/>
                  <c:y val="-0.0807431845806564"/>
                </c:manualLayout>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10"/>
              <c:layout>
                <c:manualLayout>
                  <c:x val="0.00130378096479791"/>
                  <c:y val="-0.0703247091508943"/>
                </c:manualLayout>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extLst>
                <c:ext xmlns:c15="http://schemas.microsoft.com/office/drawing/2012/chart" uri="{CE6537A1-D6FC-4f65-9D91-7224C49458BB}">
                  <c15:layout/>
                </c:ext>
              </c:extLst>
            </c:dLbl>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[2024年公报图表.xls]服务业!$G$1:$Q$1</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[2024年公报图表.xls]服务业!$G$2:$Q$2</c:f>
              <c:numCache>
                <c:formatCode>0.00_ </c:formatCode>
                <c:ptCount val="11"/>
                <c:pt idx="0">
                  <c:v>91.6748</c:v>
                </c:pt>
                <c:pt idx="1">
                  <c:v>117.5874</c:v>
                </c:pt>
                <c:pt idx="2">
                  <c:v>156.7197</c:v>
                </c:pt>
                <c:pt idx="3">
                  <c:v>182.8908</c:v>
                </c:pt>
                <c:pt idx="4">
                  <c:v>237.78</c:v>
                </c:pt>
                <c:pt idx="5">
                  <c:v>270.4</c:v>
                </c:pt>
                <c:pt idx="6">
                  <c:v>286.41</c:v>
                </c:pt>
                <c:pt idx="7">
                  <c:v>305.67</c:v>
                </c:pt>
                <c:pt idx="8">
                  <c:v>327.93</c:v>
                </c:pt>
                <c:pt idx="9">
                  <c:v>352.61</c:v>
                </c:pt>
                <c:pt idx="10">
                  <c:v>379.49</c:v>
                </c:pt>
              </c:numCache>
            </c:numRef>
          </c:val>
        </c:ser>
        <c:dLbls>
          <c:showLegendKey val="false"/>
          <c:showVal val="false"/>
          <c:showCatName val="false"/>
          <c:showSerName val="false"/>
          <c:showPercent val="false"/>
          <c:showBubbleSize val="false"/>
        </c:dLbls>
        <c:gapWidth val="100"/>
        <c:overlap val="0"/>
        <c:axId val="657499371"/>
        <c:axId val="93513473"/>
      </c:barChart>
      <c:lineChart>
        <c:grouping val="standard"/>
        <c:varyColors val="false"/>
        <c:ser>
          <c:idx val="0"/>
          <c:order val="1"/>
          <c:tx>
            <c:strRef>
              <c:f>[2024年公报图表.xls]服务业!$B$3</c:f>
              <c:strCache>
                <c:ptCount val="1"/>
                <c:pt idx="0">
                  <c:v>    增速</c:v>
                </c:pt>
              </c:strCache>
            </c:strRef>
          </c:tx>
          <c:spPr>
            <a:ln w="12700" cap="rnd" cmpd="sng" algn="ctr">
              <a:solidFill>
                <a:srgbClr val="D8090F">
                  <a:alpha val="100000"/>
                </a:srgbClr>
              </a:solidFill>
              <a:prstDash val="solid"/>
              <a:round/>
            </a:ln>
          </c:spPr>
          <c:marker>
            <c:symbol val="diamond"/>
            <c:size val="5"/>
            <c:spPr>
              <a:solidFill>
                <a:srgbClr val="FF0000">
                  <a:alpha val="100000"/>
                </a:srgbClr>
              </a:solidFill>
              <a:ln w="9525" cap="flat" cmpd="sng" algn="ctr">
                <a:solidFill>
                  <a:srgbClr val="D8090F">
                    <a:alpha val="100000"/>
                  </a:srgbClr>
                </a:solidFill>
                <a:prstDash val="solid"/>
                <a:round/>
              </a:ln>
            </c:spPr>
          </c:marker>
          <c:dLbls>
            <c:dLbl>
              <c:idx val="0"/>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1"/>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2"/>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3"/>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4"/>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5"/>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6"/>
              <c:layout>
                <c:manualLayout>
                  <c:x val="0.00130378096479791"/>
                  <c:y val="0.0130230942872026"/>
                </c:manualLayout>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15:layout/>
                </c:ext>
              </c:extLst>
            </c:dLbl>
            <c:dLbl>
              <c:idx val="7"/>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8"/>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9"/>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10"/>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[2024年公报图表.xls]服务业!$G$1:$Q$1</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[2024年公报图表.xls]服务业!$G$3:$Q$3</c:f>
              <c:numCache>
                <c:formatCode>0.0_ </c:formatCode>
                <c:ptCount val="11"/>
                <c:pt idx="0">
                  <c:v>13.6</c:v>
                </c:pt>
                <c:pt idx="1">
                  <c:v>17.5</c:v>
                </c:pt>
                <c:pt idx="2">
                  <c:v>13.3</c:v>
                </c:pt>
                <c:pt idx="3">
                  <c:v>10.9</c:v>
                </c:pt>
                <c:pt idx="4">
                  <c:v>10.4</c:v>
                </c:pt>
                <c:pt idx="5">
                  <c:v>9.5</c:v>
                </c:pt>
                <c:pt idx="6">
                  <c:v>4.6</c:v>
                </c:pt>
                <c:pt idx="7">
                  <c:v>3.9</c:v>
                </c:pt>
                <c:pt idx="8">
                  <c:v>4.7</c:v>
                </c:pt>
                <c:pt idx="9">
                  <c:v>5.4</c:v>
                </c:pt>
                <c:pt idx="10">
                  <c:v>4.6</c:v>
                </c:pt>
              </c:numCache>
            </c:numRef>
          </c:val>
          <c:smooth val="false"/>
        </c:ser>
        <c:dLbls>
          <c:showLegendKey val="false"/>
          <c:showVal val="false"/>
          <c:showCatName val="false"/>
          <c:showSerName val="false"/>
          <c:showPercent val="false"/>
          <c:showBubbleSize val="false"/>
        </c:dLbls>
        <c:marker val="true"/>
        <c:smooth val="false"/>
        <c:axId val="356988452"/>
        <c:axId val="278787196"/>
      </c:lineChart>
      <c:catAx>
        <c:axId val="657499371"/>
        <c:scaling>
          <c:orientation val="minMax"/>
        </c:scaling>
        <c:delete val="false"/>
        <c:axPos val="b"/>
        <c:title>
          <c:tx>
            <c:rich>
              <a:bodyPr rot="0" spcFirstLastPara="0" vertOverflow="ellipsis" vert="horz" wrap="square" anchor="ctr" anchorCtr="true"/>
              <a:lstStyle/>
              <a:p>
                <a:pPr defTabSz="914400">
                  <a:defRPr lang="zh-CN" sz="11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r>
                  <a:rPr b="1">
                    <a:latin typeface="Times New Roman" charset="0"/>
                    <a:ea typeface="Times New Roman" charset="0"/>
                    <a:cs typeface="Times New Roman" charset="0"/>
                    <a:sym typeface="Times New Roman" charset="0"/>
                  </a:rPr>
                  <a:t>亿元</a:t>
                </a:r>
                <a:endParaRPr sz="1100" b="1" i="0" u="none" strike="noStrike" baseline="0">
                  <a:solidFill>
                    <a:srgbClr val="000000">
                      <a:alpha val="100000"/>
                    </a:srgbClr>
                  </a:solidFill>
                  <a:latin typeface="Times New Roman" charset="0"/>
                  <a:ea typeface="Times New Roman" charset="0"/>
                  <a:cs typeface="Times New Roman" charset="0"/>
                  <a:sym typeface="Times New Roman" charset="0"/>
                </a:endParaRPr>
              </a:p>
            </c:rich>
          </c:tx>
          <c:layout>
            <c:manualLayout>
              <c:xMode val="edge"/>
              <c:yMode val="edge"/>
              <c:x val="0.00260756192959583"/>
              <c:y val="0.145961286089239"/>
            </c:manualLayout>
          </c:layout>
          <c:overlay val="false"/>
          <c:spPr>
            <a:noFill/>
            <a:ln w="3175">
              <a:noFill/>
            </a:ln>
          </c:spPr>
        </c:title>
        <c:majorTickMark val="in"/>
        <c:minorTickMark val="none"/>
        <c:tickLblPos val="nextTo"/>
        <c:spPr>
          <a:ln w="3175" cap="flat" cmpd="sng" algn="ctr">
            <a:solidFill>
              <a:srgbClr val="000000">
                <a:alpha val="100000"/>
              </a:srgbClr>
            </a:solidFill>
            <a:prstDash val="solid"/>
            <a:round/>
          </a:ln>
        </c:spPr>
        <c:txPr>
          <a:bodyPr rot="0" spcFirstLastPara="0" vertOverflow="ellipsis" vert="horz" wrap="square"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93513473"/>
        <c:crosses val="autoZero"/>
        <c:auto val="false"/>
        <c:lblAlgn val="ctr"/>
        <c:lblOffset val="100"/>
        <c:tickLblSkip val="1"/>
        <c:noMultiLvlLbl val="false"/>
      </c:catAx>
      <c:valAx>
        <c:axId val="93513473"/>
        <c:scaling>
          <c:orientation val="minMax"/>
        </c:scaling>
        <c:delete val="false"/>
        <c:axPos val="l"/>
        <c:numFmt formatCode="0_);[Red]\(0\)" sourceLinked="false"/>
        <c:majorTickMark val="in"/>
        <c:minorTickMark val="none"/>
        <c:tickLblPos val="nextTo"/>
        <c:spPr>
          <a:ln w="3175" cap="flat" cmpd="sng" algn="ctr">
            <a:solidFill>
              <a:srgbClr val="000000">
                <a:alpha val="100000"/>
              </a:srgbClr>
            </a:solidFill>
            <a:prstDash val="solid"/>
            <a:round/>
          </a:ln>
        </c:spPr>
        <c:txPr>
          <a:bodyPr rot="0" spcFirstLastPara="0" vertOverflow="ellipsis" vert="horz" wrap="square"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657499371"/>
        <c:crosses val="autoZero"/>
        <c:crossBetween val="between"/>
      </c:valAx>
      <c:catAx>
        <c:axId val="356988452"/>
        <c:scaling>
          <c:orientation val="minMax"/>
        </c:scaling>
        <c:delete val="true"/>
        <c:axPos val="b"/>
        <c:title>
          <c:tx>
            <c:rich>
              <a:bodyPr rot="0" spcFirstLastPara="0" vertOverflow="ellipsis" vert="horz" wrap="square" anchor="ctr" anchorCtr="true"/>
              <a:lstStyle/>
              <a:p>
                <a:pPr defTabSz="914400">
                  <a:defRPr lang="zh-CN" sz="11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r>
                  <a:rPr sz="1100" b="1">
                    <a:latin typeface="Times New Roman" charset="0"/>
                    <a:ea typeface="Times New Roman" charset="0"/>
                    <a:cs typeface="Times New Roman" charset="0"/>
                    <a:sym typeface="Times New Roman" charset="0"/>
                  </a:rPr>
                  <a:t>%</a:t>
                </a:r>
                <a:endParaRPr sz="1100" b="1" i="0" u="none" strike="noStrike" baseline="0">
                  <a:solidFill>
                    <a:srgbClr val="000000">
                      <a:alpha val="100000"/>
                    </a:srgbClr>
                  </a:solidFill>
                  <a:latin typeface="Times New Roman" charset="0"/>
                  <a:ea typeface="Times New Roman" charset="0"/>
                  <a:cs typeface="Times New Roman" charset="0"/>
                  <a:sym typeface="Times New Roman" charset="0"/>
                </a:endParaRPr>
              </a:p>
            </c:rich>
          </c:tx>
          <c:layout>
            <c:manualLayout>
              <c:xMode val="edge"/>
              <c:yMode val="edge"/>
              <c:x val="0.968535419382877"/>
              <c:y val="0.149115445629094"/>
            </c:manualLayout>
          </c:layout>
          <c:overlay val="false"/>
          <c:spPr>
            <a:noFill/>
            <a:ln w="3175">
              <a:noFill/>
            </a:ln>
          </c:spPr>
        </c:title>
        <c:majorTickMark val="out"/>
        <c:minorTickMark val="none"/>
        <c:tickLblPos val="none"/>
        <c:txPr>
          <a:bodyPr rot="-60000000" spcFirstLastPara="0" vertOverflow="ellipsis" vert="horz" wrap="square" anchor="ctr" anchorCtr="true"/>
          <a:lstStyle/>
          <a:p>
            <a:pPr>
              <a:defRPr lang="zh-CN" sz="11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278787196"/>
        <c:crosses val="autoZero"/>
        <c:auto val="false"/>
        <c:lblAlgn val="ctr"/>
        <c:lblOffset val="100"/>
        <c:noMultiLvlLbl val="false"/>
      </c:catAx>
      <c:valAx>
        <c:axId val="278787196"/>
        <c:scaling>
          <c:orientation val="minMax"/>
        </c:scaling>
        <c:delete val="false"/>
        <c:axPos val="r"/>
        <c:numFmt formatCode="0_);[Red]\(0\)" sourceLinked="false"/>
        <c:majorTickMark val="in"/>
        <c:minorTickMark val="none"/>
        <c:tickLblPos val="nextTo"/>
        <c:spPr>
          <a:ln w="3175" cap="flat" cmpd="sng" algn="ctr">
            <a:solidFill>
              <a:srgbClr val="000000">
                <a:alpha val="100000"/>
              </a:srgbClr>
            </a:solidFill>
            <a:prstDash val="solid"/>
            <a:round/>
          </a:ln>
        </c:spPr>
        <c:txPr>
          <a:bodyPr rot="0" spcFirstLastPara="0" vertOverflow="ellipsis" vert="horz" wrap="square"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356988452"/>
        <c:crosses val="max"/>
        <c:crossBetween val="between"/>
      </c:valAx>
      <c:spPr>
        <a:noFill/>
        <a:ln w="3175">
          <a:noFill/>
        </a:ln>
      </c:spPr>
    </c:plotArea>
    <c:legend>
      <c:legendPos val="r"/>
      <c:legendEntry>
        <c:idx val="0"/>
        <c:txPr>
          <a:bodyPr rot="0" spcFirstLastPara="0" vertOverflow="ellipsis" vert="horz" wrap="square" anchor="ctr" anchorCtr="true"/>
          <a:lstStyle/>
          <a:p>
            <a:pPr>
              <a:defRPr lang="zh-CN" sz="845" b="1" i="0" u="none" strike="noStrike" kern="1200" baseline="0">
                <a:solidFill>
                  <a:srgbClr val="000000"/>
                </a:solidFill>
                <a:latin typeface="Times New Roman" charset="0"/>
                <a:ea typeface="Times New Roman" charset="0"/>
                <a:cs typeface="Times New Roman" charset="0"/>
                <a:sym typeface="Times New Roman" charset="0"/>
              </a:defRPr>
            </a:pPr>
          </a:p>
        </c:txPr>
      </c:legendEntry>
      <c:legendEntry>
        <c:idx val="1"/>
        <c:txPr>
          <a:bodyPr rot="0" spcFirstLastPara="0" vertOverflow="ellipsis" vert="horz" wrap="square" anchor="ctr" anchorCtr="true"/>
          <a:lstStyle/>
          <a:p>
            <a:pPr>
              <a:defRPr lang="zh-CN" sz="845" b="1" i="0" u="none" strike="noStrike" kern="1200" baseline="0">
                <a:solidFill>
                  <a:srgbClr val="000000"/>
                </a:solidFill>
                <a:latin typeface="Times New Roman" charset="0"/>
                <a:ea typeface="Times New Roman" charset="0"/>
                <a:cs typeface="Times New Roman" charset="0"/>
                <a:sym typeface="Times New Roman" charset="0"/>
              </a:defRPr>
            </a:pPr>
          </a:p>
        </c:txPr>
      </c:legendEntry>
      <c:layout>
        <c:manualLayout>
          <c:xMode val="edge"/>
          <c:yMode val="edge"/>
          <c:x val="0.290921235888539"/>
          <c:y val="0.906868711723535"/>
          <c:w val="0.42175"/>
          <c:h val="0.05975"/>
        </c:manualLayout>
      </c:layout>
      <c:overlay val="false"/>
      <c:spPr>
        <a:noFill/>
        <a:ln w="3175">
          <a:noFill/>
        </a:ln>
      </c:spPr>
      <c:txPr>
        <a:bodyPr rot="0" spcFirstLastPara="0" vertOverflow="ellipsis" vert="horz" wrap="square" anchor="ctr" anchorCtr="true"/>
        <a:lstStyle/>
        <a:p>
          <a:pPr>
            <a:defRPr lang="zh-CN" sz="845" b="1" i="0" u="none" strike="noStrike" kern="1200" baseline="0">
              <a:solidFill>
                <a:srgbClr val="000000"/>
              </a:solidFill>
              <a:latin typeface="Times New Roman" charset="0"/>
              <a:ea typeface="Times New Roman" charset="0"/>
              <a:cs typeface="Times New Roman" charset="0"/>
              <a:sym typeface="Times New Roman" charset="0"/>
            </a:defRPr>
          </a:pPr>
        </a:p>
      </c:txPr>
    </c:legend>
    <c:plotVisOnly val="true"/>
    <c:dispBlanksAs val="gap"/>
    <c:showDLblsOverMax val="false"/>
  </c:chart>
  <c:spPr>
    <a:solidFill>
      <a:srgbClr val="FFFFFF">
        <a:alpha val="100000"/>
      </a:srgbClr>
    </a:solidFill>
    <a:ln w="3175" cap="flat" cmpd="sng" algn="ctr">
      <a:noFill/>
      <a:prstDash val="solid"/>
      <a:round/>
    </a:ln>
  </c:spPr>
  <c:txPr>
    <a:bodyPr rot="0" wrap="square" anchor="ctr" anchorCtr="true"/>
    <a:lstStyle/>
    <a:p>
      <a:pPr>
        <a:defRPr lang="zh-CN" sz="1100" b="1" i="0" u="none" strike="noStrike" baseline="0">
          <a:solidFill>
            <a:srgbClr val="000000">
              <a:alpha val="100000"/>
            </a:srgbClr>
          </a:solidFill>
          <a:latin typeface="Times New Roman" charset="0"/>
          <a:ea typeface="Times New Roman" charset="0"/>
          <a:cs typeface="Times New Roman" charset="0"/>
          <a:sym typeface="Times New Roman" charset="0"/>
        </a:defRPr>
      </a:pPr>
    </a:p>
  </c:txPr>
  <c:externalData r:id="rId1">
    <c:autoUpdate val="false"/>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true"/>
          <a:lstStyle/>
          <a:p>
            <a:pPr>
              <a:defRPr lang="zh-CN" sz="1400" b="0" i="0" u="none" strike="noStrike" kern="1200" baseline="0">
                <a:solidFill>
                  <a:srgbClr val="000000">
                    <a:alpha val="100000"/>
                  </a:srgbClr>
                </a:solidFill>
                <a:latin typeface="方正小标宋简体" panose="02000000000000000000" charset="-122"/>
                <a:ea typeface="方正小标宋简体" panose="02000000000000000000" charset="-122"/>
                <a:cs typeface="宋体" charset="-122"/>
              </a:defRPr>
            </a:pPr>
            <a:r>
              <a:rPr lang="en-US" altLang="zh-CN"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rPr>
              <a:t>2024</a:t>
            </a:r>
            <a:r>
              <a:rPr lang="zh-CN" altLang="en-US"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rPr>
              <a:t>年三次产业投资占固定资产投资（不含农户）</a:t>
            </a:r>
            <a:r>
              <a:rPr lang="en-US" altLang="zh-CN"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rPr>
              <a:t> </a:t>
            </a:r>
            <a:r>
              <a:rPr lang="zh-CN" altLang="en-US"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rPr>
              <a:t>比重</a:t>
            </a:r>
            <a:endParaRPr lang="zh-CN" altLang="en-US" sz="1400" b="0" i="0" u="none" strike="noStrike" baseline="0">
              <a:solidFill>
                <a:srgbClr val="000000"/>
              </a:solidFill>
              <a:latin typeface="宋体" charset="-122"/>
              <a:ea typeface="宋体" charset="-122"/>
              <a:cs typeface="宋体" charset="-122"/>
            </a:endParaRPr>
          </a:p>
        </c:rich>
      </c:tx>
      <c:layout>
        <c:manualLayout>
          <c:xMode val="edge"/>
          <c:yMode val="edge"/>
          <c:x val="0.0925284607685148"/>
          <c:y val="0.0226508923119679"/>
        </c:manualLayout>
      </c:layout>
      <c:overlay val="false"/>
    </c:title>
    <c:autoTitleDeleted val="false"/>
    <c:plotArea>
      <c:layout>
        <c:manualLayout>
          <c:layoutTarget val="inner"/>
          <c:xMode val="edge"/>
          <c:yMode val="edge"/>
          <c:x val="0.0580080262677855"/>
          <c:y val="0.232517041151224"/>
          <c:w val="0.839231424054481"/>
          <c:h val="0.711688967432467"/>
        </c:manualLayout>
      </c:layout>
      <c:pieChart>
        <c:varyColors val="true"/>
        <c:ser>
          <c:idx val="0"/>
          <c:order val="0"/>
          <c:tx>
            <c:strRef>
              <c:f>[2024年公报图表.xls]投资!$B$37:$C$37</c:f>
              <c:strCache>
                <c:ptCount val="1"/>
                <c:pt idx="0">
                  <c:v>2022年三次产业投资占固定资产投资（不含农户）比重</c:v>
                </c:pt>
              </c:strCache>
            </c:strRef>
          </c:tx>
          <c:explosion val="0"/>
          <c:dPt>
            <c:idx val="0"/>
            <c:bubble3D val="false"/>
            <c:explosion val="7"/>
          </c:dPt>
          <c:dPt>
            <c:idx val="1"/>
            <c:bubble3D val="false"/>
            <c:explosion val="8"/>
          </c:dPt>
          <c:dPt>
            <c:idx val="2"/>
            <c:bubble3D val="false"/>
            <c:explosion val="4"/>
          </c:dPt>
          <c:dLbls>
            <c:dLbl>
              <c:idx val="0"/>
              <c:layout>
                <c:manualLayout>
                  <c:x val="0.0837767931961945"/>
                  <c:y val="-0.0426734476887273"/>
                </c:manualLayout>
              </c:layout>
              <c:tx>
                <c:rich>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宋体" charset="-122"/>
                        <a:ea typeface="宋体" charset="-122"/>
                        <a:cs typeface="宋体" charset="-122"/>
                      </a:defRPr>
                    </a:pPr>
                    <a:r>
                      <a:rPr lang="zh-CN" altLang="en-US" sz="900" b="1" i="0" u="none" strike="noStrike" baseline="0">
                        <a:solidFill>
                          <a:srgbClr val="000000"/>
                        </a:solidFill>
                        <a:latin typeface="宋体" charset="-122"/>
                        <a:ea typeface="宋体" charset="-122"/>
                        <a:cs typeface="宋体" charset="-122"/>
                      </a:rPr>
                      <a:t>第一产业，    </a:t>
                    </a:r>
                    <a:r>
                      <a:rPr lang="en-US" altLang="en-US" sz="900" b="1" i="0" u="none" strike="noStrike" baseline="0">
                        <a:solidFill>
                          <a:srgbClr val="000000"/>
                        </a:solidFill>
                        <a:latin typeface="Calibri" panose="020F0502020204030204" pitchFamily="2" charset="0"/>
                        <a:ea typeface="Calibri" panose="020F0502020204030204" pitchFamily="2" charset="0"/>
                        <a:cs typeface="Calibri" panose="020F0502020204030204" pitchFamily="2" charset="0"/>
                      </a:rPr>
                      <a:t>3.9%</a:t>
                    </a:r>
                    <a:endParaRPr lang="en-US" altLang="en-US" sz="900" b="0" i="0" u="none" strike="noStrike" baseline="0">
                      <a:solidFill>
                        <a:srgbClr val="000000"/>
                      </a:solidFill>
                      <a:latin typeface="宋体" charset="-122"/>
                      <a:ea typeface="宋体" charset="-122"/>
                      <a:cs typeface="宋体" charset="-122"/>
                    </a:endParaRPr>
                  </a:p>
                </c:rich>
              </c:tx>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宋体" charset="-122"/>
                      <a:ea typeface="宋体" charset="-122"/>
                      <a:cs typeface="宋体" charset="-122"/>
                    </a:defRPr>
                  </a:pPr>
                </a:p>
              </c:txPr>
              <c:dLblPos val="bestFit"/>
              <c:showLegendKey val="false"/>
              <c:showVal val="false"/>
              <c:showCatName val="true"/>
              <c:showSerName val="false"/>
              <c:showPercent val="false"/>
              <c:showBubbleSize val="false"/>
              <c:extLst>
                <c:ext xmlns:c15="http://schemas.microsoft.com/office/drawing/2012/chart" uri="{CE6537A1-D6FC-4f65-9D91-7224C49458BB}">
                  <c15:layout/>
                </c:ext>
              </c:extLst>
            </c:dLbl>
            <c:dLbl>
              <c:idx val="1"/>
              <c:layout>
                <c:manualLayout>
                  <c:x val="0.0184142347232063"/>
                  <c:y val="0.0315290758626843"/>
                </c:manualLayout>
              </c:layout>
              <c:tx>
                <c:rich>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宋体" charset="-122"/>
                        <a:ea typeface="宋体" charset="-122"/>
                        <a:cs typeface="宋体" charset="-122"/>
                      </a:defRPr>
                    </a:pPr>
                    <a:r>
                      <a:rPr lang="zh-CN" altLang="en-US" sz="900" b="1" i="0" u="none" strike="noStrike" baseline="0">
                        <a:solidFill>
                          <a:srgbClr val="000000"/>
                        </a:solidFill>
                        <a:latin typeface="宋体" charset="-122"/>
                        <a:ea typeface="宋体" charset="-122"/>
                        <a:cs typeface="宋体" charset="-122"/>
                      </a:rPr>
                      <a:t>第二产业，</a:t>
                    </a:r>
                    <a:r>
                      <a:rPr lang="en-US" altLang="en-US" sz="900" b="1" i="0" u="none" strike="noStrike" baseline="0">
                        <a:solidFill>
                          <a:srgbClr val="000000"/>
                        </a:solidFill>
                        <a:latin typeface="Calibri" panose="020F0502020204030204" pitchFamily="2" charset="0"/>
                        <a:ea typeface="Calibri" panose="020F0502020204030204" pitchFamily="2" charset="0"/>
                        <a:cs typeface="Calibri" panose="020F0502020204030204" pitchFamily="2" charset="0"/>
                      </a:rPr>
                      <a:t>63.0%</a:t>
                    </a:r>
                    <a:endParaRPr lang="en-US" altLang="en-US" sz="900" b="0" i="0" u="none" strike="noStrike" baseline="0">
                      <a:solidFill>
                        <a:srgbClr val="000000"/>
                      </a:solidFill>
                      <a:latin typeface="宋体" charset="-122"/>
                      <a:ea typeface="宋体" charset="-122"/>
                      <a:cs typeface="宋体" charset="-122"/>
                    </a:endParaRPr>
                  </a:p>
                </c:rich>
              </c:tx>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宋体" charset="-122"/>
                      <a:ea typeface="宋体" charset="-122"/>
                      <a:cs typeface="宋体" charset="-122"/>
                    </a:defRPr>
                  </a:pPr>
                </a:p>
              </c:txPr>
              <c:dLblPos val="bestFit"/>
              <c:showLegendKey val="false"/>
              <c:showVal val="false"/>
              <c:showCatName val="true"/>
              <c:showSerName val="false"/>
              <c:showPercent val="false"/>
              <c:showBubbleSize val="false"/>
              <c:extLst>
                <c:ext xmlns:c15="http://schemas.microsoft.com/office/drawing/2012/chart" uri="{CE6537A1-D6FC-4f65-9D91-7224C49458BB}">
                  <c15:layout/>
                </c:ext>
              </c:extLst>
            </c:dLbl>
            <c:dLbl>
              <c:idx val="2"/>
              <c:layout>
                <c:manualLayout>
                  <c:x val="0.0045905255328426"/>
                  <c:y val="-0.0884188768188679"/>
                </c:manualLayout>
              </c:layout>
              <c:tx>
                <c:rich>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宋体" charset="-122"/>
                        <a:ea typeface="宋体" charset="-122"/>
                        <a:cs typeface="宋体" charset="-122"/>
                      </a:defRPr>
                    </a:pPr>
                    <a:r>
                      <a:rPr lang="zh-CN" altLang="en-US" sz="900" b="1" i="0" u="none" strike="noStrike" baseline="0">
                        <a:solidFill>
                          <a:srgbClr val="000000"/>
                        </a:solidFill>
                        <a:latin typeface="宋体" charset="-122"/>
                        <a:ea typeface="宋体" charset="-122"/>
                        <a:cs typeface="宋体" charset="-122"/>
                      </a:rPr>
                      <a:t>第三产业，</a:t>
                    </a:r>
                    <a:r>
                      <a:rPr lang="en-US" altLang="en-US" sz="900" b="1" i="0" u="none" strike="noStrike" baseline="0">
                        <a:solidFill>
                          <a:srgbClr val="000000"/>
                        </a:solidFill>
                        <a:latin typeface="Calibri" panose="020F0502020204030204" pitchFamily="2" charset="0"/>
                        <a:ea typeface="Calibri" panose="020F0502020204030204" pitchFamily="2" charset="0"/>
                        <a:cs typeface="Calibri" panose="020F0502020204030204" pitchFamily="2" charset="0"/>
                      </a:rPr>
                      <a:t>33.1%</a:t>
                    </a:r>
                    <a:endParaRPr lang="en-US" altLang="en-US" sz="900" b="0" i="0" u="none" strike="noStrike" baseline="0">
                      <a:solidFill>
                        <a:srgbClr val="000000"/>
                      </a:solidFill>
                      <a:latin typeface="宋体" charset="-122"/>
                      <a:ea typeface="宋体" charset="-122"/>
                      <a:cs typeface="宋体" charset="-122"/>
                    </a:endParaRPr>
                  </a:p>
                </c:rich>
              </c:tx>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宋体" charset="-122"/>
                      <a:ea typeface="宋体" charset="-122"/>
                      <a:cs typeface="宋体" charset="-122"/>
                    </a:defRPr>
                  </a:pPr>
                </a:p>
              </c:txPr>
              <c:dLblPos val="bestFit"/>
              <c:showLegendKey val="false"/>
              <c:showVal val="false"/>
              <c:showCatName val="true"/>
              <c:showSerName val="false"/>
              <c:showPercent val="false"/>
              <c:showBubbleSize val="false"/>
              <c:extLst>
                <c:ext xmlns:c15="http://schemas.microsoft.com/office/drawing/2012/chart" uri="{CE6537A1-D6FC-4f65-9D91-7224C49458BB}">
                  <c15:layout/>
                </c:ext>
              </c:extLst>
            </c:dLbl>
            <c:numFmt formatCode="General" sourceLinked="true"/>
            <c:spPr>
              <a:noFill/>
              <a:ln>
                <a:noFill/>
              </a:ln>
              <a:effectLst/>
            </c:spPr>
            <c:txPr>
              <a:bodyPr rot="0" spcFirstLastPara="0" vertOverflow="ellipsis" vert="horz" wrap="square" lIns="38100" tIns="19050" rIns="38100" bIns="19050" anchor="ctr" anchorCtr="true"/>
              <a:lstStyle/>
              <a:p>
                <a:pPr>
                  <a:defRPr lang="zh-CN" sz="900" b="0" i="0" u="none" strike="noStrike" kern="1200" baseline="0">
                    <a:solidFill>
                      <a:schemeClr val="tx1"/>
                    </a:solidFill>
                    <a:latin typeface="+mn-lt"/>
                    <a:ea typeface="+mn-ea"/>
                    <a:cs typeface="+mn-cs"/>
                  </a:defRPr>
                </a:pPr>
              </a:p>
            </c:txPr>
            <c:dLblPos val="bestFit"/>
            <c:showLegendKey val="false"/>
            <c:showVal val="true"/>
            <c:showCatName val="false"/>
            <c:showSerName val="false"/>
            <c:showPercent val="false"/>
            <c:showBubbleSize val="false"/>
            <c:showLeaderLines val="true"/>
            <c:extLst>
              <c:ext xmlns:c15="http://schemas.microsoft.com/office/drawing/2012/chart" uri="{CE6537A1-D6FC-4f65-9D91-7224C49458BB}">
                <c15:layout/>
                <c15:showLeaderLines val="true"/>
                <c15:leaderLines>
                  <c:spPr>
                    <a:ln w="9525" cap="flat" cmpd="sng" algn="ctr">
                      <a:solidFill>
                        <a:srgbClr val="C0C0C0">
                          <a:alpha val="100000"/>
                        </a:srgbClr>
                      </a:solidFill>
                      <a:prstDash val="solid"/>
                      <a:round/>
                    </a:ln>
                  </c:spPr>
                </c15:leaderLines>
              </c:ext>
            </c:extLst>
          </c:dLbls>
          <c:cat>
            <c:strRef>
              <c:f>[2024年公报图表.xls]投资!$D$36:$F$36</c:f>
              <c:strCache>
                <c:ptCount val="3"/>
                <c:pt idx="0">
                  <c:v>第一产业</c:v>
                </c:pt>
                <c:pt idx="1">
                  <c:v>第二产业</c:v>
                </c:pt>
                <c:pt idx="2">
                  <c:v>第三产业</c:v>
                </c:pt>
              </c:strCache>
            </c:strRef>
          </c:cat>
          <c:val>
            <c:numRef>
              <c:f>[2024年公报图表.xls]投资!$D$37:$F$37</c:f>
              <c:numCache>
                <c:formatCode>0.0%</c:formatCode>
                <c:ptCount val="3"/>
                <c:pt idx="0">
                  <c:v>0.039</c:v>
                </c:pt>
                <c:pt idx="1">
                  <c:v>0.63</c:v>
                </c:pt>
                <c:pt idx="2">
                  <c:v>0.331</c:v>
                </c:pt>
              </c:numCache>
            </c:numRef>
          </c:val>
        </c:ser>
        <c:dLbls>
          <c:showLegendKey val="false"/>
          <c:showVal val="true"/>
          <c:showCatName val="false"/>
          <c:showSerName val="false"/>
          <c:showPercent val="false"/>
          <c:showBubbleSize val="false"/>
          <c:showLeaderLines val="true"/>
        </c:dLbls>
        <c:firstSliceAng val="0"/>
      </c:pieChart>
      <c:spPr>
        <a:noFill/>
        <a:ln>
          <a:noFill/>
        </a:ln>
        <a:effectLst/>
      </c:spPr>
    </c:plotArea>
    <c:plotVisOnly val="true"/>
    <c:dispBlanksAs val="zero"/>
    <c:showDLblsOverMax val="false"/>
  </c:chart>
  <c:spPr>
    <a:ln w="9525" cap="flat" cmpd="sng" algn="ctr">
      <a:noFill/>
      <a:prstDash val="solid"/>
      <a:round/>
    </a:ln>
  </c:spPr>
  <c:txPr>
    <a:bodyPr wrap="square"/>
    <a:lstStyle/>
    <a:p>
      <a:pPr>
        <a:defRPr lang="zh-CN" sz="1050"/>
      </a:pPr>
    </a:p>
  </c:txPr>
  <c:externalData r:id="rId1">
    <c:autoUpdate val="false"/>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true"/>
          <a:lstStyle/>
          <a:p>
            <a:pPr defTabSz="914400">
              <a:defRPr lang="zh-CN" sz="1400" b="0" i="0" u="none" strike="noStrike" kern="1200" baseline="0">
                <a:solidFill>
                  <a:srgbClr val="000000">
                    <a:alpha val="100000"/>
                  </a:srgbClr>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defRPr>
            </a:pP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201</a:t>
            </a:r>
            <a:r>
              <a:rPr lang="en-US" altLang="zh-CN"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202</a:t>
            </a:r>
            <a:r>
              <a:rPr lang="en-US" altLang="zh-CN"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年全地区固定资产投资（不含农户）增速</a:t>
            </a:r>
            <a:endPar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endParaRPr>
          </a:p>
        </c:rich>
      </c:tx>
      <c:layout/>
      <c:overlay val="false"/>
    </c:title>
    <c:autoTitleDeleted val="false"/>
    <c:plotArea>
      <c:layout>
        <c:manualLayout>
          <c:layoutTarget val="inner"/>
          <c:xMode val="edge"/>
          <c:yMode val="edge"/>
          <c:x val="0.0700618192522814"/>
          <c:y val="0.172581429265921"/>
          <c:w val="0.921401236385046"/>
          <c:h val="0.773942634905202"/>
        </c:manualLayout>
      </c:layout>
      <c:lineChart>
        <c:grouping val="standard"/>
        <c:varyColors val="false"/>
        <c:ser>
          <c:idx val="0"/>
          <c:order val="0"/>
          <c:tx>
            <c:strRef>
              <c:f>[2024年公报图表.xls]投资!$A$34</c:f>
              <c:strCache>
                <c:ptCount val="1"/>
                <c:pt idx="0">
                  <c:v>增速</c:v>
                </c:pt>
              </c:strCache>
            </c:strRef>
          </c:tx>
          <c:spPr>
            <a:ln w="19050" cap="rnd" cmpd="sng" algn="ctr">
              <a:solidFill>
                <a:schemeClr val="accent1">
                  <a:shade val="95000"/>
                  <a:satMod val="105000"/>
                </a:schemeClr>
              </a:solidFill>
              <a:prstDash val="solid"/>
              <a:round/>
            </a:ln>
          </c:spPr>
          <c:marker>
            <c:symbol val="diamond"/>
            <c:size val="5"/>
            <c:spPr>
              <a:ln w="9525" cap="flat" cmpd="sng" algn="ctr">
                <a:solidFill>
                  <a:srgbClr val="0070C0"/>
                </a:solidFill>
                <a:prstDash val="solid"/>
                <a:round/>
              </a:ln>
            </c:spPr>
          </c:marker>
          <c:dLbls>
            <c:dLbl>
              <c:idx val="5"/>
              <c:layout>
                <c:manualLayout>
                  <c:x val="-0.0176973271486623"/>
                  <c:y val="0.0218232787081916"/>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宋体" charset="-122"/>
                      <a:ea typeface="宋体" charset="-122"/>
                      <a:cs typeface="宋体" charset="-122"/>
                    </a:defRPr>
                  </a:pPr>
                </a:p>
              </c:txPr>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宋体" charset="-122"/>
                    <a:ea typeface="宋体" charset="-122"/>
                    <a:cs typeface="宋体" charset="-122"/>
                  </a:defRPr>
                </a:pPr>
              </a:p>
            </c:txPr>
            <c:dLblPos val="t"/>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[2024年公报图表.xls]投资!$F$33:$P$33</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[2024年公报图表.xls]投资!$F$34:$P$34</c:f>
              <c:numCache>
                <c:formatCode>0.0_ </c:formatCode>
                <c:ptCount val="11"/>
                <c:pt idx="0">
                  <c:v>21.5665296469396</c:v>
                </c:pt>
                <c:pt idx="1">
                  <c:v>21.1</c:v>
                </c:pt>
                <c:pt idx="2">
                  <c:v>17.4</c:v>
                </c:pt>
                <c:pt idx="3">
                  <c:v>13.9</c:v>
                </c:pt>
                <c:pt idx="4" c:formatCode="General">
                  <c:v>-24.9</c:v>
                </c:pt>
                <c:pt idx="5" c:formatCode="General">
                  <c:v>10.7</c:v>
                </c:pt>
                <c:pt idx="6" c:formatCode="General">
                  <c:v>37.5</c:v>
                </c:pt>
                <c:pt idx="7" c:formatCode="General">
                  <c:v>18.7</c:v>
                </c:pt>
                <c:pt idx="8" c:formatCode="General">
                  <c:v>9.7</c:v>
                </c:pt>
                <c:pt idx="9" c:formatCode="General">
                  <c:v>1.1</c:v>
                </c:pt>
                <c:pt idx="10" c:formatCode="General">
                  <c:v>2.5</c:v>
                </c:pt>
              </c:numCache>
            </c:numRef>
          </c:val>
          <c:smooth val="false"/>
        </c:ser>
        <c:dLbls>
          <c:showLegendKey val="false"/>
          <c:showVal val="false"/>
          <c:showCatName val="false"/>
          <c:showSerName val="false"/>
          <c:showPercent val="false"/>
          <c:showBubbleSize val="false"/>
        </c:dLbls>
        <c:marker val="true"/>
        <c:smooth val="false"/>
        <c:axId val="308583874"/>
        <c:axId val="313411741"/>
      </c:lineChart>
      <c:catAx>
        <c:axId val="308583874"/>
        <c:scaling>
          <c:orientation val="minMax"/>
        </c:scaling>
        <c:delete val="false"/>
        <c:axPos val="b"/>
        <c:majorTickMark val="out"/>
        <c:minorTickMark val="none"/>
        <c:tickLblPos val="low"/>
        <c:txPr>
          <a:bodyPr rot="0" spcFirstLastPara="0" vertOverflow="ellipsis" vert="horz" wrap="square" anchor="ctr" anchorCtr="true"/>
          <a:lstStyle/>
          <a:p>
            <a:pPr>
              <a:defRPr lang="zh-CN" sz="1000" b="1" i="0" u="none" strike="noStrike" kern="1200" baseline="0">
                <a:solidFill>
                  <a:srgbClr val="000000">
                    <a:alpha val="100000"/>
                  </a:srgbClr>
                </a:solidFill>
                <a:latin typeface="宋体" charset="-122"/>
                <a:ea typeface="宋体" charset="-122"/>
                <a:cs typeface="宋体" charset="-122"/>
              </a:defRPr>
            </a:pPr>
          </a:p>
        </c:txPr>
        <c:crossAx val="313411741"/>
        <c:crosses val="autoZero"/>
        <c:auto val="true"/>
        <c:lblAlgn val="ctr"/>
        <c:lblOffset val="100"/>
        <c:noMultiLvlLbl val="false"/>
      </c:catAx>
      <c:valAx>
        <c:axId val="313411741"/>
        <c:scaling>
          <c:orientation val="minMax"/>
        </c:scaling>
        <c:delete val="false"/>
        <c:axPos val="l"/>
        <c:numFmt formatCode="0_ " sourceLinked="false"/>
        <c:majorTickMark val="out"/>
        <c:minorTickMark val="none"/>
        <c:tickLblPos val="nextTo"/>
        <c:txPr>
          <a:bodyPr rot="0" spcFirstLastPara="0" vertOverflow="ellipsis" vert="horz" wrap="square" anchor="ctr" anchorCtr="true"/>
          <a:lstStyle/>
          <a:p>
            <a:pPr>
              <a:defRPr lang="zh-CN" sz="1000" b="1" i="0" u="none" strike="noStrike" kern="1200" baseline="0">
                <a:solidFill>
                  <a:srgbClr val="000000">
                    <a:alpha val="100000"/>
                  </a:srgbClr>
                </a:solidFill>
                <a:latin typeface="宋体" charset="-122"/>
                <a:ea typeface="宋体" charset="-122"/>
                <a:cs typeface="宋体" charset="-122"/>
              </a:defRPr>
            </a:pPr>
          </a:p>
        </c:txPr>
        <c:crossAx val="308583874"/>
        <c:crosses val="autoZero"/>
        <c:crossBetween val="between"/>
      </c:valAx>
    </c:plotArea>
    <c:legend>
      <c:legendPos val="r"/>
      <c:legendEntry>
        <c:idx val="0"/>
        <c:txPr>
          <a:bodyPr rot="0" spcFirstLastPara="0" vertOverflow="ellipsis" vert="horz" wrap="square" anchor="ctr" anchorCtr="true"/>
          <a:lstStyle/>
          <a:p>
            <a:pPr>
              <a:defRPr lang="zh-CN" sz="1000" b="1" i="0" u="none" strike="noStrike" kern="1200" baseline="0">
                <a:solidFill>
                  <a:srgbClr val="000000">
                    <a:alpha val="100000"/>
                  </a:srgbClr>
                </a:solidFill>
                <a:latin typeface="宋体" charset="-122"/>
                <a:ea typeface="宋体" charset="-122"/>
                <a:cs typeface="宋体" charset="-122"/>
              </a:defRPr>
            </a:pPr>
          </a:p>
        </c:txPr>
      </c:legendEntry>
      <c:layout>
        <c:manualLayout>
          <c:xMode val="edge"/>
          <c:yMode val="edge"/>
          <c:x val="0.492302482808206"/>
          <c:y val="0.812393590351561"/>
          <c:w val="0.1075"/>
          <c:h val="0.0755"/>
        </c:manualLayout>
      </c:layout>
      <c:overlay val="false"/>
      <c:txPr>
        <a:bodyPr rot="0" spcFirstLastPara="0" vertOverflow="ellipsis" vert="horz" wrap="square" anchor="ctr" anchorCtr="true"/>
        <a:lstStyle/>
        <a:p>
          <a:pPr>
            <a:defRPr lang="zh-CN" sz="650" b="1" i="0" u="none" strike="noStrike" kern="1200" baseline="0">
              <a:solidFill>
                <a:srgbClr val="000000"/>
              </a:solidFill>
              <a:latin typeface="宋体" charset="-122"/>
              <a:ea typeface="宋体" charset="-122"/>
              <a:cs typeface="宋体" charset="-122"/>
            </a:defRPr>
          </a:pPr>
        </a:p>
      </c:txPr>
    </c:legend>
    <c:plotVisOnly val="true"/>
    <c:dispBlanksAs val="gap"/>
    <c:showDLblsOverMax val="false"/>
  </c:chart>
  <c:spPr>
    <a:ln w="0" cap="rnd" cmpd="sng" algn="ctr">
      <a:noFill/>
      <a:prstDash val="solid"/>
      <a:round/>
    </a:ln>
  </c:spPr>
  <c:txPr>
    <a:bodyPr rot="0" wrap="square" anchor="ctr" anchorCtr="true"/>
    <a:lstStyle/>
    <a:p>
      <a:pPr>
        <a:defRPr lang="zh-CN" sz="1000" b="1" i="0" u="none" strike="noStrike" baseline="0">
          <a:solidFill>
            <a:srgbClr val="000000">
              <a:alpha val="100000"/>
            </a:srgbClr>
          </a:solidFill>
          <a:latin typeface="宋体" charset="-122"/>
          <a:ea typeface="宋体" charset="-122"/>
          <a:cs typeface="宋体" charset="-122"/>
        </a:defRPr>
      </a:pPr>
    </a:p>
  </c:txPr>
  <c:externalData r:id="rId1">
    <c:autoUpdate val="false"/>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true"/>
          <a:lstStyle/>
          <a:p>
            <a:pPr defTabSz="914400">
              <a:defRPr lang="zh-CN" sz="1400" b="0" i="0" u="none" strike="noStrike" kern="1200" baseline="0">
                <a:solidFill>
                  <a:srgbClr val="000000">
                    <a:alpha val="100000"/>
                  </a:srgbClr>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defRPr>
            </a:pP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201</a:t>
            </a:r>
            <a:r>
              <a:rPr lang="en-US" altLang="zh-CN"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—202</a:t>
            </a:r>
            <a:r>
              <a:rPr lang="en-US" altLang="zh-CN"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年社会消费品零售总额及增速</a:t>
            </a:r>
            <a:endParaRPr sz="1400" b="0" i="0" u="none" strike="noStrike" baseline="0">
              <a:solidFill>
                <a:srgbClr val="000000"/>
              </a:solidFill>
              <a:latin typeface="宋体" charset="-122"/>
              <a:ea typeface="宋体" charset="-122"/>
              <a:cs typeface="宋体" charset="-122"/>
              <a:sym typeface="方正小标宋简体" panose="02000000000000000000" charset="-122"/>
            </a:endParaRPr>
          </a:p>
        </c:rich>
      </c:tx>
      <c:layout>
        <c:manualLayout>
          <c:xMode val="edge"/>
          <c:yMode val="edge"/>
          <c:x val="0.20482886542146"/>
          <c:y val="0.0399298870604658"/>
        </c:manualLayout>
      </c:layout>
      <c:overlay val="false"/>
      <c:spPr>
        <a:noFill/>
        <a:ln w="25400">
          <a:noFill/>
        </a:ln>
      </c:spPr>
    </c:title>
    <c:autoTitleDeleted val="false"/>
    <c:plotArea>
      <c:layout>
        <c:manualLayout>
          <c:layoutTarget val="inner"/>
          <c:xMode val="edge"/>
          <c:yMode val="edge"/>
          <c:x val="0.0561166686754249"/>
          <c:y val="0.243379295250602"/>
          <c:w val="0.891382427383391"/>
          <c:h val="0.641715911578026"/>
        </c:manualLayout>
      </c:layout>
      <c:barChart>
        <c:barDir val="col"/>
        <c:grouping val="clustered"/>
        <c:varyColors val="false"/>
        <c:ser>
          <c:idx val="1"/>
          <c:order val="0"/>
          <c:tx>
            <c:strRef>
              <c:f>[2024年公报图表.xls]社零总额!$B$2</c:f>
              <c:strCache>
                <c:ptCount val="1"/>
                <c:pt idx="0">
                  <c:v>零售总额</c:v>
                </c:pt>
              </c:strCache>
            </c:strRef>
          </c:tx>
          <c:spPr>
            <a:gradFill>
              <a:gsLst>
                <a:gs pos="87000">
                  <a:srgbClr val="14CD68"/>
                </a:gs>
                <a:gs pos="100000">
                  <a:srgbClr val="0B6E38"/>
                </a:gs>
              </a:gsLst>
              <a:lin ang="6000000" scaled="false"/>
            </a:gradFill>
          </c:spPr>
          <c:invertIfNegative val="false"/>
          <c:dLbls>
            <c:dLbl>
              <c:idx val="0"/>
              <c:layout/>
              <c:numFmt formatCode="General" sourceLinked="true"/>
              <c:spPr>
                <a:noFill/>
                <a:ln w="25400">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1"/>
              <c:layout/>
              <c:numFmt formatCode="General" sourceLinked="true"/>
              <c:spPr>
                <a:noFill/>
                <a:ln w="25400">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8"/>
              <c:layout/>
              <c:numFmt formatCode="General" sourceLinked="true"/>
              <c:spPr>
                <a:noFill/>
                <a:ln w="25400">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9"/>
              <c:layout/>
              <c:numFmt formatCode="General" sourceLinked="true"/>
              <c:spPr>
                <a:noFill/>
                <a:ln w="25400">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10"/>
              <c:layout/>
              <c:numFmt formatCode="General" sourceLinked="true"/>
              <c:spPr>
                <a:noFill/>
                <a:ln w="25400">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numFmt formatCode="General" sourceLinked="true"/>
            <c:spPr>
              <a:noFill/>
              <a:ln w="25400">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[2024年公报图表.xls]社零总额!$G$1:$Q$1</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[2024年公报图表.xls]社零总额!$G$2:$Q$2</c:f>
              <c:numCache>
                <c:formatCode>0.00_ </c:formatCode>
                <c:ptCount val="11"/>
                <c:pt idx="0">
                  <c:v>40.52</c:v>
                </c:pt>
                <c:pt idx="1">
                  <c:v>43.97</c:v>
                </c:pt>
                <c:pt idx="2">
                  <c:v>51.15</c:v>
                </c:pt>
                <c:pt idx="3">
                  <c:v>55.03</c:v>
                </c:pt>
                <c:pt idx="4">
                  <c:v>58.5</c:v>
                </c:pt>
                <c:pt idx="5">
                  <c:v>63.7</c:v>
                </c:pt>
                <c:pt idx="6">
                  <c:v>65.2</c:v>
                </c:pt>
                <c:pt idx="7" c:formatCode="General">
                  <c:v>77.59</c:v>
                </c:pt>
                <c:pt idx="8" c:formatCode="General">
                  <c:v>71.11</c:v>
                </c:pt>
                <c:pt idx="9" c:formatCode="General">
                  <c:v>85.04</c:v>
                </c:pt>
                <c:pt idx="10" c:formatCode="General">
                  <c:v>92.11</c:v>
                </c:pt>
              </c:numCache>
            </c:numRef>
          </c:val>
        </c:ser>
        <c:dLbls>
          <c:showLegendKey val="false"/>
          <c:showVal val="false"/>
          <c:showCatName val="false"/>
          <c:showSerName val="false"/>
          <c:showPercent val="false"/>
          <c:showBubbleSize val="false"/>
        </c:dLbls>
        <c:gapWidth val="100"/>
        <c:overlap val="0"/>
        <c:axId val="983546833"/>
        <c:axId val="106759789"/>
      </c:barChart>
      <c:lineChart>
        <c:grouping val="standard"/>
        <c:varyColors val="false"/>
        <c:ser>
          <c:idx val="0"/>
          <c:order val="1"/>
          <c:tx>
            <c:strRef>
              <c:f>[2024年公报图表.xls]社零总额!$B$3</c:f>
              <c:strCache>
                <c:ptCount val="1"/>
                <c:pt idx="0">
                  <c:v>增速</c:v>
                </c:pt>
              </c:strCache>
            </c:strRef>
          </c:tx>
          <c:spPr>
            <a:ln w="12700" cap="rnd" cmpd="sng" algn="ctr">
              <a:solidFill>
                <a:srgbClr val="6F4FF9"/>
              </a:solidFill>
              <a:prstDash val="solid"/>
              <a:round/>
            </a:ln>
          </c:spPr>
          <c:marker>
            <c:symbol val="diamond"/>
            <c:size val="5"/>
            <c:spPr>
              <a:solidFill>
                <a:srgbClr val="6F4FF9"/>
              </a:solidFill>
              <a:ln w="9525" cap="flat" cmpd="sng" algn="ctr">
                <a:solidFill>
                  <a:srgbClr val="6F4FF9"/>
                </a:solidFill>
                <a:prstDash val="solid"/>
                <a:round/>
              </a:ln>
            </c:spPr>
          </c:marker>
          <c:dLbls>
            <c:dLbl>
              <c:idx val="0"/>
              <c:layout/>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1"/>
              <c:layout/>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2"/>
              <c:layout/>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4"/>
              <c:layout/>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5"/>
              <c:layout/>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6"/>
              <c:layout/>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7"/>
              <c:layout>
                <c:manualLayout>
                  <c:x val="0"/>
                  <c:y val="0.00852591429212475"/>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15:layout/>
                </c:ext>
              </c:extLst>
            </c:dLbl>
            <c:dLbl>
              <c:idx val="8"/>
              <c:layout>
                <c:manualLayout>
                  <c:x val="-0.00398272491116018"/>
                  <c:y val="0.0659421855812044"/>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15:layout/>
                </c:ext>
              </c:extLst>
            </c:dLbl>
            <c:dLbl>
              <c:idx val="9"/>
              <c:layout>
                <c:manualLayout>
                  <c:x val="0"/>
                  <c:y val="0.019519856405654"/>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15:layout/>
                </c:ext>
              </c:extLst>
            </c:dLbl>
            <c:dLbl>
              <c:idx val="10"/>
              <c:layout/>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[2024年公报图表.xls]社零总额!$G$1:$Q$1</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[2024年公报图表.xls]社零总额!$G$3:$Q$3</c:f>
              <c:numCache>
                <c:formatCode>0.0_ </c:formatCode>
                <c:ptCount val="11"/>
                <c:pt idx="0">
                  <c:v>13.8</c:v>
                </c:pt>
                <c:pt idx="1">
                  <c:v>8.5</c:v>
                </c:pt>
                <c:pt idx="2">
                  <c:v>16.3</c:v>
                </c:pt>
                <c:pt idx="3">
                  <c:v>7.6</c:v>
                </c:pt>
                <c:pt idx="4" c:formatCode="General">
                  <c:v>6.3</c:v>
                </c:pt>
                <c:pt idx="5" c:formatCode="General">
                  <c:v>8.9</c:v>
                </c:pt>
                <c:pt idx="6" c:formatCode="General">
                  <c:v>2.4</c:v>
                </c:pt>
                <c:pt idx="7">
                  <c:v>19</c:v>
                </c:pt>
                <c:pt idx="8" c:formatCode="General">
                  <c:v>-8.3</c:v>
                </c:pt>
                <c:pt idx="9" c:formatCode="General">
                  <c:v>19.6</c:v>
                </c:pt>
                <c:pt idx="10" c:formatCode="General">
                  <c:v>8.3</c:v>
                </c:pt>
              </c:numCache>
            </c:numRef>
          </c:val>
          <c:smooth val="false"/>
        </c:ser>
        <c:dLbls>
          <c:showLegendKey val="false"/>
          <c:showVal val="false"/>
          <c:showCatName val="false"/>
          <c:showSerName val="false"/>
          <c:showPercent val="false"/>
          <c:showBubbleSize val="false"/>
        </c:dLbls>
        <c:marker val="true"/>
        <c:smooth val="false"/>
        <c:axId val="699713198"/>
        <c:axId val="148341130"/>
      </c:lineChart>
      <c:catAx>
        <c:axId val="983546833"/>
        <c:scaling>
          <c:orientation val="minMax"/>
        </c:scaling>
        <c:delete val="false"/>
        <c:axPos val="b"/>
        <c:title>
          <c:tx>
            <c:rich>
              <a:bodyPr rot="0" spcFirstLastPara="0" vertOverflow="ellipsis" vert="horz" wrap="square" anchor="ctr" anchorCtr="true"/>
              <a:lstStyle/>
              <a:p>
                <a:pPr defTabSz="914400">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r>
                  <a:rPr sz="800" b="1">
                    <a:latin typeface="Times New Roman" charset="0"/>
                    <a:ea typeface="Times New Roman" charset="0"/>
                    <a:cs typeface="Times New Roman" charset="0"/>
                    <a:sym typeface="Times New Roman" charset="0"/>
                  </a:rPr>
                  <a:t>亿元</a:t>
                </a:r>
                <a:endParaRPr sz="800" b="1" i="0" u="none" strike="noStrike" baseline="0">
                  <a:solidFill>
                    <a:srgbClr val="000000">
                      <a:alpha val="100000"/>
                    </a:srgbClr>
                  </a:solidFill>
                  <a:latin typeface="Times New Roman" charset="0"/>
                  <a:ea typeface="Times New Roman" charset="0"/>
                  <a:cs typeface="Times New Roman" charset="0"/>
                  <a:sym typeface="Times New Roman" charset="0"/>
                </a:endParaRPr>
              </a:p>
            </c:rich>
          </c:tx>
          <c:layout>
            <c:manualLayout>
              <c:xMode val="edge"/>
              <c:yMode val="edge"/>
              <c:x val="0.00361576473424129"/>
              <c:y val="0.140881488367913"/>
            </c:manualLayout>
          </c:layout>
          <c:overlay val="false"/>
          <c:spPr>
            <a:noFill/>
            <a:ln w="25400">
              <a:noFill/>
            </a:ln>
          </c:spPr>
        </c:title>
        <c:majorTickMark val="in"/>
        <c:minorTickMark val="none"/>
        <c:tickLblPos val="low"/>
        <c:spPr>
          <a:ln w="3175" cap="flat" cmpd="sng" algn="ctr">
            <a:solidFill>
              <a:srgbClr val="000000"/>
            </a:solidFill>
            <a:prstDash val="solid"/>
            <a:round/>
          </a:ln>
        </c:spPr>
        <c:txPr>
          <a:bodyPr rot="0" spcFirstLastPara="0" vertOverflow="ellipsis" vert="horz" wrap="square"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106759789"/>
        <c:crosses val="autoZero"/>
        <c:auto val="false"/>
        <c:lblAlgn val="ctr"/>
        <c:lblOffset val="100"/>
        <c:tickLblSkip val="1"/>
        <c:noMultiLvlLbl val="false"/>
      </c:catAx>
      <c:valAx>
        <c:axId val="106759789"/>
        <c:scaling>
          <c:orientation val="minMax"/>
          <c:min val="-20"/>
        </c:scaling>
        <c:delete val="false"/>
        <c:axPos val="l"/>
        <c:numFmt formatCode="0_ " sourceLinked="false"/>
        <c:majorTickMark val="in"/>
        <c:minorTickMark val="none"/>
        <c:tickLblPos val="nextTo"/>
        <c:spPr>
          <a:ln w="3175" cap="flat" cmpd="sng" algn="ctr">
            <a:solidFill>
              <a:srgbClr val="000000"/>
            </a:solidFill>
            <a:prstDash val="solid"/>
            <a:round/>
          </a:ln>
        </c:spPr>
        <c:txPr>
          <a:bodyPr rot="0" spcFirstLastPara="0" vertOverflow="ellipsis" vert="horz" wrap="square"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983546833"/>
        <c:crosses val="autoZero"/>
        <c:crossBetween val="between"/>
      </c:valAx>
      <c:catAx>
        <c:axId val="699713198"/>
        <c:scaling>
          <c:orientation val="minMax"/>
        </c:scaling>
        <c:delete val="true"/>
        <c:axPos val="b"/>
        <c:title>
          <c:tx>
            <c:rich>
              <a:bodyPr rot="0" spcFirstLastPara="0" vertOverflow="ellipsis" vert="horz" wrap="square" anchor="ctr" anchorCtr="true"/>
              <a:lstStyle/>
              <a:p>
                <a:pPr defTabSz="914400">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r>
                  <a:rPr sz="900" b="1">
                    <a:latin typeface="Times New Roman" charset="0"/>
                    <a:ea typeface="Times New Roman" charset="0"/>
                    <a:cs typeface="Times New Roman" charset="0"/>
                    <a:sym typeface="Times New Roman" charset="0"/>
                  </a:rPr>
                  <a:t>%</a:t>
                </a:r>
                <a:endParaRPr sz="900" b="1" i="0" u="none" strike="noStrike" baseline="0">
                  <a:solidFill>
                    <a:srgbClr val="000000">
                      <a:alpha val="100000"/>
                    </a:srgbClr>
                  </a:solidFill>
                  <a:latin typeface="Times New Roman" charset="0"/>
                  <a:ea typeface="Times New Roman" charset="0"/>
                  <a:cs typeface="Times New Roman" charset="0"/>
                  <a:sym typeface="Times New Roman" charset="0"/>
                </a:endParaRPr>
              </a:p>
            </c:rich>
          </c:tx>
          <c:layout>
            <c:manualLayout>
              <c:xMode val="edge"/>
              <c:yMode val="edge"/>
              <c:x val="0.953629327920199"/>
              <c:y val="0.150441142993875"/>
            </c:manualLayout>
          </c:layout>
          <c:overlay val="false"/>
          <c:spPr>
            <a:noFill/>
            <a:ln w="25400">
              <a:noFill/>
            </a:ln>
          </c:spPr>
        </c:title>
        <c:majorTickMark val="out"/>
        <c:minorTickMark val="none"/>
        <c:tickLblPos val="none"/>
        <c:txPr>
          <a:bodyPr rot="-60000000" spcFirstLastPara="0" vertOverflow="ellipsis" vert="horz" wrap="square"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148341130"/>
        <c:crosses val="autoZero"/>
        <c:auto val="false"/>
        <c:lblAlgn val="ctr"/>
        <c:lblOffset val="100"/>
        <c:noMultiLvlLbl val="false"/>
      </c:catAx>
      <c:valAx>
        <c:axId val="148341130"/>
        <c:scaling>
          <c:orientation val="minMax"/>
          <c:max val="50"/>
          <c:min val="-10"/>
        </c:scaling>
        <c:delete val="false"/>
        <c:axPos val="r"/>
        <c:numFmt formatCode="0_ " sourceLinked="false"/>
        <c:majorTickMark val="in"/>
        <c:minorTickMark val="none"/>
        <c:tickLblPos val="nextTo"/>
        <c:spPr>
          <a:ln w="3175" cap="flat" cmpd="sng" algn="ctr">
            <a:solidFill>
              <a:srgbClr val="000000"/>
            </a:solidFill>
            <a:prstDash val="solid"/>
            <a:round/>
          </a:ln>
        </c:spPr>
        <c:txPr>
          <a:bodyPr rot="0" spcFirstLastPara="0" vertOverflow="ellipsis" vert="horz" wrap="square"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699713198"/>
        <c:crosses val="max"/>
        <c:crossBetween val="between"/>
      </c:valAx>
    </c:plotArea>
    <c:legend>
      <c:legendPos val="r"/>
      <c:legendEntry>
        <c:idx val="0"/>
        <c:txPr>
          <a:bodyPr rot="0" spcFirstLastPara="0" vertOverflow="ellipsis" vert="horz" wrap="square" anchor="ctr" anchorCtr="true"/>
          <a:lstStyle/>
          <a:p>
            <a:pPr>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legendEntry>
      <c:legendEntry>
        <c:idx val="1"/>
        <c:txPr>
          <a:bodyPr rot="0" spcFirstLastPara="0" vertOverflow="ellipsis" vert="horz" wrap="square" anchor="ctr" anchorCtr="true"/>
          <a:lstStyle/>
          <a:p>
            <a:pPr>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legendEntry>
      <c:layout>
        <c:manualLayout>
          <c:xMode val="edge"/>
          <c:yMode val="edge"/>
          <c:x val="0.249969868627215"/>
          <c:y val="0.94006003277465"/>
          <c:w val="0.415812944437749"/>
          <c:h val="0.0537861210715039"/>
        </c:manualLayout>
      </c:layout>
      <c:overlay val="false"/>
      <c:spPr>
        <a:noFill/>
        <a:ln w="25400">
          <a:noFill/>
        </a:ln>
      </c:spPr>
      <c:txPr>
        <a:bodyPr rot="0" spcFirstLastPara="0" vertOverflow="ellipsis" vert="horz" wrap="square" anchor="ctr" anchorCtr="true"/>
        <a:lstStyle/>
        <a:p>
          <a:pPr>
            <a:defRPr lang="zh-CN" sz="800" b="1" i="0" u="none" strike="noStrike" kern="1200" baseline="0">
              <a:solidFill>
                <a:srgbClr val="000000"/>
              </a:solidFill>
              <a:latin typeface="Times New Roman" charset="0"/>
              <a:ea typeface="Times New Roman" charset="0"/>
              <a:cs typeface="Times New Roman" charset="0"/>
              <a:sym typeface="Times New Roman" charset="0"/>
            </a:defRPr>
          </a:pPr>
        </a:p>
      </c:txPr>
    </c:legend>
    <c:plotVisOnly val="true"/>
    <c:dispBlanksAs val="gap"/>
    <c:showDLblsOverMax val="false"/>
  </c:chart>
  <c:spPr>
    <a:solidFill>
      <a:srgbClr val="FFFFFF"/>
    </a:solidFill>
    <a:ln w="9525" cap="flat" cmpd="sng" algn="ctr">
      <a:noFill/>
      <a:prstDash val="solid"/>
      <a:round/>
    </a:ln>
  </c:spPr>
  <c:txPr>
    <a:bodyPr rot="0" wrap="square" anchor="ctr" anchorCtr="true"/>
    <a:lstStyle/>
    <a:p>
      <a:pPr>
        <a:defRPr lang="zh-CN" sz="900" b="1" i="0" u="none" strike="noStrike" baseline="0">
          <a:solidFill>
            <a:srgbClr val="000000">
              <a:alpha val="100000"/>
            </a:srgbClr>
          </a:solidFill>
          <a:latin typeface="Times New Roman" charset="0"/>
          <a:ea typeface="Times New Roman" charset="0"/>
          <a:cs typeface="Times New Roman" charset="0"/>
          <a:sym typeface="Times New Roman" charset="0"/>
        </a:defRPr>
      </a:pPr>
    </a:p>
  </c:txPr>
  <c:externalData r:id="rId1">
    <c:autoUpdate val="false"/>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true"/>
          <a:lstStyle/>
          <a:p>
            <a:pPr defTabSz="914400">
              <a:defRPr lang="zh-CN" sz="1400" b="0" i="0" u="none" strike="noStrike" kern="1200" baseline="0">
                <a:solidFill>
                  <a:srgbClr val="000000">
                    <a:alpha val="100000"/>
                  </a:srgbClr>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defRPr>
            </a:pP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201</a:t>
            </a:r>
            <a:r>
              <a:rPr lang="en-US" altLang="zh-CN"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—202</a:t>
            </a:r>
            <a:r>
              <a:rPr lang="en-US" altLang="zh-CN"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年一般公共财政预算支出及增速</a:t>
            </a:r>
            <a:endParaRPr sz="1400" b="0" i="0" u="none" strike="noStrike" baseline="0">
              <a:solidFill>
                <a:srgbClr val="000000"/>
              </a:solidFill>
              <a:latin typeface="宋体" charset="-122"/>
              <a:ea typeface="宋体" charset="-122"/>
              <a:cs typeface="宋体" charset="-122"/>
              <a:sym typeface="方正小标宋简体" panose="02000000000000000000" charset="-122"/>
            </a:endParaRPr>
          </a:p>
        </c:rich>
      </c:tx>
      <c:layout>
        <c:manualLayout>
          <c:xMode val="edge"/>
          <c:yMode val="edge"/>
          <c:x val="0.170531655862085"/>
          <c:y val="0.0265682228814883"/>
        </c:manualLayout>
      </c:layout>
      <c:overlay val="false"/>
    </c:title>
    <c:autoTitleDeleted val="false"/>
    <c:plotArea>
      <c:layout>
        <c:manualLayout>
          <c:layoutTarget val="inner"/>
          <c:xMode val="edge"/>
          <c:yMode val="edge"/>
          <c:x val="0.0452178226006448"/>
          <c:y val="0.209631728045326"/>
          <c:w val="0.913201620236422"/>
          <c:h val="0.641359773371105"/>
        </c:manualLayout>
      </c:layout>
      <c:barChart>
        <c:barDir val="col"/>
        <c:grouping val="clustered"/>
        <c:varyColors val="false"/>
        <c:ser>
          <c:idx val="0"/>
          <c:order val="0"/>
          <c:tx>
            <c:strRef>
              <c:f>[2024年公报图表.xls]财政支出!$A$2</c:f>
              <c:strCache>
                <c:ptCount val="1"/>
                <c:pt idx="0">
                  <c:v>支出</c:v>
                </c:pt>
              </c:strCache>
            </c:strRef>
          </c:tx>
          <c:spPr>
            <a:gradFill>
              <a:gsLst>
                <a:gs pos="0">
                  <a:srgbClr val="9EE256"/>
                </a:gs>
                <a:gs pos="100000">
                  <a:srgbClr val="52762D"/>
                </a:gs>
              </a:gsLst>
              <a:lin ang="6000000" scaled="false"/>
            </a:gradFill>
          </c:spPr>
          <c:invertIfNegative val="true"/>
          <c:dPt>
            <c:idx val="8"/>
            <c:invertIfNegative val="true"/>
            <c:bubble3D val="false"/>
            <c:explosion val="0"/>
            <c:spPr>
              <a:gradFill>
                <a:gsLst>
                  <a:gs pos="0">
                    <a:srgbClr val="9EE256"/>
                  </a:gs>
                  <a:gs pos="100000">
                    <a:srgbClr val="52762D"/>
                  </a:gs>
                </a:gsLst>
                <a:lin ang="6000000" scaled="false"/>
              </a:gradFill>
            </c:spPr>
          </c:dPt>
          <c:dLbls>
            <c:dLbl>
              <c:idx val="0"/>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2"/>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3"/>
              <c:layout>
                <c:manualLayout>
                  <c:x val="-0.00123915737298637"/>
                  <c:y val="-0.0453257790368272"/>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15:layout/>
                </c:ext>
              </c:extLst>
            </c:dLbl>
            <c:dLbl>
              <c:idx val="4"/>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5"/>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8"/>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9"/>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10"/>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[2024年公报图表.xls]财政支出!$F$1:$P$1</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[2024年公报图表.xls]财政支出!$F$2:$P$2</c:f>
              <c:numCache>
                <c:formatCode>0.00_ </c:formatCode>
                <c:ptCount val="11"/>
                <c:pt idx="0">
                  <c:v>188.18</c:v>
                </c:pt>
                <c:pt idx="1">
                  <c:v>233.15</c:v>
                </c:pt>
                <c:pt idx="2">
                  <c:v>253.6</c:v>
                </c:pt>
                <c:pt idx="3">
                  <c:v>363.93</c:v>
                </c:pt>
                <c:pt idx="4">
                  <c:v>435.17</c:v>
                </c:pt>
                <c:pt idx="5">
                  <c:v>487.73</c:v>
                </c:pt>
                <c:pt idx="6" c:formatCode="General">
                  <c:v>543.15</c:v>
                </c:pt>
                <c:pt idx="7" c:formatCode="General">
                  <c:v>500.69</c:v>
                </c:pt>
                <c:pt idx="8">
                  <c:v>479.4</c:v>
                </c:pt>
                <c:pt idx="9">
                  <c:v>460.49</c:v>
                </c:pt>
                <c:pt idx="10">
                  <c:v>460.62</c:v>
                </c:pt>
              </c:numCache>
            </c:numRef>
          </c:val>
        </c:ser>
        <c:dLbls>
          <c:showLegendKey val="false"/>
          <c:showVal val="false"/>
          <c:showCatName val="false"/>
          <c:showSerName val="false"/>
          <c:showPercent val="false"/>
          <c:showBubbleSize val="false"/>
        </c:dLbls>
        <c:gapWidth val="100"/>
        <c:overlap val="0"/>
        <c:axId val="230659093"/>
        <c:axId val="254228504"/>
      </c:barChart>
      <c:lineChart>
        <c:grouping val="standard"/>
        <c:varyColors val="false"/>
        <c:ser>
          <c:idx val="1"/>
          <c:order val="1"/>
          <c:tx>
            <c:strRef>
              <c:f>[2024年公报图表.xls]财政支出!$A$3</c:f>
              <c:strCache>
                <c:ptCount val="1"/>
                <c:pt idx="0">
                  <c:v>增速</c:v>
                </c:pt>
              </c:strCache>
            </c:strRef>
          </c:tx>
          <c:spPr>
            <a:ln w="12700" cap="rnd" cmpd="sng" algn="ctr">
              <a:solidFill>
                <a:srgbClr val="FF0000"/>
              </a:solidFill>
              <a:prstDash val="solid"/>
              <a:round/>
            </a:ln>
          </c:spPr>
          <c:marker>
            <c:symbol val="square"/>
            <c:size val="7"/>
            <c:spPr>
              <a:solidFill>
                <a:srgbClr val="FF0000"/>
              </a:solidFill>
            </c:spPr>
          </c:marker>
          <c:dLbls>
            <c:dLbl>
              <c:idx val="0"/>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1"/>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2"/>
              <c:layout>
                <c:manualLayout>
                  <c:x val="0.00180635838150289"/>
                  <c:y val="-0.0317871438662585"/>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15:layout/>
                </c:ext>
              </c:extLst>
            </c:dLbl>
            <c:dLbl>
              <c:idx val="3"/>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4"/>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5"/>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6"/>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7"/>
              <c:layout>
                <c:manualLayout>
                  <c:x val="0"/>
                  <c:y val="-0.0459147633623734"/>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15:layout/>
                </c:ext>
              </c:extLst>
            </c:dLbl>
            <c:dLbl>
              <c:idx val="8"/>
              <c:layout>
                <c:manualLayout>
                  <c:x val="0.00361271676300578"/>
                  <c:y val="-0.0353190487402873"/>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15:layout/>
                </c:ext>
              </c:extLst>
            </c:dLbl>
            <c:dLbl>
              <c:idx val="9"/>
              <c:layout>
                <c:manualLayout>
                  <c:x val="-0.00191111373745627"/>
                  <c:y val="-0.0332219176876062"/>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15:layout/>
                </c:ext>
              </c:extLst>
            </c:dLbl>
            <c:dLbl>
              <c:idx val="10"/>
              <c:layout>
                <c:manualLayout>
                  <c:x val="-0.00123915737298637"/>
                  <c:y val="-0.0963172804532578"/>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15:layout/>
                </c:ext>
              </c:extLst>
            </c:dLbl>
            <c:numFmt formatCode="General" sourceLinked="true"/>
            <c:spPr>
              <a:noFill/>
              <a:ln>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[2024年公报图表.xls]财政支出!$F$1:$P$1</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[2024年公报图表.xls]财政支出!$F$3:$P$3</c:f>
              <c:numCache>
                <c:formatCode>0.0_ </c:formatCode>
                <c:ptCount val="11"/>
                <c:pt idx="0">
                  <c:v>14.1</c:v>
                </c:pt>
                <c:pt idx="1">
                  <c:v>23.9</c:v>
                </c:pt>
                <c:pt idx="2">
                  <c:v>8.8</c:v>
                </c:pt>
                <c:pt idx="3">
                  <c:v>43.5</c:v>
                </c:pt>
                <c:pt idx="4" c:formatCode="General">
                  <c:v>19.6</c:v>
                </c:pt>
                <c:pt idx="5">
                  <c:v>12.1</c:v>
                </c:pt>
                <c:pt idx="6" c:formatCode="General">
                  <c:v>11.4</c:v>
                </c:pt>
                <c:pt idx="7" c:formatCode="General">
                  <c:v>-7.8</c:v>
                </c:pt>
                <c:pt idx="8" c:formatCode="General">
                  <c:v>-4.3</c:v>
                </c:pt>
                <c:pt idx="9">
                  <c:v>-3.9</c:v>
                </c:pt>
                <c:pt idx="10" c:formatCode="0.00_ ">
                  <c:v>0.03</c:v>
                </c:pt>
              </c:numCache>
            </c:numRef>
          </c:val>
          <c:smooth val="false"/>
        </c:ser>
        <c:dLbls>
          <c:showLegendKey val="false"/>
          <c:showVal val="false"/>
          <c:showCatName val="false"/>
          <c:showSerName val="false"/>
          <c:showPercent val="false"/>
          <c:showBubbleSize val="false"/>
        </c:dLbls>
        <c:marker val="true"/>
        <c:smooth val="false"/>
        <c:axId val="805944052"/>
        <c:axId val="269611146"/>
      </c:lineChart>
      <c:catAx>
        <c:axId val="230659093"/>
        <c:scaling>
          <c:orientation val="minMax"/>
        </c:scaling>
        <c:delete val="false"/>
        <c:axPos val="b"/>
        <c:title>
          <c:tx>
            <c:rich>
              <a:bodyPr rot="0" spcFirstLastPara="0" vertOverflow="ellipsis" vert="horz" wrap="square" anchor="ctr" anchorCtr="true"/>
              <a:lstStyle/>
              <a:p>
                <a:pPr defTabSz="914400">
                  <a:defRPr lang="zh-CN" sz="11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r>
                  <a:rPr b="1">
                    <a:latin typeface="Times New Roman" charset="0"/>
                    <a:ea typeface="Times New Roman" charset="0"/>
                    <a:cs typeface="Times New Roman" charset="0"/>
                    <a:sym typeface="Times New Roman" charset="0"/>
                  </a:rPr>
                  <a:t>亿元</a:t>
                </a:r>
                <a:endParaRPr sz="1100" b="1" i="0" u="none" strike="noStrike" baseline="0">
                  <a:solidFill>
                    <a:srgbClr val="000000">
                      <a:alpha val="100000"/>
                    </a:srgbClr>
                  </a:solidFill>
                  <a:latin typeface="Times New Roman" charset="0"/>
                  <a:ea typeface="Times New Roman" charset="0"/>
                  <a:cs typeface="Times New Roman" charset="0"/>
                  <a:sym typeface="Times New Roman" charset="0"/>
                </a:endParaRPr>
              </a:p>
            </c:rich>
          </c:tx>
          <c:layout>
            <c:manualLayout>
              <c:xMode val="edge"/>
              <c:yMode val="edge"/>
              <c:x val="0.00450845131347429"/>
              <c:y val="0.133453488285636"/>
            </c:manualLayout>
          </c:layout>
          <c:overlay val="false"/>
        </c:title>
        <c:majorTickMark val="in"/>
        <c:minorTickMark val="none"/>
        <c:tickLblPos val="low"/>
        <c:txPr>
          <a:bodyPr rot="0" spcFirstLastPara="0" vertOverflow="ellipsis" vert="horz" wrap="square"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254228504"/>
        <c:crosses val="autoZero"/>
        <c:auto val="false"/>
        <c:lblAlgn val="ctr"/>
        <c:lblOffset val="100"/>
        <c:tickLblSkip val="1"/>
        <c:noMultiLvlLbl val="false"/>
      </c:catAx>
      <c:valAx>
        <c:axId val="254228504"/>
        <c:scaling>
          <c:orientation val="minMax"/>
          <c:max val="600"/>
          <c:min val="-100"/>
        </c:scaling>
        <c:delete val="false"/>
        <c:axPos val="l"/>
        <c:numFmt formatCode="0_ " sourceLinked="false"/>
        <c:majorTickMark val="in"/>
        <c:minorTickMark val="none"/>
        <c:tickLblPos val="nextTo"/>
        <c:txPr>
          <a:bodyPr rot="0" spcFirstLastPara="0" vertOverflow="ellipsis" vert="horz" wrap="square"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230659093"/>
        <c:crosses val="autoZero"/>
        <c:crossBetween val="between"/>
      </c:valAx>
      <c:catAx>
        <c:axId val="805944052"/>
        <c:scaling>
          <c:orientation val="minMax"/>
        </c:scaling>
        <c:delete val="true"/>
        <c:axPos val="b"/>
        <c:title>
          <c:tx>
            <c:rich>
              <a:bodyPr rot="0" spcFirstLastPara="0" vertOverflow="ellipsis" vert="horz" wrap="square" anchor="ctr" anchorCtr="true"/>
              <a:lstStyle/>
              <a:p>
                <a:pPr defTabSz="914400">
                  <a:defRPr lang="zh-CN" sz="12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r>
                  <a:rPr b="1">
                    <a:latin typeface="Times New Roman" charset="0"/>
                    <a:ea typeface="Times New Roman" charset="0"/>
                    <a:cs typeface="Times New Roman" charset="0"/>
                    <a:sym typeface="Times New Roman" charset="0"/>
                  </a:rPr>
                  <a:t>%</a:t>
                </a:r>
                <a:endParaRPr sz="1200" b="1" i="0" u="none" strike="noStrike" baseline="0">
                  <a:solidFill>
                    <a:srgbClr val="000000">
                      <a:alpha val="100000"/>
                    </a:srgbClr>
                  </a:solidFill>
                  <a:latin typeface="Times New Roman" charset="0"/>
                  <a:ea typeface="Times New Roman" charset="0"/>
                  <a:cs typeface="Times New Roman" charset="0"/>
                  <a:sym typeface="Times New Roman" charset="0"/>
                </a:endParaRPr>
              </a:p>
            </c:rich>
          </c:tx>
          <c:layout>
            <c:manualLayout>
              <c:xMode val="edge"/>
              <c:yMode val="edge"/>
              <c:x val="0.963842883951774"/>
              <c:y val="0.128868565650257"/>
            </c:manualLayout>
          </c:layout>
          <c:overlay val="false"/>
        </c:title>
        <c:majorTickMark val="out"/>
        <c:minorTickMark val="none"/>
        <c:tickLblPos val="none"/>
        <c:txPr>
          <a:bodyPr rot="-60000000" spcFirstLastPara="0" vertOverflow="ellipsis" vert="horz" wrap="square"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269611146"/>
        <c:crosses val="autoZero"/>
        <c:auto val="false"/>
        <c:lblAlgn val="ctr"/>
        <c:lblOffset val="100"/>
        <c:noMultiLvlLbl val="false"/>
      </c:catAx>
      <c:valAx>
        <c:axId val="269611146"/>
        <c:scaling>
          <c:orientation val="minMax"/>
          <c:max val="60"/>
          <c:min val="-10"/>
        </c:scaling>
        <c:delete val="false"/>
        <c:axPos val="r"/>
        <c:numFmt formatCode="0_ " sourceLinked="false"/>
        <c:majorTickMark val="in"/>
        <c:minorTickMark val="none"/>
        <c:tickLblPos val="nextTo"/>
        <c:txPr>
          <a:bodyPr rot="0" spcFirstLastPara="0" vertOverflow="ellipsis" vert="horz" wrap="square"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805944052"/>
        <c:crosses val="max"/>
        <c:crossBetween val="between"/>
      </c:valAx>
    </c:plotArea>
    <c:legend>
      <c:legendPos val="r"/>
      <c:legendEntry>
        <c:idx val="0"/>
        <c:txPr>
          <a:bodyPr rot="0" spcFirstLastPara="0" vertOverflow="ellipsis" vert="horz" wrap="square" anchor="ctr" anchorCtr="true"/>
          <a:lstStyle/>
          <a:p>
            <a:pPr>
              <a:defRPr lang="zh-CN" sz="1000" b="1" i="0" u="none" strike="noStrike" kern="1200" baseline="0">
                <a:solidFill>
                  <a:srgbClr val="000000"/>
                </a:solidFill>
                <a:latin typeface="Times New Roman" charset="0"/>
                <a:ea typeface="Times New Roman" charset="0"/>
                <a:cs typeface="Times New Roman" charset="0"/>
                <a:sym typeface="Times New Roman" charset="0"/>
              </a:defRPr>
            </a:pPr>
          </a:p>
        </c:txPr>
      </c:legendEntry>
      <c:legendEntry>
        <c:idx val="1"/>
        <c:txPr>
          <a:bodyPr rot="0" spcFirstLastPara="0" vertOverflow="ellipsis" vert="horz" wrap="square" anchor="ctr" anchorCtr="true"/>
          <a:lstStyle/>
          <a:p>
            <a:pPr>
              <a:defRPr lang="zh-CN" sz="1000" b="1" i="0" u="none" strike="noStrike" kern="1200" baseline="0">
                <a:solidFill>
                  <a:srgbClr val="000000"/>
                </a:solidFill>
                <a:latin typeface="Times New Roman" charset="0"/>
                <a:ea typeface="Times New Roman" charset="0"/>
                <a:cs typeface="Times New Roman" charset="0"/>
                <a:sym typeface="Times New Roman" charset="0"/>
              </a:defRPr>
            </a:pPr>
          </a:p>
        </c:txPr>
      </c:legendEntry>
      <c:layout>
        <c:manualLayout>
          <c:xMode val="edge"/>
          <c:yMode val="edge"/>
          <c:x val="0.331500030897625"/>
          <c:y val="0.938248682087544"/>
          <c:w val="0.332"/>
          <c:h val="0.0435"/>
        </c:manualLayout>
      </c:layout>
      <c:overlay val="false"/>
      <c:txPr>
        <a:bodyPr rot="0" spcFirstLastPara="0" vertOverflow="ellipsis" vert="horz" wrap="square" anchor="ctr" anchorCtr="true"/>
        <a:lstStyle/>
        <a:p>
          <a:pPr>
            <a:defRPr lang="zh-CN" sz="1000" b="1" i="0" u="none" strike="noStrike" kern="1200" baseline="0">
              <a:solidFill>
                <a:srgbClr val="000000"/>
              </a:solidFill>
              <a:latin typeface="Times New Roman" charset="0"/>
              <a:ea typeface="Times New Roman" charset="0"/>
              <a:cs typeface="Times New Roman" charset="0"/>
              <a:sym typeface="Times New Roman" charset="0"/>
            </a:defRPr>
          </a:pPr>
        </a:p>
      </c:txPr>
    </c:legend>
    <c:plotVisOnly val="true"/>
    <c:dispBlanksAs val="gap"/>
    <c:showDLblsOverMax val="false"/>
  </c:chart>
  <c:spPr>
    <a:ln w="9525" cap="flat" cmpd="sng" algn="ctr">
      <a:noFill/>
      <a:prstDash val="solid"/>
      <a:round/>
    </a:ln>
  </c:spPr>
  <c:txPr>
    <a:bodyPr rot="0" wrap="square" anchor="ctr" anchorCtr="true"/>
    <a:lstStyle/>
    <a:p>
      <a:pPr>
        <a:defRPr lang="zh-CN" sz="1000" b="1" i="0" u="none" strike="noStrike" baseline="0">
          <a:solidFill>
            <a:srgbClr val="000000">
              <a:alpha val="100000"/>
            </a:srgbClr>
          </a:solidFill>
          <a:latin typeface="Times New Roman" charset="0"/>
          <a:ea typeface="Times New Roman" charset="0"/>
          <a:cs typeface="Times New Roman" charset="0"/>
          <a:sym typeface="Times New Roman" charset="0"/>
        </a:defRPr>
      </a:pPr>
    </a:p>
  </c:txPr>
  <c:externalData r:id="rId1">
    <c:autoUpdate val="false"/>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true"/>
          <a:lstStyle/>
          <a:p>
            <a:pPr defTabSz="914400">
              <a:defRPr lang="zh-CN" sz="1400" b="0" i="0" u="none" strike="noStrike" kern="1200" baseline="0">
                <a:solidFill>
                  <a:srgbClr val="000000">
                    <a:alpha val="100000"/>
                  </a:srgbClr>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defRPr>
            </a:pP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201</a:t>
            </a:r>
            <a:r>
              <a:rPr lang="en-US" altLang="zh-CN"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—202</a:t>
            </a:r>
            <a:r>
              <a:rPr lang="en-US" altLang="zh-CN"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年一般公共财政预算收入及增速</a:t>
            </a:r>
            <a:endParaRPr sz="1400" b="0" i="0" u="none" strike="noStrike" baseline="0">
              <a:solidFill>
                <a:srgbClr val="000000"/>
              </a:solidFill>
              <a:latin typeface="宋体" charset="-122"/>
              <a:ea typeface="宋体" charset="-122"/>
              <a:cs typeface="宋体" charset="-122"/>
              <a:sym typeface="方正小标宋简体" panose="02000000000000000000" charset="-122"/>
            </a:endParaRPr>
          </a:p>
        </c:rich>
      </c:tx>
      <c:layout>
        <c:manualLayout>
          <c:xMode val="edge"/>
          <c:yMode val="edge"/>
          <c:x val="0.162728061263194"/>
          <c:y val="0.0268865604397875"/>
        </c:manualLayout>
      </c:layout>
      <c:overlay val="false"/>
      <c:spPr>
        <a:noFill/>
        <a:ln w="3175">
          <a:noFill/>
        </a:ln>
      </c:spPr>
    </c:title>
    <c:autoTitleDeleted val="false"/>
    <c:plotArea>
      <c:layout>
        <c:manualLayout>
          <c:layoutTarget val="inner"/>
          <c:xMode val="edge"/>
          <c:yMode val="edge"/>
          <c:x val="0.0498735092157571"/>
          <c:y val="0.209579293777043"/>
          <c:w val="0.914142335766423"/>
          <c:h val="0.615456383144146"/>
        </c:manualLayout>
      </c:layout>
      <c:barChart>
        <c:barDir val="col"/>
        <c:grouping val="clustered"/>
        <c:varyColors val="false"/>
        <c:ser>
          <c:idx val="1"/>
          <c:order val="0"/>
          <c:tx>
            <c:strRef>
              <c:f>[2024年公报图表.xls]财政收入!$A$2</c:f>
              <c:strCache>
                <c:ptCount val="1"/>
                <c:pt idx="0">
                  <c:v>收入</c:v>
                </c:pt>
              </c:strCache>
            </c:strRef>
          </c:tx>
          <c:spPr>
            <a:gradFill>
              <a:gsLst>
                <a:gs pos="0">
                  <a:srgbClr val="99CC00">
                    <a:alpha val="100000"/>
                  </a:srgbClr>
                </a:gs>
                <a:gs pos="100000">
                  <a:srgbClr val="EBF5CE">
                    <a:alpha val="100000"/>
                  </a:srgbClr>
                </a:gs>
              </a:gsLst>
              <a:lin ang="5400000" scaled="true"/>
            </a:gradFill>
            <a:ln w="3175">
              <a:noFill/>
            </a:ln>
          </c:spPr>
          <c:invertIfNegative val="true"/>
          <c:dLbls>
            <c:dLbl>
              <c:idx val="0"/>
              <c:layout>
                <c:manualLayout>
                  <c:x val="0"/>
                  <c:y val="-0.0288713910761155"/>
                </c:manualLayout>
              </c:layout>
              <c:dLblPos val="outEnd"/>
              <c:showLegendKey val="false"/>
              <c:showVal val="true"/>
              <c:showCatName val="false"/>
              <c:showSerName val="false"/>
              <c:showPercent val="false"/>
              <c:showBubbleSize val="false"/>
              <c:extLst>
                <c:ext xmlns:c15="http://schemas.microsoft.com/office/drawing/2012/chart" uri="{CE6537A1-D6FC-4f65-9D91-7224C49458BB}">
                  <c15:layout/>
                </c:ext>
              </c:extLst>
            </c:dLbl>
            <c:dLbl>
              <c:idx val="3"/>
              <c:layout/>
              <c:numFmt formatCode="General" sourceLinked="true"/>
              <c:spPr>
                <a:noFill/>
                <a:ln>
                  <a:noFill/>
                </a:ln>
                <a:effectLst/>
              </c:spPr>
              <c:txPr>
                <a:bodyPr rot="0" spcFirstLastPara="0" vertOverflow="ellipsis" vert="horz" wrap="square" lIns="38100" tIns="19050" rIns="38100" bIns="19050" anchor="ctr" anchorCtr="true"/>
                <a:lstStyle/>
                <a:p>
                  <a:pPr>
                    <a:defRPr lang="zh-CN" sz="11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4"/>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5"/>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6"/>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7"/>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8"/>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9"/>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dLbl>
              <c:idx val="10"/>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extLst>
            </c:dLbl>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[2024年公报图表.xls]财政收入!$F$1:$P$1</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[2024年公报图表.xls]财政收入!$F$2:$P$2</c:f>
              <c:numCache>
                <c:formatCode>0.00_ </c:formatCode>
                <c:ptCount val="11"/>
                <c:pt idx="0">
                  <c:v>15.8</c:v>
                </c:pt>
                <c:pt idx="1">
                  <c:v>18.61</c:v>
                </c:pt>
                <c:pt idx="2">
                  <c:v>21.09</c:v>
                </c:pt>
                <c:pt idx="3">
                  <c:v>26.26</c:v>
                </c:pt>
                <c:pt idx="4">
                  <c:v>27.95</c:v>
                </c:pt>
                <c:pt idx="5">
                  <c:v>29.17</c:v>
                </c:pt>
                <c:pt idx="6">
                  <c:v>31.8</c:v>
                </c:pt>
                <c:pt idx="7" c:formatCode="General">
                  <c:v>37.77</c:v>
                </c:pt>
                <c:pt idx="8" c:formatCode="General">
                  <c:v>42.18</c:v>
                </c:pt>
                <c:pt idx="9">
                  <c:v>49.1</c:v>
                </c:pt>
                <c:pt idx="10">
                  <c:v>57.02</c:v>
                </c:pt>
              </c:numCache>
            </c:numRef>
          </c:val>
        </c:ser>
        <c:dLbls>
          <c:showLegendKey val="false"/>
          <c:showVal val="false"/>
          <c:showCatName val="false"/>
          <c:showSerName val="false"/>
          <c:showPercent val="false"/>
          <c:showBubbleSize val="false"/>
        </c:dLbls>
        <c:gapWidth val="100"/>
        <c:overlap val="0"/>
        <c:axId val="828869646"/>
        <c:axId val="338902809"/>
      </c:barChart>
      <c:lineChart>
        <c:grouping val="standard"/>
        <c:varyColors val="false"/>
        <c:ser>
          <c:idx val="0"/>
          <c:order val="1"/>
          <c:tx>
            <c:strRef>
              <c:f>[2024年公报图表.xls]财政收入!$A$3</c:f>
              <c:strCache>
                <c:ptCount val="1"/>
                <c:pt idx="0">
                  <c:v>增速</c:v>
                </c:pt>
              </c:strCache>
            </c:strRef>
          </c:tx>
          <c:spPr>
            <a:ln w="12700" cap="rnd" cmpd="sng" algn="ctr">
              <a:solidFill>
                <a:srgbClr val="94038C"/>
              </a:solidFill>
              <a:prstDash val="solid"/>
              <a:round/>
            </a:ln>
          </c:spPr>
          <c:marker>
            <c:symbol val="diamond"/>
            <c:size val="8"/>
            <c:spPr>
              <a:solidFill>
                <a:srgbClr val="94038C"/>
              </a:solidFill>
              <a:ln w="9525" cap="flat" cmpd="sng" algn="ctr">
                <a:solidFill>
                  <a:srgbClr val="94038C">
                    <a:alpha val="100000"/>
                  </a:srgbClr>
                </a:solidFill>
                <a:prstDash val="solid"/>
                <a:round/>
              </a:ln>
            </c:spPr>
          </c:marker>
          <c:dLbls>
            <c:dLbl>
              <c:idx val="0"/>
              <c:layout>
                <c:manualLayout>
                  <c:x val="-0.00136798905608755"/>
                  <c:y val="-0.0236220472440945"/>
                </c:manualLayout>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15:layout/>
                </c:ext>
              </c:extLst>
            </c:dLbl>
            <c:dLbl>
              <c:idx val="1"/>
              <c:layout>
                <c:manualLayout>
                  <c:x val="0"/>
                  <c:y val="-0.026246719160105"/>
                </c:manualLayout>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15:layout/>
                </c:ext>
              </c:extLst>
            </c:dLbl>
            <c:dLbl>
              <c:idx val="2"/>
              <c:layout>
                <c:manualLayout>
                  <c:x val="0"/>
                  <c:y val="-0.0381414701803051"/>
                </c:manualLayout>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15:layout/>
                </c:ext>
              </c:extLst>
            </c:dLbl>
            <c:dLbl>
              <c:idx val="3"/>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4"/>
              <c:layout>
                <c:manualLayout>
                  <c:x val="-0.00180701120346946"/>
                  <c:y val="-0.0381414701803051"/>
                </c:manualLayout>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15:layout/>
                </c:ext>
              </c:extLst>
            </c:dLbl>
            <c:dLbl>
              <c:idx val="5"/>
              <c:layout>
                <c:manualLayout>
                  <c:x val="0.00361402240693892"/>
                  <c:y val="-0.0520110957004161"/>
                </c:manualLayout>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15:layout/>
                </c:ext>
              </c:extLst>
            </c:dLbl>
            <c:dLbl>
              <c:idx val="6"/>
              <c:layout>
                <c:manualLayout>
                  <c:x val="0.00180701120346946"/>
                  <c:y val="-0.0381414701803051"/>
                </c:manualLayout>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15:layout/>
                </c:ext>
              </c:extLst>
            </c:dLbl>
            <c:dLbl>
              <c:idx val="7"/>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8"/>
              <c:layout>
                <c:manualLayout>
                  <c:x val="0.00180701120346946"/>
                  <c:y val="-0.0242718446601942"/>
                </c:manualLayout>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15:layout/>
                </c:ext>
              </c:extLst>
            </c:dLbl>
            <c:dLbl>
              <c:idx val="9"/>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dLbl>
              <c:idx val="10"/>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extLst>
                <c:ext xmlns:c15="http://schemas.microsoft.com/office/drawing/2012/chart" uri="{CE6537A1-D6FC-4f65-9D91-7224C49458BB}"/>
              </c:extLst>
            </c:dLbl>
            <c:numFmt formatCode="General" sourceLinked="true"/>
            <c:spPr>
              <a:noFill/>
              <a:ln w="3175">
                <a:noFill/>
              </a:ln>
              <a:effectLst/>
            </c:spPr>
            <c:txPr>
              <a:bodyPr rot="0" spcFirstLastPara="0" vertOverflow="ellipsis" vert="horz" wrap="square" lIns="38100" tIns="19050" rIns="38100" bIns="19050"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b"/>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[2024年公报图表.xls]财政收入!$F$1:$P$1</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[2024年公报图表.xls]财政收入!$F$3:$P$3</c:f>
              <c:numCache>
                <c:formatCode>0.0_ </c:formatCode>
                <c:ptCount val="11"/>
                <c:pt idx="0">
                  <c:v>18.529632408102</c:v>
                </c:pt>
                <c:pt idx="1">
                  <c:v>17.7848101265823</c:v>
                </c:pt>
                <c:pt idx="2">
                  <c:v>13.3261687264911</c:v>
                </c:pt>
                <c:pt idx="3">
                  <c:v>24.5139876718824</c:v>
                </c:pt>
                <c:pt idx="4">
                  <c:v>6.4</c:v>
                </c:pt>
                <c:pt idx="5">
                  <c:v>4.4</c:v>
                </c:pt>
                <c:pt idx="6">
                  <c:v>9</c:v>
                </c:pt>
                <c:pt idx="7" c:formatCode="General">
                  <c:v>18.8</c:v>
                </c:pt>
                <c:pt idx="8" c:formatCode="General">
                  <c:v>11.7</c:v>
                </c:pt>
                <c:pt idx="9">
                  <c:v>16.4</c:v>
                </c:pt>
                <c:pt idx="10">
                  <c:v>16.1</c:v>
                </c:pt>
              </c:numCache>
            </c:numRef>
          </c:val>
          <c:smooth val="false"/>
        </c:ser>
        <c:dLbls>
          <c:showLegendKey val="false"/>
          <c:showVal val="false"/>
          <c:showCatName val="false"/>
          <c:showSerName val="false"/>
          <c:showPercent val="false"/>
          <c:showBubbleSize val="false"/>
        </c:dLbls>
        <c:marker val="true"/>
        <c:smooth val="false"/>
        <c:axId val="693595825"/>
        <c:axId val="939370291"/>
      </c:lineChart>
      <c:catAx>
        <c:axId val="828869646"/>
        <c:scaling>
          <c:orientation val="minMax"/>
        </c:scaling>
        <c:delete val="false"/>
        <c:axPos val="b"/>
        <c:title>
          <c:tx>
            <c:rich>
              <a:bodyPr rot="0" spcFirstLastPara="0" vertOverflow="ellipsis" vert="horz" wrap="square" anchor="ctr" anchorCtr="true"/>
              <a:lstStyle/>
              <a:p>
                <a:pPr defTabSz="914400">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r>
                  <a:rPr sz="900" b="1">
                    <a:latin typeface="Times New Roman" charset="0"/>
                    <a:ea typeface="Times New Roman" charset="0"/>
                    <a:cs typeface="Times New Roman" charset="0"/>
                    <a:sym typeface="Times New Roman" charset="0"/>
                  </a:rPr>
                  <a:t>亿元</a:t>
                </a:r>
                <a:endParaRPr sz="900" b="1" i="0" u="none" strike="noStrike" baseline="0">
                  <a:solidFill>
                    <a:srgbClr val="000000">
                      <a:alpha val="100000"/>
                    </a:srgbClr>
                  </a:solidFill>
                  <a:latin typeface="Times New Roman" charset="0"/>
                  <a:ea typeface="Times New Roman" charset="0"/>
                  <a:cs typeface="Times New Roman" charset="0"/>
                  <a:sym typeface="Times New Roman" charset="0"/>
                </a:endParaRPr>
              </a:p>
            </c:rich>
          </c:tx>
          <c:layout>
            <c:manualLayout>
              <c:xMode val="edge"/>
              <c:yMode val="edge"/>
              <c:x val="0.00803400942871197"/>
              <c:y val="0.138699177395273"/>
            </c:manualLayout>
          </c:layout>
          <c:overlay val="false"/>
        </c:title>
        <c:majorTickMark val="in"/>
        <c:minorTickMark val="none"/>
        <c:tickLblPos val="nextTo"/>
        <c:spPr>
          <a:ln w="3175" cap="flat" cmpd="sng" algn="ctr">
            <a:solidFill>
              <a:srgbClr val="000000">
                <a:alpha val="100000"/>
              </a:srgbClr>
            </a:solidFill>
            <a:prstDash val="solid"/>
            <a:round/>
          </a:ln>
        </c:spPr>
        <c:txPr>
          <a:bodyPr rot="0" spcFirstLastPara="0" vertOverflow="ellipsis" vert="horz" wrap="square"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338902809"/>
        <c:crosses val="autoZero"/>
        <c:auto val="false"/>
        <c:lblAlgn val="ctr"/>
        <c:lblOffset val="100"/>
        <c:tickLblSkip val="1"/>
        <c:noMultiLvlLbl val="false"/>
      </c:catAx>
      <c:valAx>
        <c:axId val="338902809"/>
        <c:scaling>
          <c:orientation val="minMax"/>
        </c:scaling>
        <c:delete val="false"/>
        <c:axPos val="l"/>
        <c:numFmt formatCode="0_ " sourceLinked="false"/>
        <c:majorTickMark val="in"/>
        <c:minorTickMark val="none"/>
        <c:tickLblPos val="nextTo"/>
        <c:spPr>
          <a:ln w="3175" cap="flat" cmpd="sng" algn="ctr">
            <a:solidFill>
              <a:srgbClr val="000000">
                <a:alpha val="100000"/>
              </a:srgbClr>
            </a:solidFill>
            <a:prstDash val="solid"/>
            <a:round/>
          </a:ln>
        </c:spPr>
        <c:txPr>
          <a:bodyPr rot="0" spcFirstLastPara="0" vertOverflow="ellipsis" vert="horz" wrap="square"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828869646"/>
        <c:crosses val="autoZero"/>
        <c:crossBetween val="between"/>
      </c:valAx>
      <c:catAx>
        <c:axId val="693595825"/>
        <c:scaling>
          <c:orientation val="minMax"/>
        </c:scaling>
        <c:delete val="true"/>
        <c:axPos val="b"/>
        <c:title>
          <c:tx>
            <c:rich>
              <a:bodyPr rot="0" spcFirstLastPara="0" vertOverflow="ellipsis" vert="horz" wrap="square" anchor="ctr" anchorCtr="true"/>
              <a:lstStyle/>
              <a:p>
                <a:pPr defTabSz="914400">
                  <a:defRPr lang="zh-CN" sz="12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r>
                  <a:rPr b="1">
                    <a:latin typeface="Times New Roman" charset="0"/>
                    <a:ea typeface="Times New Roman" charset="0"/>
                    <a:cs typeface="Times New Roman" charset="0"/>
                    <a:sym typeface="Times New Roman" charset="0"/>
                  </a:rPr>
                  <a:t>%</a:t>
                </a:r>
                <a:endParaRPr sz="1200" b="1" i="0" u="none" strike="noStrike" baseline="0">
                  <a:solidFill>
                    <a:srgbClr val="000000">
                      <a:alpha val="100000"/>
                    </a:srgbClr>
                  </a:solidFill>
                  <a:latin typeface="Times New Roman" charset="0"/>
                  <a:ea typeface="Times New Roman" charset="0"/>
                  <a:cs typeface="Times New Roman" charset="0"/>
                  <a:sym typeface="Times New Roman" charset="0"/>
                </a:endParaRPr>
              </a:p>
            </c:rich>
          </c:tx>
          <c:layout>
            <c:manualLayout>
              <c:xMode val="edge"/>
              <c:yMode val="edge"/>
              <c:x val="0.950367425611372"/>
              <c:y val="0.11328782434418"/>
            </c:manualLayout>
          </c:layout>
          <c:overlay val="false"/>
        </c:title>
        <c:majorTickMark val="out"/>
        <c:minorTickMark val="none"/>
        <c:tickLblPos val="none"/>
        <c:txPr>
          <a:bodyPr rot="-60000000" spcFirstLastPara="0" vertOverflow="ellipsis" vert="horz" wrap="square" anchor="ctr" anchorCtr="true"/>
          <a:lstStyle/>
          <a:p>
            <a:pPr>
              <a:defRPr lang="zh-CN" sz="11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939370291"/>
        <c:crosses val="autoZero"/>
        <c:auto val="false"/>
        <c:lblAlgn val="ctr"/>
        <c:lblOffset val="100"/>
        <c:noMultiLvlLbl val="false"/>
      </c:catAx>
      <c:valAx>
        <c:axId val="939370291"/>
        <c:scaling>
          <c:orientation val="minMax"/>
          <c:max val="60"/>
        </c:scaling>
        <c:delete val="false"/>
        <c:axPos val="r"/>
        <c:numFmt formatCode="0_ " sourceLinked="false"/>
        <c:majorTickMark val="in"/>
        <c:minorTickMark val="none"/>
        <c:tickLblPos val="nextTo"/>
        <c:spPr>
          <a:ln w="3175" cap="flat" cmpd="sng" algn="ctr">
            <a:solidFill>
              <a:srgbClr val="000000">
                <a:alpha val="100000"/>
              </a:srgbClr>
            </a:solidFill>
            <a:prstDash val="solid"/>
            <a:round/>
          </a:ln>
        </c:spPr>
        <c:txPr>
          <a:bodyPr rot="0" spcFirstLastPara="0" vertOverflow="ellipsis" vert="horz" wrap="square"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693595825"/>
        <c:crosses val="max"/>
        <c:crossBetween val="between"/>
      </c:valAx>
      <c:spPr>
        <a:noFill/>
        <a:ln w="3175">
          <a:noFill/>
        </a:ln>
      </c:spPr>
    </c:plotArea>
    <c:legend>
      <c:legendPos val="r"/>
      <c:legendEntry>
        <c:idx val="0"/>
        <c:txPr>
          <a:bodyPr rot="0" spcFirstLastPara="0" vertOverflow="ellipsis" vert="horz" wrap="square"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legendEntry>
      <c:legendEntry>
        <c:idx val="1"/>
        <c:txPr>
          <a:bodyPr rot="0" spcFirstLastPara="0" vertOverflow="ellipsis" vert="horz" wrap="square" anchor="ctr" anchorCtr="true"/>
          <a:lstStyle/>
          <a:p>
            <a:pPr>
              <a:defRPr lang="zh-CN" sz="10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legendEntry>
      <c:layout>
        <c:manualLayout>
          <c:xMode val="edge"/>
          <c:yMode val="edge"/>
          <c:x val="0.32421340629275"/>
          <c:y val="0.923009623797025"/>
          <c:w val="0.37875"/>
          <c:h val="0.04"/>
        </c:manualLayout>
      </c:layout>
      <c:overlay val="false"/>
      <c:spPr>
        <a:solidFill>
          <a:srgbClr val="FFFFFF">
            <a:alpha val="100000"/>
          </a:srgbClr>
        </a:solidFill>
        <a:ln w="3175">
          <a:noFill/>
        </a:ln>
      </c:spPr>
      <c:txPr>
        <a:bodyPr rot="0" spcFirstLastPara="0" vertOverflow="ellipsis" vert="horz" wrap="square" anchor="ctr" anchorCtr="true"/>
        <a:lstStyle/>
        <a:p>
          <a:pPr>
            <a:defRPr lang="zh-CN" sz="1000" b="1" i="0" u="none" strike="noStrike" kern="1200" baseline="0">
              <a:solidFill>
                <a:srgbClr val="000000"/>
              </a:solidFill>
              <a:latin typeface="Times New Roman" charset="0"/>
              <a:ea typeface="Times New Roman" charset="0"/>
              <a:cs typeface="Times New Roman" charset="0"/>
              <a:sym typeface="Times New Roman" charset="0"/>
            </a:defRPr>
          </a:pPr>
        </a:p>
      </c:txPr>
    </c:legend>
    <c:plotVisOnly val="true"/>
    <c:dispBlanksAs val="gap"/>
    <c:showDLblsOverMax val="false"/>
  </c:chart>
  <c:spPr>
    <a:solidFill>
      <a:srgbClr val="FFFFFF">
        <a:alpha val="100000"/>
      </a:srgbClr>
    </a:solidFill>
    <a:ln w="3175" cap="flat" cmpd="sng" algn="ctr">
      <a:noFill/>
      <a:prstDash val="solid"/>
      <a:round/>
    </a:ln>
  </c:spPr>
  <c:txPr>
    <a:bodyPr rot="0" wrap="square" anchor="ctr" anchorCtr="true"/>
    <a:lstStyle/>
    <a:p>
      <a:pPr>
        <a:defRPr lang="zh-CN" sz="1100" b="1" i="0" u="none" strike="noStrike" baseline="0">
          <a:solidFill>
            <a:srgbClr val="000000"/>
          </a:solidFill>
          <a:latin typeface="Times New Roman" charset="0"/>
          <a:ea typeface="Times New Roman" charset="0"/>
          <a:cs typeface="Times New Roman" charset="0"/>
          <a:sym typeface="Times New Roman" charset="0"/>
        </a:defRPr>
      </a:pPr>
    </a:p>
  </c:txPr>
  <c:externalData r:id="rId1">
    <c:autoUpdate val="false"/>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true"/>
          <a:lstStyle/>
          <a:p>
            <a:pPr defTabSz="914400">
              <a:defRPr lang="zh-CN" sz="1400" b="0" i="0" u="none" strike="noStrike" kern="1200" baseline="0">
                <a:solidFill>
                  <a:srgbClr val="000000">
                    <a:alpha val="100000"/>
                  </a:srgbClr>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defRPr>
            </a:pP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201</a:t>
            </a:r>
            <a:r>
              <a:rPr lang="en-US" altLang="zh-CN"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—202</a:t>
            </a:r>
            <a:r>
              <a:rPr lang="en-US" altLang="zh-CN"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年末金融机构各项存款余额及增速</a:t>
            </a:r>
            <a:endParaRPr sz="1400" b="0" i="0" u="none" strike="noStrike" baseline="0">
              <a:solidFill>
                <a:srgbClr val="000000"/>
              </a:solidFill>
              <a:latin typeface="宋体" charset="-122"/>
              <a:ea typeface="宋体" charset="-122"/>
              <a:cs typeface="宋体" charset="-122"/>
              <a:sym typeface="方正小标宋简体" panose="02000000000000000000" charset="-122"/>
            </a:endParaRPr>
          </a:p>
        </c:rich>
      </c:tx>
      <c:layout>
        <c:manualLayout>
          <c:xMode val="edge"/>
          <c:yMode val="edge"/>
          <c:x val="0.164007932873365"/>
          <c:y val="0.021228648549885"/>
        </c:manualLayout>
      </c:layout>
      <c:overlay val="false"/>
      <c:spPr>
        <a:noFill/>
        <a:ln w="3175">
          <a:noFill/>
        </a:ln>
      </c:spPr>
    </c:title>
    <c:autoTitleDeleted val="false"/>
    <c:plotArea>
      <c:layout>
        <c:manualLayout>
          <c:layoutTarget val="inner"/>
          <c:xMode val="edge"/>
          <c:yMode val="edge"/>
          <c:x val="0.0566301336866193"/>
          <c:y val="0.257329724853405"/>
          <c:w val="0.902758039262917"/>
          <c:h val="0.588526289212081"/>
        </c:manualLayout>
      </c:layout>
      <c:barChart>
        <c:barDir val="col"/>
        <c:grouping val="clustered"/>
        <c:varyColors val="false"/>
        <c:ser>
          <c:idx val="1"/>
          <c:order val="0"/>
          <c:tx>
            <c:strRef>
              <c:f>[2024年公报图表.xls]金融存款!$A$3</c:f>
              <c:strCache>
                <c:ptCount val="1"/>
                <c:pt idx="0">
                  <c:v>储蓄存款</c:v>
                </c:pt>
              </c:strCache>
            </c:strRef>
          </c:tx>
          <c:spPr>
            <a:solidFill>
              <a:schemeClr val="accent2">
                <a:lumMod val="40000"/>
                <a:lumOff val="60000"/>
              </a:schemeClr>
            </a:solidFill>
            <a:ln w="3175">
              <a:noFill/>
            </a:ln>
          </c:spPr>
          <c:invertIfNegative val="false"/>
          <c:dLbls>
            <c:dLbl>
              <c:idx val="1"/>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extLst>
                <c:ext xmlns:c15="http://schemas.microsoft.com/office/drawing/2012/chart" uri="{CE6537A1-D6FC-4f65-9D91-7224C49458BB}"/>
              </c:extLst>
            </c:dLbl>
            <c:dLbl>
              <c:idx val="2"/>
              <c:layout/>
              <c:numFmt formatCode="General" sourceLinked="true"/>
              <c:spPr>
                <a:noFill/>
                <a:ln>
                  <a:noFill/>
                </a:ln>
                <a:effectLst/>
              </c:spPr>
              <c:txPr>
                <a:bodyPr rot="0" spcFirstLastPara="0" vertOverflow="ellipsis" vert="horz" wrap="square" lIns="38100" tIns="19050" rIns="38100" bIns="19050" anchor="ctr" anchorCtr="true"/>
                <a:lstStyle/>
                <a:p>
                  <a:pPr>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extLst>
                <c:ext xmlns:c15="http://schemas.microsoft.com/office/drawing/2012/chart" uri="{CE6537A1-D6FC-4f65-9D91-7224C49458BB}"/>
              </c:extLst>
            </c:dLbl>
            <c:dLbl>
              <c:idx val="3"/>
              <c:layout>
                <c:manualLayout>
                  <c:x val="0.00151745068285281"/>
                  <c:y val="0.0690552441953563"/>
                </c:manualLayout>
              </c:layout>
              <c:tx>
                <c:rich>
                  <a:bodyPr rot="0" spcFirstLastPara="0" vertOverflow="ellipsis" vert="horz" wrap="square" lIns="38100" tIns="19050" rIns="38100" bIns="19050" anchor="ctr" anchorCtr="true"/>
                  <a:lstStyle/>
                  <a:p>
                    <a:pPr defTabSz="914400">
                      <a:defRPr lang="zh-CN" sz="800" b="1" i="0" u="none" strike="noStrike" kern="1200" baseline="0">
                        <a:solidFill>
                          <a:srgbClr val="000000"/>
                        </a:solidFill>
                        <a:latin typeface="Times New Roman" charset="0"/>
                        <a:ea typeface="Times New Roman" charset="0"/>
                        <a:cs typeface="Times New Roman" charset="0"/>
                        <a:sym typeface="Times New Roman" charset="0"/>
                      </a:defRPr>
                    </a:pPr>
                    <a:r>
                      <a:t>703.1</a:t>
                    </a:r>
                    <a:r>
                      <a:rPr lang="en-US" altLang="zh-CN"/>
                      <a:t>0</a:t>
                    </a:r>
                    <a:endParaRPr lang="en-US" altLang="zh-CN"/>
                  </a:p>
                </c:rich>
              </c:tx>
              <c:numFmt formatCode="General" sourceLinked="true"/>
              <c:spPr>
                <a:noFill/>
                <a:ln>
                  <a:noFill/>
                </a:ln>
                <a:effectLst/>
              </c:spPr>
              <c:txPr>
                <a:bodyPr rot="0" spcFirstLastPara="0" vertOverflow="ellipsis" vert="horz" wrap="square" lIns="38100" tIns="19050" rIns="38100" bIns="19050" anchor="ctr" anchorCtr="true"/>
                <a:lstStyle/>
                <a:p>
                  <a:pPr>
                    <a:defRPr lang="zh-CN" sz="800" b="1" i="0" u="none" strike="noStrike" kern="1200" baseline="0">
                      <a:solidFill>
                        <a:srgbClr val="000000"/>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4"/>
              <c:layout/>
              <c:tx>
                <c:rich>
                  <a:bodyPr rot="0" spcFirstLastPara="0" vertOverflow="ellipsis" vert="horz" wrap="square" lIns="38100" tIns="19050" rIns="38100" bIns="19050" anchor="ctr" anchorCtr="true"/>
                  <a:lstStyle/>
                  <a:p>
                    <a:pPr defTabSz="914400">
                      <a:defRPr lang="zh-CN" sz="800" b="1" i="0" u="none" strike="noStrike" kern="1200" baseline="0">
                        <a:solidFill>
                          <a:srgbClr val="000000"/>
                        </a:solidFill>
                        <a:latin typeface="Times New Roman" charset="0"/>
                        <a:ea typeface="Times New Roman" charset="0"/>
                        <a:cs typeface="Times New Roman" charset="0"/>
                        <a:sym typeface="Times New Roman" charset="0"/>
                      </a:defRPr>
                    </a:pPr>
                    <a:r>
                      <a:t>733.5</a:t>
                    </a:r>
                    <a:r>
                      <a:rPr lang="en-US" altLang="zh-CN"/>
                      <a:t>0</a:t>
                    </a:r>
                    <a:endParaRPr lang="en-US" altLang="zh-CN"/>
                  </a:p>
                </c:rich>
              </c:tx>
              <c:numFmt formatCode="General" sourceLinked="true"/>
              <c:spPr>
                <a:noFill/>
                <a:ln>
                  <a:noFill/>
                </a:ln>
                <a:effectLst/>
              </c:spPr>
              <c:txPr>
                <a:bodyPr rot="0" spcFirstLastPara="0" vertOverflow="ellipsis" vert="horz" wrap="square" lIns="38100" tIns="19050" rIns="38100" bIns="19050" anchor="ctr" anchorCtr="true"/>
                <a:lstStyle/>
                <a:p>
                  <a:pPr>
                    <a:defRPr lang="zh-CN" sz="800" b="1" i="0" u="none" strike="noStrike" kern="1200" baseline="0">
                      <a:solidFill>
                        <a:srgbClr val="000000"/>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extLst>
                <c:ext xmlns:c15="http://schemas.microsoft.com/office/drawing/2012/chart" uri="{CE6537A1-D6FC-4f65-9D91-7224C49458BB}"/>
              </c:extLst>
            </c:dLbl>
            <c:dLbl>
              <c:idx val="8"/>
              <c:layout>
                <c:manualLayout>
                  <c:x val="0.00151745068285281"/>
                  <c:y val="-0.0360288230584468"/>
                </c:manualLayout>
              </c:layout>
              <c:dLblPos val="ctr"/>
              <c:showLegendKey val="false"/>
              <c:showVal val="true"/>
              <c:showCatName val="false"/>
              <c:showSerName val="false"/>
              <c:showPercent val="false"/>
              <c:showBubbleSize val="false"/>
              <c:extLst>
                <c:ext xmlns:c15="http://schemas.microsoft.com/office/drawing/2012/chart" uri="{CE6537A1-D6FC-4f65-9D91-7224C49458BB}">
                  <c15:layout/>
                </c:ext>
              </c:extLst>
            </c:dLbl>
            <c:numFmt formatCode="General" sourceLinked="true"/>
            <c:spPr>
              <a:noFill/>
              <a:ln>
                <a:noFill/>
              </a:ln>
              <a:effectLst/>
            </c:spPr>
            <c:txPr>
              <a:bodyPr rot="0" spcFirstLastPara="0" vertOverflow="ellipsis" vert="horz" wrap="square" lIns="38100" tIns="19050" rIns="38100" bIns="19050" anchor="ctr" anchorCtr="true"/>
              <a:lstStyle/>
              <a:p>
                <a:pPr>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ctr"/>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[2024年公报图表.xls]金融存款!$E$2:$O$2</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[2024年公报图表.xls]金融存款!$E$3:$O$3</c:f>
              <c:numCache>
                <c:formatCode>0.0_ </c:formatCode>
                <c:ptCount val="11"/>
                <c:pt idx="0">
                  <c:v>419</c:v>
                </c:pt>
                <c:pt idx="1" c:formatCode="General">
                  <c:v>481.43</c:v>
                </c:pt>
                <c:pt idx="2" c:formatCode="General">
                  <c:v>602.69</c:v>
                </c:pt>
                <c:pt idx="3" c:formatCode="General">
                  <c:v>703.1</c:v>
                </c:pt>
                <c:pt idx="4" c:formatCode="General">
                  <c:v>733.5</c:v>
                </c:pt>
                <c:pt idx="5" c:formatCode="General">
                  <c:v>763.84</c:v>
                </c:pt>
                <c:pt idx="6" c:formatCode="General">
                  <c:v>779.05</c:v>
                </c:pt>
                <c:pt idx="7" c:formatCode="General">
                  <c:v>755.31</c:v>
                </c:pt>
                <c:pt idx="8" c:formatCode="General">
                  <c:v>838.24</c:v>
                </c:pt>
                <c:pt idx="9" c:formatCode="0.00_ ">
                  <c:v>815.4</c:v>
                </c:pt>
                <c:pt idx="10" c:formatCode="General">
                  <c:v>894.71</c:v>
                </c:pt>
              </c:numCache>
            </c:numRef>
          </c:val>
        </c:ser>
        <c:dLbls>
          <c:showLegendKey val="false"/>
          <c:showVal val="false"/>
          <c:showCatName val="false"/>
          <c:showSerName val="false"/>
          <c:showPercent val="false"/>
          <c:showBubbleSize val="false"/>
        </c:dLbls>
        <c:gapWidth val="100"/>
        <c:overlap val="0"/>
        <c:axId val="770433567"/>
        <c:axId val="340162911"/>
      </c:barChart>
      <c:lineChart>
        <c:grouping val="standard"/>
        <c:varyColors val="false"/>
        <c:ser>
          <c:idx val="0"/>
          <c:order val="1"/>
          <c:tx>
            <c:strRef>
              <c:f>[2024年公报图表.xls]金融存款!$A$4</c:f>
              <c:strCache>
                <c:ptCount val="1"/>
                <c:pt idx="0">
                  <c:v>增速</c:v>
                </c:pt>
              </c:strCache>
            </c:strRef>
          </c:tx>
          <c:spPr>
            <a:ln w="12700" cap="rnd" cmpd="sng" algn="ctr">
              <a:solidFill>
                <a:srgbClr val="000080">
                  <a:alpha val="100000"/>
                </a:srgbClr>
              </a:solidFill>
              <a:prstDash val="solid"/>
              <a:round/>
            </a:ln>
          </c:spPr>
          <c:marker>
            <c:symbol val="diamond"/>
            <c:size val="5"/>
            <c:spPr>
              <a:solidFill>
                <a:srgbClr val="000080">
                  <a:alpha val="100000"/>
                </a:srgbClr>
              </a:solidFill>
              <a:ln w="9525" cap="flat" cmpd="sng" algn="ctr">
                <a:solidFill>
                  <a:srgbClr val="000080">
                    <a:alpha val="100000"/>
                  </a:srgbClr>
                </a:solidFill>
                <a:prstDash val="solid"/>
                <a:round/>
              </a:ln>
            </c:spPr>
          </c:marker>
          <c:dLbls>
            <c:dLbl>
              <c:idx val="0"/>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2"/>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3"/>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4"/>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5"/>
              <c:layout/>
              <c:numFmt formatCode="General" sourceLinked="true"/>
              <c:spPr>
                <a:noFill/>
                <a:ln>
                  <a:noFill/>
                </a:ln>
                <a:effectLst/>
              </c:spPr>
              <c:txPr>
                <a:bodyPr rot="0" spcFirstLastPara="0" vertOverflow="ellipsis" vert="horz" wrap="square" lIns="38100" tIns="19050" rIns="38100" bIns="19050" anchor="ctr" anchorCtr="true"/>
                <a:lstStyle/>
                <a:p>
                  <a:pPr>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6"/>
              <c:layout/>
              <c:numFmt formatCode="General" sourceLinked="true"/>
              <c:spPr>
                <a:noFill/>
                <a:ln>
                  <a:noFill/>
                </a:ln>
                <a:effectLst/>
              </c:spPr>
              <c:txPr>
                <a:bodyPr rot="0" spcFirstLastPara="0" vertOverflow="ellipsis" vert="horz" wrap="square" lIns="38100" tIns="19050" rIns="38100" bIns="19050" anchor="ctr" anchorCtr="true"/>
                <a:lstStyle/>
                <a:p>
                  <a:pPr>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7"/>
              <c:layout>
                <c:manualLayout>
                  <c:x val="-0.00151745068285276"/>
                  <c:y val="0.10053936238952"/>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15:layout/>
                </c:ext>
              </c:extLst>
            </c:dLbl>
            <c:dLbl>
              <c:idx val="8"/>
              <c:layout/>
              <c:numFmt formatCode="General" sourceLinked="true"/>
              <c:spPr>
                <a:noFill/>
                <a:ln>
                  <a:noFill/>
                </a:ln>
                <a:effectLst/>
              </c:spPr>
              <c:txPr>
                <a:bodyPr rot="0" spcFirstLastPara="0" vertOverflow="ellipsis" vert="horz" wrap="square" lIns="38100" tIns="19050" rIns="38100" bIns="19050" anchor="ctr" anchorCtr="true"/>
                <a:lstStyle/>
                <a:p>
                  <a:pPr>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dLbl>
              <c:idx val="9"/>
              <c:layout>
                <c:manualLayout>
                  <c:x val="-0.00151745068285276"/>
                  <c:y val="0.100814941392488"/>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15:layout/>
                </c:ext>
              </c:extLst>
            </c:dLbl>
            <c:dLbl>
              <c:idx val="10"/>
              <c:layout/>
              <c:numFmt formatCode="General" sourceLinked="true"/>
              <c:spPr>
                <a:noFill/>
                <a:ln>
                  <a:noFill/>
                </a:ln>
                <a:effectLst/>
              </c:spPr>
              <c:txPr>
                <a:bodyPr rot="0" spcFirstLastPara="0" vertOverflow="ellipsis" vert="horz" wrap="square" lIns="38100" tIns="19050" rIns="38100" bIns="19050" anchor="ctr" anchorCtr="true"/>
                <a:lstStyle/>
                <a:p>
                  <a:pPr>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extLst>
            </c:dLbl>
            <c:numFmt formatCode="General" sourceLinked="true"/>
            <c:spPr>
              <a:noFill/>
              <a:ln>
                <a:noFill/>
              </a:ln>
              <a:effectLst/>
            </c:spPr>
            <c:txPr>
              <a:bodyPr rot="0" spcFirstLastPara="0" vertOverflow="ellipsis" vert="horz" wrap="square" lIns="38100" tIns="19050" rIns="38100" bIns="19050" anchor="ctr" anchorCtr="true"/>
              <a:lstStyle/>
              <a:p>
                <a:pPr>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[2024年公报图表.xls]金融存款!$E$2:$O$2</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[2024年公报图表.xls]金融存款!$E$4:$O$4</c:f>
              <c:numCache>
                <c:formatCode>0.0_ </c:formatCode>
                <c:ptCount val="11"/>
                <c:pt idx="0">
                  <c:v>13.2187635105923</c:v>
                </c:pt>
                <c:pt idx="1">
                  <c:v>14.8997613365155</c:v>
                </c:pt>
                <c:pt idx="2">
                  <c:v>25.1874623517438</c:v>
                </c:pt>
                <c:pt idx="3">
                  <c:v>16.660306293451</c:v>
                </c:pt>
                <c:pt idx="4">
                  <c:v>4.3</c:v>
                </c:pt>
                <c:pt idx="5">
                  <c:v>4.1</c:v>
                </c:pt>
                <c:pt idx="6">
                  <c:v>2</c:v>
                </c:pt>
                <c:pt idx="7">
                  <c:v>-3</c:v>
                </c:pt>
                <c:pt idx="8">
                  <c:v>11</c:v>
                </c:pt>
                <c:pt idx="9">
                  <c:v>-2.7</c:v>
                </c:pt>
                <c:pt idx="10">
                  <c:v>9.7</c:v>
                </c:pt>
              </c:numCache>
            </c:numRef>
          </c:val>
          <c:smooth val="false"/>
        </c:ser>
        <c:dLbls>
          <c:showLegendKey val="false"/>
          <c:showVal val="false"/>
          <c:showCatName val="false"/>
          <c:showSerName val="false"/>
          <c:showPercent val="false"/>
          <c:showBubbleSize val="false"/>
        </c:dLbls>
        <c:marker val="true"/>
        <c:smooth val="false"/>
        <c:axId val="63274010"/>
        <c:axId val="873933422"/>
      </c:lineChart>
      <c:catAx>
        <c:axId val="770433567"/>
        <c:scaling>
          <c:orientation val="minMax"/>
        </c:scaling>
        <c:delete val="false"/>
        <c:axPos val="b"/>
        <c:title>
          <c:tx>
            <c:rich>
              <a:bodyPr rot="0" spcFirstLastPara="0" vertOverflow="ellipsis" vert="horz" wrap="square" anchor="ctr" anchorCtr="true"/>
              <a:lstStyle/>
              <a:p>
                <a:pPr defTabSz="914400">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r>
                  <a:rPr sz="800" b="1">
                    <a:latin typeface="Times New Roman" charset="0"/>
                    <a:ea typeface="Times New Roman" charset="0"/>
                    <a:cs typeface="Times New Roman" charset="0"/>
                    <a:sym typeface="Times New Roman" charset="0"/>
                  </a:rPr>
                  <a:t>亿元</a:t>
                </a:r>
                <a:endParaRPr sz="800" b="1" i="0" u="none" strike="noStrike" baseline="0">
                  <a:solidFill>
                    <a:srgbClr val="000000">
                      <a:alpha val="100000"/>
                    </a:srgbClr>
                  </a:solidFill>
                  <a:latin typeface="Times New Roman" charset="0"/>
                  <a:ea typeface="Times New Roman" charset="0"/>
                  <a:cs typeface="Times New Roman" charset="0"/>
                  <a:sym typeface="Times New Roman" charset="0"/>
                </a:endParaRPr>
              </a:p>
            </c:rich>
          </c:tx>
          <c:layout>
            <c:manualLayout>
              <c:xMode val="edge"/>
              <c:yMode val="edge"/>
              <c:x val="0.0030358572401515"/>
              <c:y val="0.171860994853121"/>
            </c:manualLayout>
          </c:layout>
          <c:overlay val="false"/>
        </c:title>
        <c:majorTickMark val="in"/>
        <c:minorTickMark val="none"/>
        <c:tickLblPos val="low"/>
        <c:spPr>
          <a:ln w="3175" cap="flat" cmpd="sng" algn="ctr">
            <a:solidFill>
              <a:srgbClr val="000000">
                <a:alpha val="100000"/>
              </a:srgbClr>
            </a:solidFill>
            <a:prstDash val="solid"/>
            <a:round/>
          </a:ln>
        </c:spPr>
        <c:txPr>
          <a:bodyPr rot="0" spcFirstLastPara="0" vertOverflow="ellipsis" vert="horz" wrap="square" anchor="ctr" anchorCtr="true"/>
          <a:lstStyle/>
          <a:p>
            <a:pPr>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340162911"/>
        <c:crosses val="autoZero"/>
        <c:auto val="false"/>
        <c:lblAlgn val="ctr"/>
        <c:lblOffset val="100"/>
        <c:tickLblSkip val="1"/>
        <c:noMultiLvlLbl val="false"/>
      </c:catAx>
      <c:valAx>
        <c:axId val="340162911"/>
        <c:scaling>
          <c:orientation val="minMax"/>
          <c:max val="900"/>
          <c:min val="-100"/>
        </c:scaling>
        <c:delete val="false"/>
        <c:axPos val="l"/>
        <c:numFmt formatCode="0_ " sourceLinked="false"/>
        <c:majorTickMark val="in"/>
        <c:minorTickMark val="none"/>
        <c:tickLblPos val="nextTo"/>
        <c:spPr>
          <a:ln w="3175" cap="flat" cmpd="sng" algn="ctr">
            <a:solidFill>
              <a:srgbClr val="000000">
                <a:alpha val="100000"/>
              </a:srgbClr>
            </a:solidFill>
            <a:prstDash val="solid"/>
            <a:round/>
          </a:ln>
        </c:spPr>
        <c:txPr>
          <a:bodyPr rot="0" spcFirstLastPara="0" vertOverflow="ellipsis" vert="horz" wrap="square" anchor="ctr" anchorCtr="true"/>
          <a:lstStyle/>
          <a:p>
            <a:pPr>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770433567"/>
        <c:crosses val="autoZero"/>
        <c:crossBetween val="between"/>
      </c:valAx>
      <c:catAx>
        <c:axId val="63274010"/>
        <c:scaling>
          <c:orientation val="minMax"/>
        </c:scaling>
        <c:delete val="true"/>
        <c:axPos val="b"/>
        <c:title>
          <c:tx>
            <c:rich>
              <a:bodyPr rot="0" spcFirstLastPara="0" vertOverflow="ellipsis" vert="horz" wrap="square" anchor="ctr" anchorCtr="true"/>
              <a:lstStyle/>
              <a:p>
                <a:pPr defTabSz="914400">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r>
                  <a:rPr sz="800" b="1">
                    <a:latin typeface="Times New Roman" charset="0"/>
                    <a:ea typeface="Times New Roman" charset="0"/>
                    <a:cs typeface="Times New Roman" charset="0"/>
                    <a:sym typeface="Times New Roman" charset="0"/>
                  </a:rPr>
                  <a:t>%</a:t>
                </a:r>
                <a:endParaRPr sz="800" b="1" i="0" u="none" strike="noStrike" baseline="0">
                  <a:solidFill>
                    <a:srgbClr val="000000">
                      <a:alpha val="100000"/>
                    </a:srgbClr>
                  </a:solidFill>
                  <a:latin typeface="Times New Roman" charset="0"/>
                  <a:ea typeface="Times New Roman" charset="0"/>
                  <a:cs typeface="Times New Roman" charset="0"/>
                  <a:sym typeface="Times New Roman" charset="0"/>
                </a:endParaRPr>
              </a:p>
            </c:rich>
          </c:tx>
          <c:layout>
            <c:manualLayout>
              <c:xMode val="edge"/>
              <c:yMode val="edge"/>
              <c:x val="0.963627604480308"/>
              <c:y val="0.183130324553827"/>
            </c:manualLayout>
          </c:layout>
          <c:overlay val="false"/>
        </c:title>
        <c:majorTickMark val="out"/>
        <c:minorTickMark val="none"/>
        <c:tickLblPos val="none"/>
        <c:txPr>
          <a:bodyPr rot="-60000000" spcFirstLastPara="0" vertOverflow="ellipsis" vert="horz" wrap="square" anchor="ctr" anchorCtr="true"/>
          <a:lstStyle/>
          <a:p>
            <a:pPr>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873933422"/>
        <c:crosses val="autoZero"/>
        <c:auto val="false"/>
        <c:lblAlgn val="ctr"/>
        <c:lblOffset val="100"/>
        <c:noMultiLvlLbl val="false"/>
      </c:catAx>
      <c:valAx>
        <c:axId val="873933422"/>
        <c:scaling>
          <c:orientation val="minMax"/>
          <c:max val="45"/>
          <c:min val="-5"/>
        </c:scaling>
        <c:delete val="false"/>
        <c:axPos val="r"/>
        <c:numFmt formatCode="0_ " sourceLinked="false"/>
        <c:majorTickMark val="in"/>
        <c:minorTickMark val="none"/>
        <c:tickLblPos val="nextTo"/>
        <c:spPr>
          <a:ln w="3175" cap="flat" cmpd="sng" algn="ctr">
            <a:solidFill>
              <a:srgbClr val="000000">
                <a:alpha val="100000"/>
              </a:srgbClr>
            </a:solidFill>
            <a:prstDash val="solid"/>
            <a:round/>
          </a:ln>
        </c:spPr>
        <c:txPr>
          <a:bodyPr rot="0" spcFirstLastPara="0" vertOverflow="ellipsis" vert="horz" wrap="square" anchor="ctr" anchorCtr="true"/>
          <a:lstStyle/>
          <a:p>
            <a:pPr>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63274010"/>
        <c:crosses val="max"/>
        <c:crossBetween val="between"/>
      </c:valAx>
      <c:spPr>
        <a:solidFill>
          <a:srgbClr val="FFFFFF">
            <a:alpha val="100000"/>
          </a:srgbClr>
        </a:solidFill>
        <a:ln w="12700">
          <a:solidFill>
            <a:srgbClr val="FFFFFF">
              <a:alpha val="100000"/>
            </a:srgbClr>
          </a:solidFill>
          <a:prstDash val="solid"/>
        </a:ln>
      </c:spPr>
    </c:plotArea>
    <c:legend>
      <c:legendPos val="r"/>
      <c:legendEntry>
        <c:idx val="0"/>
        <c:txPr>
          <a:bodyPr rot="0" spcFirstLastPara="0" vertOverflow="ellipsis" vert="horz" wrap="square" anchor="ctr" anchorCtr="true"/>
          <a:lstStyle/>
          <a:p>
            <a:pPr>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legendEntry>
      <c:legendEntry>
        <c:idx val="1"/>
        <c:txPr>
          <a:bodyPr rot="0" spcFirstLastPara="0" vertOverflow="ellipsis" vert="horz" wrap="square" anchor="ctr" anchorCtr="true"/>
          <a:lstStyle/>
          <a:p>
            <a:pPr>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legendEntry>
      <c:layout>
        <c:manualLayout>
          <c:xMode val="edge"/>
          <c:yMode val="edge"/>
          <c:x val="0.297482837528604"/>
          <c:y val="0.916328371673433"/>
          <c:w val="0.374804287606889"/>
          <c:h val="0.0606675687866486"/>
        </c:manualLayout>
      </c:layout>
      <c:overlay val="false"/>
      <c:spPr>
        <a:solidFill>
          <a:srgbClr val="FFFFFF">
            <a:alpha val="100000"/>
          </a:srgbClr>
        </a:solidFill>
        <a:ln w="3175">
          <a:solidFill>
            <a:srgbClr val="FFFFFF">
              <a:alpha val="100000"/>
            </a:srgbClr>
          </a:solidFill>
          <a:prstDash val="solid"/>
        </a:ln>
      </c:spPr>
      <c:txPr>
        <a:bodyPr rot="0" spcFirstLastPara="0" vertOverflow="ellipsis" vert="horz" wrap="square" anchor="ctr" anchorCtr="true"/>
        <a:lstStyle/>
        <a:p>
          <a:pPr>
            <a:defRPr lang="zh-CN" sz="800" b="1" i="0" u="none" strike="noStrike" kern="1200" baseline="0">
              <a:solidFill>
                <a:srgbClr val="000000"/>
              </a:solidFill>
              <a:latin typeface="Times New Roman" charset="0"/>
              <a:ea typeface="Times New Roman" charset="0"/>
              <a:cs typeface="Times New Roman" charset="0"/>
              <a:sym typeface="Times New Roman" charset="0"/>
            </a:defRPr>
          </a:pPr>
        </a:p>
      </c:txPr>
    </c:legend>
    <c:plotVisOnly val="true"/>
    <c:dispBlanksAs val="gap"/>
    <c:showDLblsOverMax val="false"/>
  </c:chart>
  <c:spPr>
    <a:solidFill>
      <a:srgbClr val="FFFFFF">
        <a:alpha val="100000"/>
      </a:srgbClr>
    </a:solidFill>
    <a:ln w="12700" cap="flat" cmpd="sng" algn="ctr">
      <a:solidFill>
        <a:srgbClr val="FFFFFF">
          <a:alpha val="100000"/>
        </a:srgbClr>
      </a:solidFill>
      <a:prstDash val="solid"/>
      <a:round/>
    </a:ln>
  </c:spPr>
  <c:txPr>
    <a:bodyPr rot="0" wrap="square" anchor="ctr" anchorCtr="true"/>
    <a:lstStyle/>
    <a:p>
      <a:pPr>
        <a:defRPr lang="zh-CN" sz="800" b="1" i="0" u="none" strike="noStrike" baseline="0">
          <a:solidFill>
            <a:srgbClr val="000000"/>
          </a:solidFill>
          <a:latin typeface="Times New Roman" charset="0"/>
          <a:ea typeface="Times New Roman" charset="0"/>
          <a:cs typeface="Times New Roman" charset="0"/>
          <a:sym typeface="Times New Roman" charset="0"/>
        </a:defRPr>
      </a:pPr>
    </a:p>
  </c:txPr>
  <c:externalData r:id="rId1">
    <c:autoUpdate val="false"/>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true"/>
          <a:lstStyle/>
          <a:p>
            <a:pPr defTabSz="914400">
              <a:defRPr lang="zh-CN" sz="1400" b="0" i="0" u="none" strike="noStrike" kern="1200" baseline="0">
                <a:solidFill>
                  <a:srgbClr val="000000">
                    <a:alpha val="100000"/>
                  </a:srgbClr>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defRPr>
            </a:pP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201</a:t>
            </a:r>
            <a:r>
              <a:rPr lang="en-US" altLang="zh-CN"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—202</a:t>
            </a:r>
            <a:r>
              <a:rPr lang="en-US" altLang="zh-CN"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000000"/>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年城镇居民人均可支配收入及增速</a:t>
            </a:r>
            <a:endParaRPr sz="1400" b="0" i="0" u="none" strike="noStrike" baseline="0">
              <a:solidFill>
                <a:srgbClr val="000000"/>
              </a:solidFill>
              <a:latin typeface="宋体" charset="-122"/>
              <a:ea typeface="宋体" charset="-122"/>
              <a:cs typeface="宋体" charset="-122"/>
              <a:sym typeface="方正小标宋简体" panose="02000000000000000000" charset="-122"/>
            </a:endParaRPr>
          </a:p>
        </c:rich>
      </c:tx>
      <c:layout>
        <c:manualLayout>
          <c:xMode val="edge"/>
          <c:yMode val="edge"/>
          <c:x val="0.155829585705001"/>
          <c:y val="0.0257307079827369"/>
        </c:manualLayout>
      </c:layout>
      <c:overlay val="false"/>
      <c:spPr>
        <a:noFill/>
        <a:ln w="3175">
          <a:noFill/>
        </a:ln>
      </c:spPr>
    </c:title>
    <c:autoTitleDeleted val="false"/>
    <c:plotArea>
      <c:layout>
        <c:manualLayout>
          <c:layoutTarget val="inner"/>
          <c:xMode val="edge"/>
          <c:yMode val="edge"/>
          <c:x val="0.0710392279510321"/>
          <c:y val="0.22247191011236"/>
          <c:w val="0.89196675900277"/>
          <c:h val="0.590074906367041"/>
        </c:manualLayout>
      </c:layout>
      <c:barChart>
        <c:barDir val="col"/>
        <c:grouping val="clustered"/>
        <c:varyColors val="false"/>
        <c:ser>
          <c:idx val="1"/>
          <c:order val="0"/>
          <c:tx>
            <c:strRef>
              <c:f>[2024年公报图表.xls]城镇可支配收入!$A$2</c:f>
              <c:strCache>
                <c:ptCount val="1"/>
                <c:pt idx="0">
                  <c:v>人均可支配收入</c:v>
                </c:pt>
              </c:strCache>
            </c:strRef>
          </c:tx>
          <c:spPr>
            <a:gradFill>
              <a:gsLst>
                <a:gs pos="0">
                  <a:srgbClr val="99CC00">
                    <a:alpha val="100000"/>
                  </a:srgbClr>
                </a:gs>
                <a:gs pos="100000">
                  <a:srgbClr val="FBFDF5">
                    <a:alpha val="100000"/>
                  </a:srgbClr>
                </a:gs>
              </a:gsLst>
              <a:lin ang="5400000" scaled="true"/>
            </a:gradFill>
            <a:ln w="3175">
              <a:noFill/>
            </a:ln>
          </c:spPr>
          <c:invertIfNegative val="true"/>
          <c:dLbls>
            <c:dLbl>
              <c:idx val="7"/>
              <c:layout>
                <c:manualLayout>
                  <c:x val="-0.00134036279152891"/>
                  <c:y val="-0.00842696629213483"/>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15:layout/>
                </c:ext>
              </c:extLst>
            </c:dLbl>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[2024年公报图表.xls]城镇可支配收入!$F$1:$P$1</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[2024年公报图表.xls]城镇可支配收入!$F$2:$P$2</c:f>
              <c:numCache>
                <c:formatCode>0_ </c:formatCode>
                <c:ptCount val="11"/>
                <c:pt idx="0">
                  <c:v>20151</c:v>
                </c:pt>
                <c:pt idx="1">
                  <c:v>22549</c:v>
                </c:pt>
                <c:pt idx="2">
                  <c:v>24466</c:v>
                </c:pt>
                <c:pt idx="3">
                  <c:v>26496</c:v>
                </c:pt>
                <c:pt idx="4">
                  <c:v>28610</c:v>
                </c:pt>
                <c:pt idx="5">
                  <c:v>30555</c:v>
                </c:pt>
                <c:pt idx="6">
                  <c:v>30586</c:v>
                </c:pt>
                <c:pt idx="7">
                  <c:v>32879</c:v>
                </c:pt>
                <c:pt idx="8">
                  <c:v>33573</c:v>
                </c:pt>
                <c:pt idx="9">
                  <c:v>35126</c:v>
                </c:pt>
                <c:pt idx="10">
                  <c:v>36742</c:v>
                </c:pt>
              </c:numCache>
            </c:numRef>
          </c:val>
        </c:ser>
        <c:dLbls>
          <c:showLegendKey val="false"/>
          <c:showVal val="false"/>
          <c:showCatName val="false"/>
          <c:showSerName val="false"/>
          <c:showPercent val="false"/>
          <c:showBubbleSize val="false"/>
        </c:dLbls>
        <c:gapWidth val="100"/>
        <c:overlap val="0"/>
        <c:axId val="887354403"/>
        <c:axId val="884296764"/>
      </c:barChart>
      <c:lineChart>
        <c:grouping val="standard"/>
        <c:varyColors val="false"/>
        <c:ser>
          <c:idx val="0"/>
          <c:order val="1"/>
          <c:tx>
            <c:strRef>
              <c:f>[2024年公报图表.xls]城镇可支配收入!$A$3</c:f>
              <c:strCache>
                <c:ptCount val="1"/>
                <c:pt idx="0">
                  <c:v>增速</c:v>
                </c:pt>
              </c:strCache>
            </c:strRef>
          </c:tx>
          <c:spPr>
            <a:ln w="12700" cap="sq" cmpd="sng" algn="ctr">
              <a:solidFill>
                <a:srgbClr val="000080">
                  <a:alpha val="100000"/>
                </a:srgbClr>
              </a:solidFill>
              <a:prstDash val="solid"/>
              <a:bevel/>
            </a:ln>
          </c:spPr>
          <c:marker>
            <c:symbol val="circle"/>
            <c:size val="5"/>
            <c:spPr>
              <a:solidFill>
                <a:srgbClr val="000080">
                  <a:alpha val="100000"/>
                </a:srgbClr>
              </a:solidFill>
              <a:ln w="9525" cap="flat" cmpd="sng" algn="ctr">
                <a:solidFill>
                  <a:srgbClr val="000080">
                    <a:alpha val="100000"/>
                  </a:srgbClr>
                </a:solidFill>
                <a:prstDash val="solid"/>
                <a:round/>
              </a:ln>
            </c:spPr>
          </c:marker>
          <c:dLbls>
            <c:dLbl>
              <c:idx val="0"/>
              <c:layout>
                <c:manualLayout>
                  <c:x val="-0.0333309006423861"/>
                  <c:y val="0.0463782644189394"/>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1"/>
              <c:layout>
                <c:manualLayout>
                  <c:x val="-0.0336072946645619"/>
                  <c:y val="-0.0370675658647879"/>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2"/>
              <c:layout>
                <c:manualLayout>
                  <c:x val="-0.0334591525365728"/>
                  <c:y val="-0.0404364120279143"/>
                </c:manualLayout>
              </c:layout>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numFmt formatCode="General" sourceLinked="true"/>
            <c:spPr>
              <a:noFill/>
              <a:ln>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[2024年公报图表.xls]城镇可支配收入!$F$1:$P$1</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[2024年公报图表.xls]城镇可支配收入!$F$3:$P$3</c:f>
              <c:numCache>
                <c:formatCode>0.0_ </c:formatCode>
                <c:ptCount val="11"/>
                <c:pt idx="0">
                  <c:v>9.0530068724338</c:v>
                </c:pt>
                <c:pt idx="1">
                  <c:v>11.9</c:v>
                </c:pt>
                <c:pt idx="2">
                  <c:v>8.5</c:v>
                </c:pt>
                <c:pt idx="3">
                  <c:v>8.29722880732444</c:v>
                </c:pt>
                <c:pt idx="4">
                  <c:v>8</c:v>
                </c:pt>
                <c:pt idx="5">
                  <c:v>6.8</c:v>
                </c:pt>
                <c:pt idx="6" c:formatCode="General">
                  <c:v>0.1</c:v>
                </c:pt>
                <c:pt idx="7">
                  <c:v>7.5</c:v>
                </c:pt>
                <c:pt idx="8">
                  <c:v>2.1</c:v>
                </c:pt>
                <c:pt idx="9">
                  <c:v>4.6</c:v>
                </c:pt>
                <c:pt idx="10">
                  <c:v>4.6</c:v>
                </c:pt>
              </c:numCache>
            </c:numRef>
          </c:val>
          <c:smooth val="false"/>
        </c:ser>
        <c:dLbls>
          <c:showLegendKey val="false"/>
          <c:showVal val="false"/>
          <c:showCatName val="false"/>
          <c:showSerName val="false"/>
          <c:showPercent val="false"/>
          <c:showBubbleSize val="false"/>
        </c:dLbls>
        <c:marker val="true"/>
        <c:smooth val="false"/>
        <c:axId val="410915441"/>
        <c:axId val="450591787"/>
      </c:lineChart>
      <c:catAx>
        <c:axId val="887354403"/>
        <c:scaling>
          <c:orientation val="minMax"/>
        </c:scaling>
        <c:delete val="false"/>
        <c:axPos val="b"/>
        <c:title>
          <c:tx>
            <c:rich>
              <a:bodyPr rot="0" spcFirstLastPara="0" vertOverflow="ellipsis" vert="horz" wrap="square" anchor="ctr" anchorCtr="true"/>
              <a:lstStyle/>
              <a:p>
                <a:pPr defTabSz="914400">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r>
                  <a:rPr sz="800" b="1">
                    <a:latin typeface="Times New Roman" charset="0"/>
                    <a:ea typeface="Times New Roman" charset="0"/>
                    <a:cs typeface="Times New Roman" charset="0"/>
                    <a:sym typeface="Times New Roman" charset="0"/>
                  </a:rPr>
                  <a:t>元</a:t>
                </a:r>
                <a:endParaRPr sz="800" b="1" i="0" u="none" strike="noStrike" baseline="0">
                  <a:solidFill>
                    <a:srgbClr val="000000">
                      <a:alpha val="100000"/>
                    </a:srgbClr>
                  </a:solidFill>
                  <a:latin typeface="Times New Roman" charset="0"/>
                  <a:ea typeface="Times New Roman" charset="0"/>
                  <a:cs typeface="Times New Roman" charset="0"/>
                  <a:sym typeface="Times New Roman" charset="0"/>
                </a:endParaRPr>
              </a:p>
            </c:rich>
          </c:tx>
          <c:layout>
            <c:manualLayout>
              <c:xMode val="edge"/>
              <c:yMode val="edge"/>
              <c:x val="0.0199443800118292"/>
              <c:y val="0.13188769943083"/>
            </c:manualLayout>
          </c:layout>
          <c:overlay val="false"/>
        </c:title>
        <c:majorTickMark val="in"/>
        <c:minorTickMark val="none"/>
        <c:tickLblPos val="nextTo"/>
        <c:spPr>
          <a:ln w="3175" cap="flat" cmpd="sng" algn="ctr">
            <a:solidFill>
              <a:srgbClr val="000000">
                <a:alpha val="100000"/>
              </a:srgbClr>
            </a:solidFill>
            <a:prstDash val="solid"/>
            <a:round/>
          </a:ln>
        </c:spPr>
        <c:txPr>
          <a:bodyPr rot="0" spcFirstLastPara="0" vertOverflow="ellipsis" vert="horz" wrap="square"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884296764"/>
        <c:crosses val="autoZero"/>
        <c:auto val="false"/>
        <c:lblAlgn val="ctr"/>
        <c:lblOffset val="100"/>
        <c:tickLblSkip val="1"/>
        <c:noMultiLvlLbl val="false"/>
      </c:catAx>
      <c:valAx>
        <c:axId val="884296764"/>
        <c:scaling>
          <c:orientation val="minMax"/>
        </c:scaling>
        <c:delete val="false"/>
        <c:axPos val="l"/>
        <c:numFmt formatCode="0_ " sourceLinked="false"/>
        <c:majorTickMark val="in"/>
        <c:minorTickMark val="none"/>
        <c:tickLblPos val="nextTo"/>
        <c:spPr>
          <a:solidFill>
            <a:srgbClr val="FFFFFF">
              <a:alpha val="100000"/>
            </a:srgbClr>
          </a:solidFill>
          <a:ln w="9525" cap="flat" cmpd="sng" algn="ctr">
            <a:solidFill>
              <a:schemeClr val="dk1">
                <a:shade val="95000"/>
                <a:satMod val="105000"/>
              </a:schemeClr>
            </a:solidFill>
            <a:prstDash val="solid"/>
            <a:round/>
          </a:ln>
        </c:spPr>
        <c:txPr>
          <a:bodyPr rot="0" spcFirstLastPara="0" vertOverflow="ellipsis" vert="horz" wrap="square" anchor="ctr" anchorCtr="true"/>
          <a:lstStyle/>
          <a:p>
            <a:pPr>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887354403"/>
        <c:crosses val="autoZero"/>
        <c:crossBetween val="between"/>
      </c:valAx>
      <c:catAx>
        <c:axId val="410915441"/>
        <c:scaling>
          <c:orientation val="minMax"/>
        </c:scaling>
        <c:delete val="true"/>
        <c:axPos val="b"/>
        <c:title>
          <c:tx>
            <c:rich>
              <a:bodyPr rot="0" spcFirstLastPara="0" vertOverflow="ellipsis" vert="horz" wrap="square" anchor="ctr" anchorCtr="true"/>
              <a:lstStyle/>
              <a:p>
                <a:pPr defTabSz="914400">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r>
                  <a:rPr sz="900" b="1">
                    <a:latin typeface="Times New Roman" charset="0"/>
                    <a:ea typeface="Times New Roman" charset="0"/>
                    <a:cs typeface="Times New Roman" charset="0"/>
                    <a:sym typeface="Times New Roman" charset="0"/>
                  </a:rPr>
                  <a:t>%</a:t>
                </a:r>
                <a:endParaRPr sz="900" b="1" i="0" u="none" strike="noStrike" baseline="0">
                  <a:solidFill>
                    <a:srgbClr val="000000">
                      <a:alpha val="100000"/>
                    </a:srgbClr>
                  </a:solidFill>
                  <a:latin typeface="Times New Roman" charset="0"/>
                  <a:ea typeface="Times New Roman" charset="0"/>
                  <a:cs typeface="Times New Roman" charset="0"/>
                  <a:sym typeface="Times New Roman" charset="0"/>
                </a:endParaRPr>
              </a:p>
            </c:rich>
          </c:tx>
          <c:layout>
            <c:manualLayout>
              <c:xMode val="edge"/>
              <c:yMode val="edge"/>
              <c:x val="0.964078277187025"/>
              <c:y val="0.135541006812351"/>
            </c:manualLayout>
          </c:layout>
          <c:overlay val="false"/>
          <c:spPr>
            <a:noFill/>
            <a:ln w="3175">
              <a:noFill/>
            </a:ln>
          </c:spPr>
        </c:title>
        <c:majorTickMark val="out"/>
        <c:minorTickMark val="none"/>
        <c:tickLblPos val="none"/>
        <c:txPr>
          <a:bodyPr rot="-60000000" spcFirstLastPara="0" vertOverflow="ellipsis" vert="horz" wrap="square"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450591787"/>
        <c:crosses val="autoZero"/>
        <c:auto val="false"/>
        <c:lblAlgn val="ctr"/>
        <c:lblOffset val="100"/>
        <c:noMultiLvlLbl val="false"/>
      </c:catAx>
      <c:valAx>
        <c:axId val="450591787"/>
        <c:scaling>
          <c:orientation val="minMax"/>
          <c:max val="30"/>
        </c:scaling>
        <c:delete val="false"/>
        <c:axPos val="r"/>
        <c:numFmt formatCode="0_);[Red]\(0\)" sourceLinked="false"/>
        <c:majorTickMark val="in"/>
        <c:minorTickMark val="none"/>
        <c:tickLblPos val="nextTo"/>
        <c:spPr>
          <a:ln w="3175" cap="flat" cmpd="sng" algn="ctr">
            <a:solidFill>
              <a:srgbClr val="000000">
                <a:alpha val="100000"/>
              </a:srgbClr>
            </a:solidFill>
            <a:prstDash val="solid"/>
            <a:round/>
          </a:ln>
        </c:spPr>
        <c:txPr>
          <a:bodyPr rot="0" spcFirstLastPara="0" vertOverflow="ellipsis" vert="horz" wrap="square"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410915441"/>
        <c:crosses val="max"/>
        <c:crossBetween val="between"/>
      </c:valAx>
      <c:spPr>
        <a:noFill/>
        <a:ln w="3175">
          <a:noFill/>
        </a:ln>
      </c:spPr>
    </c:plotArea>
    <c:legend>
      <c:legendPos val="r"/>
      <c:legendEntry>
        <c:idx val="0"/>
        <c:txPr>
          <a:bodyPr rot="0" spcFirstLastPara="0" vertOverflow="ellipsis" vert="horz" wrap="square"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legendEntry>
      <c:legendEntry>
        <c:idx val="1"/>
        <c:txPr>
          <a:bodyPr rot="0" spcFirstLastPara="0" vertOverflow="ellipsis" vert="horz" wrap="square"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legendEntry>
      <c:layout>
        <c:manualLayout>
          <c:xMode val="edge"/>
          <c:yMode val="edge"/>
          <c:x val="0.276874997857046"/>
          <c:y val="0.896067415730337"/>
          <c:w val="0.46"/>
          <c:h val="0.066"/>
        </c:manualLayout>
      </c:layout>
      <c:overlay val="false"/>
      <c:spPr>
        <a:solidFill>
          <a:srgbClr val="FFFFFF">
            <a:alpha val="100000"/>
          </a:srgbClr>
        </a:solidFill>
        <a:ln w="3175">
          <a:noFill/>
        </a:ln>
      </c:spPr>
      <c:txPr>
        <a:bodyPr rot="0" spcFirstLastPara="0" vertOverflow="ellipsis" vert="horz" wrap="square" anchor="ctr" anchorCtr="true"/>
        <a:lstStyle/>
        <a:p>
          <a:pPr>
            <a:defRPr lang="zh-CN" sz="900" b="1" i="0" u="none" strike="noStrike" kern="1200" baseline="0">
              <a:solidFill>
                <a:srgbClr val="000000"/>
              </a:solidFill>
              <a:latin typeface="Times New Roman" charset="0"/>
              <a:ea typeface="Times New Roman" charset="0"/>
              <a:cs typeface="Times New Roman" charset="0"/>
              <a:sym typeface="Times New Roman" charset="0"/>
            </a:defRPr>
          </a:pPr>
        </a:p>
      </c:txPr>
    </c:legend>
    <c:plotVisOnly val="true"/>
    <c:dispBlanksAs val="gap"/>
    <c:showDLblsOverMax val="false"/>
  </c:chart>
  <c:spPr>
    <a:solidFill>
      <a:srgbClr val="FFFFFF">
        <a:alpha val="100000"/>
      </a:srgbClr>
    </a:solidFill>
    <a:ln w="3175" cap="flat" cmpd="sng" algn="ctr">
      <a:noFill/>
      <a:prstDash val="solid"/>
      <a:round/>
    </a:ln>
  </c:spPr>
  <c:txPr>
    <a:bodyPr rot="0" wrap="square" anchor="ctr" anchorCtr="true"/>
    <a:lstStyle/>
    <a:p>
      <a:pPr>
        <a:defRPr lang="zh-CN" sz="900" b="1" i="0" u="none" strike="noStrike" baseline="0">
          <a:solidFill>
            <a:srgbClr val="000000"/>
          </a:solidFill>
          <a:latin typeface="Times New Roman" charset="0"/>
          <a:ea typeface="Times New Roman" charset="0"/>
          <a:cs typeface="Times New Roman" charset="0"/>
          <a:sym typeface="Times New Roman" charset="0"/>
        </a:defRPr>
      </a:pPr>
    </a:p>
  </c:txPr>
  <c:externalData r:id="rId1">
    <c:autoUpdate val="false"/>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true"/>
          <a:lstStyle/>
          <a:p>
            <a:pPr defTabSz="914400">
              <a:defRPr lang="zh-CN" sz="1400" b="0" i="0" u="none" strike="noStrike" kern="1200" baseline="0">
                <a:solidFill>
                  <a:srgbClr val="000000">
                    <a:alpha val="100000"/>
                  </a:srgbClr>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defRPr>
            </a:pPr>
            <a:r>
              <a:rPr sz="1400" b="0" i="0" u="none" strike="noStrike" baseline="0">
                <a:solidFill>
                  <a:srgbClr val="333333"/>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201</a:t>
            </a:r>
            <a:r>
              <a:rPr lang="en-US" altLang="zh-CN" sz="1400" b="0" i="0" u="none" strike="noStrike" baseline="0">
                <a:solidFill>
                  <a:srgbClr val="333333"/>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333333"/>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—202</a:t>
            </a:r>
            <a:r>
              <a:rPr lang="en-US" altLang="zh-CN" sz="1400" b="0" i="0" u="none" strike="noStrike" baseline="0">
                <a:solidFill>
                  <a:srgbClr val="333333"/>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4</a:t>
            </a:r>
            <a:r>
              <a:rPr sz="1400" b="0" i="0" u="none" strike="noStrike" baseline="0">
                <a:solidFill>
                  <a:srgbClr val="333333"/>
                </a:solidFill>
                <a:latin typeface="方正小标宋简体" panose="02000000000000000000" charset="-122"/>
                <a:ea typeface="方正小标宋简体" panose="02000000000000000000" charset="-122"/>
                <a:cs typeface="方正小标宋简体" panose="02000000000000000000" charset="-122"/>
                <a:sym typeface="方正小标宋简体" panose="02000000000000000000" charset="-122"/>
              </a:rPr>
              <a:t>年农村居民人均可支配收入及增速</a:t>
            </a:r>
            <a:endParaRPr sz="1400" b="0" i="0" u="none" strike="noStrike" baseline="0">
              <a:solidFill>
                <a:srgbClr val="000000"/>
              </a:solidFill>
              <a:latin typeface="宋体" charset="-122"/>
              <a:ea typeface="宋体" charset="-122"/>
              <a:cs typeface="宋体" charset="-122"/>
              <a:sym typeface="方正小标宋简体" panose="02000000000000000000" charset="-122"/>
            </a:endParaRPr>
          </a:p>
        </c:rich>
      </c:tx>
      <c:layout>
        <c:manualLayout>
          <c:xMode val="edge"/>
          <c:yMode val="edge"/>
          <c:x val="0.157630011997828"/>
          <c:y val="0.0275338049346299"/>
        </c:manualLayout>
      </c:layout>
      <c:overlay val="false"/>
    </c:title>
    <c:autoTitleDeleted val="false"/>
    <c:plotArea>
      <c:layout>
        <c:manualLayout>
          <c:layoutTarget val="inner"/>
          <c:xMode val="edge"/>
          <c:yMode val="edge"/>
          <c:x val="0.0695170420330001"/>
          <c:y val="0.209296781883194"/>
          <c:w val="0.88524629651933"/>
          <c:h val="0.640858164481526"/>
        </c:manualLayout>
      </c:layout>
      <c:barChart>
        <c:barDir val="col"/>
        <c:grouping val="clustered"/>
        <c:varyColors val="false"/>
        <c:ser>
          <c:idx val="0"/>
          <c:order val="0"/>
          <c:tx>
            <c:strRef>
              <c:f>[2024年公报图表.xls]农村可支配收入!$A$2</c:f>
              <c:strCache>
                <c:ptCount val="1"/>
                <c:pt idx="0">
                  <c:v>人均可支配收入</c:v>
                </c:pt>
              </c:strCache>
            </c:strRef>
          </c:tx>
          <c:spPr>
            <a:solidFill>
              <a:schemeClr val="tx2">
                <a:lumMod val="40000"/>
                <a:lumOff val="60000"/>
                <a:alpha val="100000"/>
              </a:schemeClr>
            </a:solidFill>
            <a:ln w="3175">
              <a:noFill/>
            </a:ln>
          </c:spPr>
          <c:invertIfNegative val="false"/>
          <c:dLbls>
            <c:dLbl>
              <c:idx val="0"/>
              <c:layout>
                <c:manualLayout>
                  <c:x val="0"/>
                  <c:y val="0.161625490648811"/>
                </c:manualLayout>
              </c:layout>
              <c:dLblPos val="outEnd"/>
              <c:showLegendKey val="false"/>
              <c:showVal val="true"/>
              <c:showCatName val="false"/>
              <c:showSerName val="false"/>
              <c:showPercent val="false"/>
              <c:showBubbleSize val="false"/>
              <c:extLst>
                <c:ext xmlns:c15="http://schemas.microsoft.com/office/drawing/2012/chart" uri="{CE6537A1-D6FC-4f65-9D91-7224C49458BB}">
                  <c15:layout/>
                </c:ext>
              </c:extLst>
            </c:dLbl>
            <c:dLbl>
              <c:idx val="1"/>
              <c:layout>
                <c:manualLayout>
                  <c:x val="0"/>
                  <c:y val="0.164346688350583"/>
                </c:manualLayout>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extLst>
                <c:ext xmlns:c15="http://schemas.microsoft.com/office/drawing/2012/chart" uri="{CE6537A1-D6FC-4f65-9D91-7224C49458BB}">
                  <c15:layout/>
                </c:ext>
              </c:extLst>
            </c:dLbl>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outEnd"/>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[2024年公报图表.xls]农村可支配收入!$C$1:$M$1</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[2024年公报图表.xls]农村可支配收入!$C$2:$M$2</c:f>
              <c:numCache>
                <c:formatCode>General</c:formatCode>
                <c:ptCount val="11"/>
                <c:pt idx="0">
                  <c:v>5692</c:v>
                </c:pt>
                <c:pt idx="1">
                  <c:v>6346</c:v>
                </c:pt>
                <c:pt idx="2">
                  <c:v>6883</c:v>
                </c:pt>
                <c:pt idx="3">
                  <c:v>7441</c:v>
                </c:pt>
                <c:pt idx="4">
                  <c:v>8088</c:v>
                </c:pt>
                <c:pt idx="5">
                  <c:v>8897</c:v>
                </c:pt>
                <c:pt idx="6">
                  <c:v>9733</c:v>
                </c:pt>
                <c:pt idx="7">
                  <c:v>10609</c:v>
                </c:pt>
                <c:pt idx="8">
                  <c:v>11456</c:v>
                </c:pt>
                <c:pt idx="9">
                  <c:v>12433</c:v>
                </c:pt>
                <c:pt idx="10">
                  <c:v>13428</c:v>
                </c:pt>
              </c:numCache>
            </c:numRef>
          </c:val>
        </c:ser>
        <c:dLbls>
          <c:showLegendKey val="false"/>
          <c:showVal val="false"/>
          <c:showCatName val="false"/>
          <c:showSerName val="false"/>
          <c:showPercent val="false"/>
          <c:showBubbleSize val="false"/>
        </c:dLbls>
        <c:gapWidth val="100"/>
        <c:overlap val="-27"/>
        <c:axId val="75393134"/>
        <c:axId val="512725132"/>
      </c:barChart>
      <c:lineChart>
        <c:grouping val="standard"/>
        <c:varyColors val="false"/>
        <c:ser>
          <c:idx val="1"/>
          <c:order val="1"/>
          <c:tx>
            <c:strRef>
              <c:f>[2024年公报图表.xls]农村可支配收入!$A$3</c:f>
              <c:strCache>
                <c:ptCount val="1"/>
                <c:pt idx="0">
                  <c:v>增速</c:v>
                </c:pt>
              </c:strCache>
            </c:strRef>
          </c:tx>
          <c:spPr>
            <a:ln w="12700" cap="sq" cmpd="sng" algn="ctr">
              <a:solidFill>
                <a:schemeClr val="accent2">
                  <a:lumMod val="75000"/>
                </a:schemeClr>
              </a:solidFill>
              <a:prstDash val="solid"/>
              <a:round/>
              <a:headEnd type="none"/>
            </a:ln>
            <a:effectLst/>
          </c:spPr>
          <c:marker>
            <c:symbol val="square"/>
            <c:size val="6"/>
            <c:spPr>
              <a:effectLst/>
            </c:spPr>
          </c:marker>
          <c:dPt>
            <c:idx val="0"/>
            <c:marker>
              <c:symbol val="square"/>
              <c:size val="6"/>
              <c:spPr>
                <a:ln w="9525" cap="flat" cmpd="sng" algn="ctr">
                  <a:solidFill>
                    <a:schemeClr val="accent2">
                      <a:shade val="95000"/>
                      <a:satMod val="105000"/>
                    </a:schemeClr>
                  </a:solidFill>
                  <a:prstDash val="solid"/>
                  <a:miter lim="800000"/>
                  <a:headEnd type="oval"/>
                </a:ln>
                <a:effectLst/>
              </c:spPr>
            </c:marker>
            <c:bubble3D val="false"/>
            <c:explosion val="0"/>
            <c:spPr>
              <a:ln w="12700" cap="sq" cmpd="sng" algn="ctr">
                <a:solidFill>
                  <a:schemeClr val="accent2">
                    <a:lumMod val="75000"/>
                  </a:schemeClr>
                </a:solidFill>
                <a:prstDash val="solid"/>
                <a:round/>
                <a:headEnd type="none"/>
              </a:ln>
              <a:effectLst/>
            </c:spPr>
          </c:dPt>
          <c:dPt>
            <c:idx val="8"/>
            <c:marker>
              <c:symbol val="square"/>
              <c:size val="6"/>
              <c:spPr>
                <a:effectLst/>
              </c:spPr>
            </c:marker>
            <c:bubble3D val="false"/>
            <c:explosion val="0"/>
            <c:spPr>
              <a:ln w="12700" cap="sq" cmpd="sng" algn="ctr">
                <a:solidFill>
                  <a:schemeClr val="accent2">
                    <a:lumMod val="75000"/>
                  </a:schemeClr>
                </a:solidFill>
                <a:prstDash val="solid"/>
                <a:round/>
                <a:headEnd type="none"/>
                <a:tailEnd type="diamond"/>
              </a:ln>
              <a:effectLst/>
            </c:spPr>
          </c:dPt>
          <c:dLbls>
            <c:dLbl>
              <c:idx val="0"/>
              <c:layout>
                <c:manualLayout>
                  <c:x val="0.00449244137549569"/>
                  <c:y val="0.00911661463195879"/>
                </c:manualLayout>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15:layout/>
                </c:ext>
              </c:extLst>
            </c:dLbl>
            <c:dLbl>
              <c:idx val="1"/>
              <c:layout>
                <c:manualLayout>
                  <c:x val="-0.00156569914488739"/>
                  <c:y val="0.020785105023106"/>
                </c:manualLayout>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15:layout/>
                </c:ext>
              </c:extLst>
            </c:dLbl>
            <c:dLbl>
              <c:idx val="2"/>
              <c:layout>
                <c:manualLayout>
                  <c:x val="0.00156569914488739"/>
                  <c:y val="0.00916613962702336"/>
                </c:manualLayout>
              </c:layout>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extLst>
                <c:ext xmlns:c15="http://schemas.microsoft.com/office/drawing/2012/chart" uri="{CE6537A1-D6FC-4f65-9D91-7224C49458BB}">
                  <c15:layout/>
                </c:ext>
              </c:extLst>
            </c:dLbl>
            <c:numFmt formatCode="General" sourceLinked="true"/>
            <c:spPr>
              <a:noFill/>
              <a:ln w="3175">
                <a:noFill/>
              </a:ln>
              <a:effectLst/>
            </c:spPr>
            <c:txPr>
              <a:bodyPr rot="0" spcFirstLastPara="0" vertOverflow="ellipsis" vert="horz" wrap="square" lIns="38100" tIns="19050" rIns="38100" bIns="19050" anchor="ctr" anchorCtr="true"/>
              <a:lstStyle/>
              <a:p>
                <a:pPr>
                  <a:defRPr lang="zh-CN" sz="9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dLblPos val="t"/>
            <c:showLegendKey val="false"/>
            <c:showVal val="true"/>
            <c:showCatName val="false"/>
            <c:showSerName val="false"/>
            <c:showPercent val="false"/>
            <c:showBubbleSize val="false"/>
            <c:showLeaderLines val="false"/>
            <c:extLst>
              <c:ext xmlns:c15="http://schemas.microsoft.com/office/drawing/2012/chart" uri="{CE6537A1-D6FC-4f65-9D91-7224C49458BB}">
                <c15:layout/>
                <c15:showLeaderLines val="false"/>
                <c15:leaderLines/>
              </c:ext>
            </c:extLst>
          </c:dLbls>
          <c:cat>
            <c:strRef>
              <c:f>[2024年公报图表.xls]农村可支配收入!$C$1:$M$1</c:f>
              <c:strCache>
                <c:ptCount val="11"/>
                <c:pt idx="0">
                  <c:v>2014年</c:v>
                </c:pt>
                <c:pt idx="1">
                  <c:v>2015年</c:v>
                </c:pt>
                <c:pt idx="2">
                  <c:v>2016年</c:v>
                </c:pt>
                <c:pt idx="3">
                  <c:v>2017年</c:v>
                </c:pt>
                <c:pt idx="4">
                  <c:v>2018年</c:v>
                </c:pt>
                <c:pt idx="5">
                  <c:v>2019年</c:v>
                </c:pt>
                <c:pt idx="6">
                  <c:v>2020年</c:v>
                </c:pt>
                <c:pt idx="7">
                  <c:v>2021年</c:v>
                </c:pt>
                <c:pt idx="8">
                  <c:v>2022年</c:v>
                </c:pt>
                <c:pt idx="9">
                  <c:v>2023年</c:v>
                </c:pt>
                <c:pt idx="10">
                  <c:v>2024年</c:v>
                </c:pt>
              </c:strCache>
            </c:strRef>
          </c:cat>
          <c:val>
            <c:numRef>
              <c:f>[2024年公报图表.xls]农村可支配收入!$C$3:$M$3</c:f>
              <c:numCache>
                <c:formatCode>0.0_ </c:formatCode>
                <c:ptCount val="11"/>
                <c:pt idx="0">
                  <c:v>13.6</c:v>
                </c:pt>
                <c:pt idx="1">
                  <c:v>11.5</c:v>
                </c:pt>
                <c:pt idx="2">
                  <c:v>8.5</c:v>
                </c:pt>
                <c:pt idx="3">
                  <c:v>8.1</c:v>
                </c:pt>
                <c:pt idx="4">
                  <c:v>8.7</c:v>
                </c:pt>
                <c:pt idx="5">
                  <c:v>10</c:v>
                </c:pt>
                <c:pt idx="6" c:formatCode="General">
                  <c:v>9.4</c:v>
                </c:pt>
                <c:pt idx="7">
                  <c:v>9</c:v>
                </c:pt>
                <c:pt idx="8">
                  <c:v>8</c:v>
                </c:pt>
                <c:pt idx="9">
                  <c:v>8.5</c:v>
                </c:pt>
                <c:pt idx="10">
                  <c:v>8</c:v>
                </c:pt>
              </c:numCache>
            </c:numRef>
          </c:val>
          <c:smooth val="false"/>
        </c:ser>
        <c:dLbls>
          <c:showLegendKey val="false"/>
          <c:showVal val="false"/>
          <c:showCatName val="false"/>
          <c:showSerName val="false"/>
          <c:showPercent val="false"/>
          <c:showBubbleSize val="false"/>
        </c:dLbls>
        <c:marker val="true"/>
        <c:smooth val="false"/>
        <c:axId val="462600433"/>
        <c:axId val="38383624"/>
      </c:lineChart>
      <c:catAx>
        <c:axId val="75393134"/>
        <c:scaling>
          <c:orientation val="minMax"/>
        </c:scaling>
        <c:delete val="false"/>
        <c:axPos val="b"/>
        <c:title>
          <c:tx>
            <c:rich>
              <a:bodyPr rot="0" spcFirstLastPara="0" vertOverflow="ellipsis" vert="horz" wrap="square" anchor="ctr" anchorCtr="true"/>
              <a:lstStyle/>
              <a:p>
                <a:pPr defTabSz="914400">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r>
                  <a:rPr sz="800" b="1">
                    <a:latin typeface="Times New Roman" charset="0"/>
                    <a:ea typeface="Times New Roman" charset="0"/>
                    <a:cs typeface="Times New Roman" charset="0"/>
                    <a:sym typeface="Times New Roman" charset="0"/>
                  </a:rPr>
                  <a:t>元</a:t>
                </a:r>
                <a:endParaRPr sz="800" b="1" i="0" u="none" strike="noStrike" baseline="0">
                  <a:solidFill>
                    <a:srgbClr val="000000">
                      <a:alpha val="100000"/>
                    </a:srgbClr>
                  </a:solidFill>
                  <a:latin typeface="Times New Roman" charset="0"/>
                  <a:ea typeface="Times New Roman" charset="0"/>
                  <a:cs typeface="Times New Roman" charset="0"/>
                  <a:sym typeface="Times New Roman" charset="0"/>
                </a:endParaRPr>
              </a:p>
            </c:rich>
          </c:tx>
          <c:layout>
            <c:manualLayout>
              <c:xMode val="edge"/>
              <c:yMode val="edge"/>
              <c:x val="0.0218092190106839"/>
              <c:y val="0.1200317886134"/>
            </c:manualLayout>
          </c:layout>
          <c:overlay val="false"/>
        </c:title>
        <c:majorTickMark val="in"/>
        <c:minorTickMark val="none"/>
        <c:tickLblPos val="nextTo"/>
        <c:spPr>
          <a:noFill/>
          <a:ln w="9525" cap="flat" cmpd="sng" algn="ctr">
            <a:solidFill>
              <a:schemeClr val="dk1">
                <a:shade val="95000"/>
                <a:satMod val="105000"/>
              </a:schemeClr>
            </a:solidFill>
            <a:prstDash val="solid"/>
            <a:round/>
          </a:ln>
        </c:spPr>
        <c:txPr>
          <a:bodyPr rot="0" spcFirstLastPara="0" vertOverflow="ellipsis" vert="horz" wrap="square"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512725132"/>
        <c:crossesAt val="0"/>
        <c:auto val="true"/>
        <c:lblAlgn val="ctr"/>
        <c:lblOffset val="100"/>
        <c:tickLblSkip val="1"/>
        <c:noMultiLvlLbl val="false"/>
      </c:catAx>
      <c:valAx>
        <c:axId val="512725132"/>
        <c:scaling>
          <c:orientation val="minMax"/>
        </c:scaling>
        <c:delete val="false"/>
        <c:axPos val="l"/>
        <c:numFmt formatCode="0_);[Red]\(0\)" sourceLinked="false"/>
        <c:majorTickMark val="in"/>
        <c:minorTickMark val="none"/>
        <c:tickLblPos val="nextTo"/>
        <c:txPr>
          <a:bodyPr rot="0" spcFirstLastPara="0" vertOverflow="ellipsis" vert="horz" wrap="square" anchor="ctr" anchorCtr="true"/>
          <a:lstStyle/>
          <a:p>
            <a:pPr>
              <a:defRPr lang="zh-CN" sz="8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75393134"/>
        <c:crosses val="autoZero"/>
        <c:crossBetween val="between"/>
      </c:valAx>
      <c:catAx>
        <c:axId val="462600433"/>
        <c:scaling>
          <c:orientation val="minMax"/>
        </c:scaling>
        <c:delete val="true"/>
        <c:axPos val="b"/>
        <c:title>
          <c:tx>
            <c:rich>
              <a:bodyPr rot="0" spcFirstLastPara="0" vertOverflow="ellipsis" vert="horz" wrap="square" anchor="ctr" anchorCtr="true"/>
              <a:lstStyle/>
              <a:p>
                <a:pPr defTabSz="914400">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r>
                  <a:rPr sz="900" b="1">
                    <a:latin typeface="Times New Roman" charset="0"/>
                    <a:ea typeface="Times New Roman" charset="0"/>
                    <a:cs typeface="Times New Roman" charset="0"/>
                    <a:sym typeface="Times New Roman" charset="0"/>
                  </a:rPr>
                  <a:t>%</a:t>
                </a:r>
                <a:endParaRPr sz="900" b="1" i="0" u="none" strike="noStrike" baseline="0">
                  <a:solidFill>
                    <a:srgbClr val="000000">
                      <a:alpha val="100000"/>
                    </a:srgbClr>
                  </a:solidFill>
                  <a:latin typeface="Times New Roman" charset="0"/>
                  <a:ea typeface="Times New Roman" charset="0"/>
                  <a:cs typeface="Times New Roman" charset="0"/>
                  <a:sym typeface="Times New Roman" charset="0"/>
                </a:endParaRPr>
              </a:p>
            </c:rich>
          </c:tx>
          <c:layout>
            <c:manualLayout>
              <c:xMode val="edge"/>
              <c:yMode val="edge"/>
              <c:x val="0.968691358024691"/>
              <c:y val="0.13016881585454"/>
            </c:manualLayout>
          </c:layout>
          <c:overlay val="false"/>
        </c:title>
        <c:majorTickMark val="out"/>
        <c:minorTickMark val="none"/>
        <c:tickLblPos val="none"/>
        <c:txPr>
          <a:bodyPr rot="-60000000" spcFirstLastPara="0" vertOverflow="ellipsis" vert="horz" wrap="square"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crossAx val="38383624"/>
        <c:crosses val="autoZero"/>
        <c:auto val="true"/>
        <c:lblAlgn val="ctr"/>
        <c:lblOffset val="100"/>
        <c:noMultiLvlLbl val="false"/>
      </c:catAx>
      <c:valAx>
        <c:axId val="38383624"/>
        <c:scaling>
          <c:orientation val="minMax"/>
          <c:max val="30"/>
        </c:scaling>
        <c:delete val="false"/>
        <c:axPos val="r"/>
        <c:numFmt formatCode="0_);[Red]\(0\)" sourceLinked="false"/>
        <c:majorTickMark val="in"/>
        <c:minorTickMark val="none"/>
        <c:tickLblPos val="nextTo"/>
        <c:spPr>
          <a:solidFill>
            <a:schemeClr val="bg1"/>
          </a:solidFill>
          <a:ln w="9525" cap="flat" cmpd="sng" algn="ctr">
            <a:solidFill>
              <a:schemeClr val="accent1"/>
            </a:solidFill>
            <a:prstDash val="solid"/>
            <a:round/>
          </a:ln>
          <a:effectLst/>
        </c:spPr>
        <c:txPr>
          <a:bodyPr rot="0" spcFirstLastPara="0" vertOverflow="ellipsis" vert="horz" wrap="square" anchor="ctr" anchorCtr="true"/>
          <a:lstStyle/>
          <a:p>
            <a:pPr>
              <a:defRPr lang="zh-CN" sz="900" b="1" i="0" u="none" strike="noStrike" kern="1200" baseline="0">
                <a:solidFill>
                  <a:srgbClr val="333333">
                    <a:alpha val="100000"/>
                  </a:srgbClr>
                </a:solidFill>
                <a:latin typeface="Times New Roman" charset="0"/>
                <a:ea typeface="Times New Roman" charset="0"/>
                <a:cs typeface="Times New Roman" charset="0"/>
                <a:sym typeface="Times New Roman" charset="0"/>
              </a:defRPr>
            </a:pPr>
          </a:p>
        </c:txPr>
        <c:crossAx val="462600433"/>
        <c:crosses val="max"/>
        <c:crossBetween val="between"/>
      </c:valAx>
      <c:spPr>
        <a:noFill/>
        <a:ln w="3175">
          <a:noFill/>
        </a:ln>
      </c:spPr>
    </c:plotArea>
    <c:legend>
      <c:legendPos val="r"/>
      <c:legendEntry>
        <c:idx val="0"/>
        <c:txPr>
          <a:bodyPr rot="0" spcFirstLastPara="0" vertOverflow="ellipsis" vert="horz" wrap="square"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legendEntry>
      <c:legendEntry>
        <c:idx val="1"/>
        <c:txPr>
          <a:bodyPr rot="0" spcFirstLastPara="0" vertOverflow="ellipsis" vert="horz" wrap="square" anchor="ctr" anchorCtr="true"/>
          <a:lstStyle/>
          <a:p>
            <a:pPr>
              <a:defRPr lang="zh-CN" sz="900" b="1" i="0" u="none" strike="noStrike" kern="1200" baseline="0">
                <a:solidFill>
                  <a:srgbClr val="000000">
                    <a:alpha val="100000"/>
                  </a:srgbClr>
                </a:solidFill>
                <a:latin typeface="Times New Roman" charset="0"/>
                <a:ea typeface="Times New Roman" charset="0"/>
                <a:cs typeface="Times New Roman" charset="0"/>
                <a:sym typeface="Times New Roman" charset="0"/>
              </a:defRPr>
            </a:pPr>
          </a:p>
        </c:txPr>
      </c:legendEntry>
      <c:layout>
        <c:manualLayout>
          <c:xMode val="edge"/>
          <c:yMode val="edge"/>
          <c:x val="0.315416817342277"/>
          <c:y val="0.937023393814904"/>
          <c:w val="0.34675"/>
          <c:h val="0.04475"/>
        </c:manualLayout>
      </c:layout>
      <c:overlay val="false"/>
      <c:spPr>
        <a:noFill/>
        <a:ln w="3175">
          <a:noFill/>
        </a:ln>
      </c:spPr>
      <c:txPr>
        <a:bodyPr rot="0" spcFirstLastPara="0" vertOverflow="ellipsis" vert="horz" wrap="square" anchor="ctr" anchorCtr="true"/>
        <a:lstStyle/>
        <a:p>
          <a:pPr>
            <a:defRPr lang="zh-CN" sz="900" b="1" i="0" u="none" strike="noStrike" kern="1200" baseline="0">
              <a:solidFill>
                <a:srgbClr val="333333"/>
              </a:solidFill>
              <a:latin typeface="Times New Roman" charset="0"/>
              <a:ea typeface="Times New Roman" charset="0"/>
              <a:cs typeface="Times New Roman" charset="0"/>
              <a:sym typeface="Times New Roman" charset="0"/>
            </a:defRPr>
          </a:pPr>
        </a:p>
      </c:txPr>
    </c:legend>
    <c:plotVisOnly val="true"/>
    <c:dispBlanksAs val="gap"/>
    <c:showDLblsOverMax val="false"/>
  </c:chart>
  <c:spPr>
    <a:solidFill>
      <a:schemeClr val="bg1"/>
    </a:solidFill>
    <a:ln w="9525" cap="flat" cmpd="sng" algn="ctr">
      <a:noFill/>
      <a:prstDash val="solid"/>
      <a:round/>
    </a:ln>
    <a:effectLst/>
  </c:spPr>
  <c:txPr>
    <a:bodyPr rot="0" wrap="square" anchor="ctr" anchorCtr="true"/>
    <a:lstStyle/>
    <a:p>
      <a:pPr>
        <a:defRPr lang="zh-CN" sz="900" b="1" i="0" u="none" strike="noStrike" baseline="0">
          <a:solidFill>
            <a:srgbClr val="000000">
              <a:alpha val="100000"/>
            </a:srgbClr>
          </a:solidFill>
          <a:latin typeface="Times New Roman" charset="0"/>
          <a:ea typeface="Times New Roman" charset="0"/>
          <a:cs typeface="Times New Roman" charset="0"/>
          <a:sym typeface="Times New Roman" charset="0"/>
        </a:defRPr>
      </a:pPr>
    </a:p>
  </c:txPr>
  <c:externalData r:id="rId1">
    <c:autoUpdate val="false"/>
  </c:externalData>
</c:chartSpace>
</file>

<file path=word/drawings/drawing1.xml><?xml version="1.0" encoding="utf-8"?>
<c:userShapes xmlns:c="http://schemas.openxmlformats.org/drawingml/2006/chart">
  <cdr:relSizeAnchor xmlns:cdr="http://schemas.openxmlformats.org/drawingml/2006/chartDrawing">
    <cdr:from>
      <cdr:x>0.377</cdr:x>
      <cdr:y>0.601</cdr:y>
    </cdr:from>
    <cdr:to>
      <cdr:x>0.4005</cdr:x>
      <cdr:y>0.62525</cdr:y>
    </cdr:to>
    <cdr:sp>
      <cdr:nvSpPr>
        <cdr:cNvPr id="2" name="矩形 1"/>
        <cdr:cNvSpPr/>
      </cdr:nvSpPr>
      <cdr:spPr xmlns:a="http://schemas.openxmlformats.org/drawingml/2006/main">
        <a:xfrm xmlns:a="http://schemas.openxmlformats.org/drawingml/2006/main">
          <a:off x="2492102" y="2124180"/>
          <a:ext cx="155343" cy="85709"/>
        </a:xfrm>
        <a:prstGeom xmlns:a="http://schemas.openxmlformats.org/drawingml/2006/main" prst="rect">
          <a:avLst/>
        </a:prstGeom>
        <a:noFill/>
        <a:ln w="9525">
          <a:noFill/>
        </a:ln>
      </cdr:spPr>
    </cdr:sp>
  </cdr:relSizeAnchor>
</c:userShap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7553</Words>
  <Characters>9945</Characters>
  <Lines>0</Lines>
  <Paragraphs>0</Paragraphs>
  <TotalTime>53</TotalTime>
  <ScaleCrop>false</ScaleCrop>
  <LinksUpToDate>false</LinksUpToDate>
  <CharactersWithSpaces>10201</CharactersWithSpaces>
  <Application>WPS Office_11.8.2.10386_F1E327BC-269C-435d-A152-05C5408002CA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2022-04-24T21:10:00Z</dcterms:created>
  <dc:creator>Administrator</dc:creator>
  <cp:lastModifiedBy>user</cp:lastModifiedBy>
  <cp:lastPrinted>2024-10-13T18:18:00Z</cp:lastPrinted>
  <dcterms:modified xsi:type="dcterms:W3CDTF">2025-03-30T14:00:17Z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y fmtid="{D5CDD505-2E9C-101B-9397-08002B2CF9AE}" pid="3" name="ICV">
    <vt:lpwstr>18A9957C58A14A12B3A9820D9EF87AD7_13</vt:lpwstr>
  </property>
</Properties>
</file>