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8"/>
        <w:jc w:val="both"/>
        <w:rPr>
          <w:rFonts w:hint="eastAsia" w:ascii="Times New Roman" w:hAnsi="Times New Roman" w:eastAsia="方正小标宋_GBK" w:cs="Times New Roman"/>
          <w:kern w:val="0"/>
          <w:sz w:val="44"/>
          <w:szCs w:val="44"/>
          <w:lang w:val="en-US" w:eastAsia="zh-CN"/>
        </w:rPr>
      </w:pPr>
    </w:p>
    <w:p>
      <w:pPr>
        <w:pStyle w:val="8"/>
        <w:jc w:val="center"/>
        <w:rPr>
          <w:rFonts w:hint="eastAsia" w:ascii="黑体" w:hAnsi="黑体" w:eastAsia="黑体" w:cs="黑体"/>
          <w:kern w:val="0"/>
          <w:sz w:val="44"/>
          <w:szCs w:val="44"/>
          <w:lang w:val="en-US" w:eastAsia="zh-CN"/>
        </w:rPr>
      </w:pPr>
    </w:p>
    <w:p>
      <w:pPr>
        <w:pStyle w:val="8"/>
        <w:jc w:val="center"/>
        <w:rPr>
          <w:rFonts w:hint="eastAsia" w:ascii="黑体" w:hAnsi="黑体" w:eastAsia="黑体" w:cs="黑体"/>
          <w:kern w:val="0"/>
          <w:sz w:val="44"/>
          <w:szCs w:val="44"/>
          <w:lang w:val="en-US" w:eastAsia="zh-CN"/>
        </w:rPr>
      </w:pPr>
    </w:p>
    <w:p>
      <w:pPr>
        <w:pStyle w:val="8"/>
        <w:jc w:val="center"/>
        <w:rPr>
          <w:rFonts w:hint="eastAsia" w:ascii="黑体" w:hAnsi="黑体" w:eastAsia="黑体" w:cs="黑体"/>
          <w:kern w:val="0"/>
          <w:sz w:val="44"/>
          <w:szCs w:val="44"/>
          <w:lang w:val="en-US" w:eastAsia="zh-CN"/>
        </w:rPr>
      </w:pPr>
      <w:r>
        <w:rPr>
          <w:rFonts w:hint="eastAsia" w:ascii="黑体" w:hAnsi="黑体" w:eastAsia="黑体" w:cs="黑体"/>
          <w:kern w:val="0"/>
          <w:sz w:val="44"/>
          <w:szCs w:val="44"/>
          <w:lang w:val="en-US" w:eastAsia="zh-CN"/>
        </w:rPr>
        <w:t>2025年吐鲁番市政府预算公开</w:t>
      </w:r>
    </w:p>
    <w:p>
      <w:pPr>
        <w:pStyle w:val="8"/>
        <w:rPr>
          <w:rFonts w:hint="eastAsia" w:ascii="黑体" w:hAnsi="黑体" w:eastAsia="黑体" w:cs="黑体"/>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pStyle w:val="8"/>
        <w:rPr>
          <w:rFonts w:ascii="Times New Roman" w:hAnsi="Times New Roman" w:eastAsia="方正小标宋_GBK" w:cs="Times New Roman"/>
          <w:kern w:val="0"/>
          <w:sz w:val="44"/>
          <w:szCs w:val="44"/>
        </w:rPr>
      </w:pPr>
    </w:p>
    <w:p>
      <w:pPr>
        <w:widowControl/>
        <w:jc w:val="both"/>
        <w:outlineLvl w:val="1"/>
        <w:rPr>
          <w:rFonts w:hint="default" w:ascii="Times New Roman" w:hAnsi="Times New Roman" w:eastAsia="黑体" w:cs="Times New Roman"/>
          <w:kern w:val="0"/>
          <w:sz w:val="32"/>
          <w:szCs w:val="32"/>
          <w:lang w:val="en-US" w:eastAsia="zh-Hans"/>
        </w:rPr>
      </w:pPr>
    </w:p>
    <w:p>
      <w:pPr>
        <w:pStyle w:val="2"/>
        <w:rPr>
          <w:rFonts w:hint="eastAsia"/>
          <w:lang w:val="en-US" w:eastAsia="zh-CN"/>
        </w:rPr>
      </w:pPr>
    </w:p>
    <w:p>
      <w:pPr>
        <w:widowControl/>
        <w:spacing w:line="600" w:lineRule="exact"/>
        <w:jc w:val="center"/>
        <w:outlineLvl w:val="1"/>
        <w:rPr>
          <w:rFonts w:hint="default" w:ascii="Times New Roman" w:hAnsi="Times New Roman" w:eastAsia="黑体" w:cs="Times New Roman"/>
          <w:b/>
          <w:bCs/>
          <w:kern w:val="0"/>
          <w:sz w:val="36"/>
          <w:szCs w:val="32"/>
          <w:lang w:val="en-US" w:eastAsia="zh-Hans"/>
        </w:rPr>
      </w:pPr>
    </w:p>
    <w:p>
      <w:pPr>
        <w:widowControl/>
        <w:spacing w:line="600" w:lineRule="exact"/>
        <w:jc w:val="center"/>
        <w:outlineLvl w:val="1"/>
        <w:rPr>
          <w:rFonts w:hint="default" w:ascii="Times New Roman" w:hAnsi="Times New Roman" w:eastAsia="黑体" w:cs="Times New Roman"/>
          <w:b/>
          <w:bCs/>
          <w:kern w:val="0"/>
          <w:sz w:val="36"/>
          <w:szCs w:val="32"/>
          <w:lang w:val="en-US" w:eastAsia="zh-Hans"/>
        </w:rPr>
      </w:pPr>
    </w:p>
    <w:p>
      <w:pPr>
        <w:widowControl/>
        <w:spacing w:line="600" w:lineRule="exact"/>
        <w:jc w:val="center"/>
        <w:outlineLvl w:val="1"/>
        <w:rPr>
          <w:rFonts w:hint="default" w:ascii="Times New Roman" w:hAnsi="Times New Roman" w:eastAsia="黑体" w:cs="Times New Roman"/>
          <w:b/>
          <w:bCs/>
          <w:kern w:val="0"/>
          <w:sz w:val="36"/>
          <w:szCs w:val="32"/>
          <w:lang w:val="en-US" w:eastAsia="zh-Hans"/>
        </w:rPr>
      </w:pPr>
    </w:p>
    <w:p>
      <w:pPr>
        <w:widowControl/>
        <w:spacing w:line="600" w:lineRule="exact"/>
        <w:jc w:val="center"/>
        <w:outlineLvl w:val="1"/>
        <w:rPr>
          <w:rFonts w:hint="default" w:ascii="Times New Roman" w:hAnsi="Times New Roman" w:eastAsia="黑体" w:cs="Times New Roman"/>
          <w:b/>
          <w:bCs/>
          <w:kern w:val="0"/>
          <w:sz w:val="36"/>
          <w:szCs w:val="32"/>
          <w:lang w:val="en-US" w:eastAsia="zh-Hans"/>
        </w:rPr>
      </w:pPr>
    </w:p>
    <w:p>
      <w:pPr>
        <w:widowControl/>
        <w:spacing w:line="600" w:lineRule="exact"/>
        <w:jc w:val="center"/>
        <w:outlineLvl w:val="1"/>
        <w:rPr>
          <w:rFonts w:hint="default" w:ascii="Times New Roman" w:hAnsi="Times New Roman" w:eastAsia="黑体" w:cs="Times New Roman"/>
          <w:b/>
          <w:bCs/>
          <w:kern w:val="0"/>
          <w:sz w:val="36"/>
          <w:szCs w:val="32"/>
        </w:rPr>
      </w:pPr>
      <w:r>
        <w:rPr>
          <w:rFonts w:hint="eastAsia" w:ascii="Times New Roman" w:hAnsi="Times New Roman" w:eastAsia="黑体" w:cs="Times New Roman"/>
          <w:b/>
          <w:bCs/>
          <w:kern w:val="0"/>
          <w:sz w:val="36"/>
          <w:szCs w:val="32"/>
          <w:lang w:val="en-US" w:eastAsia="zh-CN"/>
        </w:rPr>
        <w:t xml:space="preserve">  </w:t>
      </w:r>
      <w:r>
        <w:rPr>
          <w:rFonts w:hint="default" w:ascii="Times New Roman" w:hAnsi="Times New Roman" w:eastAsia="黑体" w:cs="Times New Roman"/>
          <w:b/>
          <w:bCs/>
          <w:kern w:val="0"/>
          <w:sz w:val="36"/>
          <w:szCs w:val="32"/>
          <w:lang w:val="en-US" w:eastAsia="zh-Hans"/>
        </w:rPr>
        <w:t>目</w:t>
      </w:r>
      <w:r>
        <w:rPr>
          <w:rFonts w:hint="default" w:ascii="Times New Roman" w:hAnsi="Times New Roman" w:eastAsia="黑体" w:cs="Times New Roman"/>
          <w:b/>
          <w:bCs/>
          <w:kern w:val="0"/>
          <w:sz w:val="36"/>
          <w:szCs w:val="32"/>
          <w:lang w:val="en-US" w:eastAsia="zh-CN"/>
        </w:rPr>
        <w:t xml:space="preserve"> </w:t>
      </w:r>
      <w:r>
        <w:rPr>
          <w:rFonts w:hint="eastAsia" w:ascii="Times New Roman" w:hAnsi="Times New Roman" w:eastAsia="黑体" w:cs="Times New Roman"/>
          <w:b/>
          <w:bCs/>
          <w:kern w:val="0"/>
          <w:sz w:val="36"/>
          <w:szCs w:val="32"/>
          <w:lang w:val="en-US" w:eastAsia="zh-CN"/>
        </w:rPr>
        <w:t xml:space="preserve">   </w:t>
      </w:r>
      <w:r>
        <w:rPr>
          <w:rFonts w:hint="default" w:ascii="Times New Roman" w:hAnsi="Times New Roman" w:eastAsia="黑体" w:cs="Times New Roman"/>
          <w:b/>
          <w:bCs/>
          <w:kern w:val="0"/>
          <w:sz w:val="36"/>
          <w:szCs w:val="32"/>
        </w:rPr>
        <w:t>录</w:t>
      </w:r>
    </w:p>
    <w:p>
      <w:pPr>
        <w:widowControl/>
        <w:spacing w:line="600" w:lineRule="exact"/>
        <w:outlineLvl w:val="1"/>
        <w:rPr>
          <w:rFonts w:hint="eastAsia" w:ascii="Times New Roman" w:hAnsi="Times New Roman" w:eastAsia="仿宋_GB2312" w:cs="仿宋_GB2312"/>
          <w:b/>
          <w:kern w:val="0"/>
          <w:sz w:val="32"/>
          <w:szCs w:val="32"/>
        </w:rPr>
      </w:pP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第一部分预算草案报告</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第二部分</w:t>
      </w:r>
      <w:r>
        <w:rPr>
          <w:rFonts w:ascii="Times New Roman" w:hAnsi="Times New Roman" w:eastAsia="仿宋_GB2312" w:cs="Times New Roman"/>
          <w:b/>
          <w:kern w:val="0"/>
          <w:sz w:val="32"/>
          <w:szCs w:val="32"/>
        </w:rPr>
        <w:t xml:space="preserve"> “</w:t>
      </w:r>
      <w:r>
        <w:rPr>
          <w:rFonts w:hint="eastAsia" w:ascii="Times New Roman" w:hAnsi="Times New Roman" w:eastAsia="仿宋_GB2312" w:cs="仿宋_GB2312"/>
          <w:b/>
          <w:kern w:val="0"/>
          <w:sz w:val="32"/>
          <w:szCs w:val="32"/>
        </w:rPr>
        <w:t>四本</w:t>
      </w:r>
      <w:r>
        <w:rPr>
          <w:rFonts w:ascii="Times New Roman" w:hAnsi="Times New Roman" w:eastAsia="仿宋_GB2312" w:cs="Times New Roman"/>
          <w:b/>
          <w:kern w:val="0"/>
          <w:sz w:val="32"/>
          <w:szCs w:val="32"/>
        </w:rPr>
        <w:t>”</w:t>
      </w:r>
      <w:r>
        <w:rPr>
          <w:rFonts w:hint="eastAsia" w:ascii="Times New Roman" w:hAnsi="Times New Roman" w:eastAsia="仿宋_GB2312" w:cs="仿宋_GB2312"/>
          <w:b/>
          <w:kern w:val="0"/>
          <w:sz w:val="32"/>
          <w:szCs w:val="32"/>
        </w:rPr>
        <w:t>预算公开表</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bCs/>
          <w:sz w:val="32"/>
        </w:rPr>
        <w:t>一</w:t>
      </w:r>
      <w:r>
        <w:rPr>
          <w:rFonts w:hint="eastAsia" w:ascii="Times New Roman" w:hAnsi="Times New Roman" w:eastAsia="仿宋_GB2312" w:cs="仿宋_GB2312"/>
          <w:kern w:val="0"/>
          <w:sz w:val="32"/>
          <w:szCs w:val="32"/>
        </w:rPr>
        <w:t>、一般公共预算公开表</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二、政府性基金预算公开表</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三、国有资本经营预算公开表</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四、社会保险基金预算公开表</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第三部分</w:t>
      </w:r>
      <w:r>
        <w:rPr>
          <w:rFonts w:hint="eastAsia" w:ascii="Times New Roman" w:hAnsi="Times New Roman" w:eastAsia="仿宋_GB2312" w:cs="仿宋_GB2312"/>
          <w:b/>
          <w:kern w:val="0"/>
          <w:sz w:val="32"/>
          <w:szCs w:val="32"/>
          <w:lang w:val="en-US" w:eastAsia="zh-CN"/>
        </w:rPr>
        <w:t xml:space="preserve"> 本级汇总的</w:t>
      </w:r>
      <w:r>
        <w:rPr>
          <w:rFonts w:hint="eastAsia" w:ascii="Times New Roman" w:hAnsi="Times New Roman" w:eastAsia="仿宋_GB2312" w:cs="仿宋_GB2312"/>
          <w:b/>
          <w:kern w:val="0"/>
          <w:sz w:val="32"/>
          <w:szCs w:val="32"/>
        </w:rPr>
        <w:t>财政拨款</w:t>
      </w:r>
      <w:r>
        <w:rPr>
          <w:rFonts w:ascii="Times New Roman" w:hAnsi="Times New Roman" w:eastAsia="仿宋_GB2312" w:cs="Times New Roman"/>
          <w:b/>
          <w:kern w:val="0"/>
          <w:sz w:val="32"/>
          <w:szCs w:val="32"/>
        </w:rPr>
        <w:t>“</w:t>
      </w:r>
      <w:r>
        <w:rPr>
          <w:rFonts w:hint="eastAsia" w:ascii="Times New Roman" w:hAnsi="Times New Roman" w:eastAsia="仿宋_GB2312" w:cs="仿宋_GB2312"/>
          <w:b/>
          <w:kern w:val="0"/>
          <w:sz w:val="32"/>
          <w:szCs w:val="32"/>
        </w:rPr>
        <w:t>三公</w:t>
      </w:r>
      <w:r>
        <w:rPr>
          <w:rFonts w:ascii="Times New Roman" w:hAnsi="Times New Roman" w:eastAsia="仿宋_GB2312" w:cs="Times New Roman"/>
          <w:b/>
          <w:kern w:val="0"/>
          <w:sz w:val="32"/>
          <w:szCs w:val="32"/>
        </w:rPr>
        <w:t>”</w:t>
      </w:r>
      <w:r>
        <w:rPr>
          <w:rFonts w:hint="eastAsia" w:ascii="Times New Roman" w:hAnsi="Times New Roman" w:eastAsia="仿宋_GB2312" w:cs="仿宋_GB2312"/>
          <w:b/>
          <w:kern w:val="0"/>
          <w:sz w:val="32"/>
          <w:szCs w:val="32"/>
        </w:rPr>
        <w:t>经费预算情况说明</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第四部分</w:t>
      </w:r>
      <w:r>
        <w:rPr>
          <w:rFonts w:hint="eastAsia" w:ascii="Times New Roman" w:hAnsi="Times New Roman" w:eastAsia="仿宋_GB2312" w:cs="仿宋_GB2312"/>
          <w:b/>
          <w:kern w:val="0"/>
          <w:sz w:val="32"/>
          <w:szCs w:val="32"/>
          <w:lang w:val="en-US" w:eastAsia="zh-CN"/>
        </w:rPr>
        <w:t xml:space="preserve"> </w:t>
      </w:r>
      <w:r>
        <w:rPr>
          <w:rFonts w:hint="eastAsia" w:ascii="Times New Roman" w:hAnsi="Times New Roman" w:eastAsia="仿宋_GB2312" w:cs="仿宋_GB2312"/>
          <w:b/>
          <w:kern w:val="0"/>
          <w:sz w:val="32"/>
          <w:szCs w:val="32"/>
        </w:rPr>
        <w:t>转移支付安排情况说明</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一、一般公共预算对下转移支付情况说明</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二、政府性基金预算对下转移支付情况</w:t>
      </w:r>
    </w:p>
    <w:p>
      <w:pPr>
        <w:widowControl/>
        <w:spacing w:line="600" w:lineRule="exact"/>
        <w:ind w:firstLine="640" w:firstLineChars="200"/>
        <w:outlineLvl w:val="1"/>
        <w:rPr>
          <w:rFonts w:eastAsia="仿宋_GB2312"/>
          <w:kern w:val="0"/>
          <w:sz w:val="32"/>
          <w:szCs w:val="32"/>
        </w:rPr>
      </w:pPr>
      <w:r>
        <w:rPr>
          <w:rFonts w:hint="eastAsia" w:ascii="Times New Roman" w:hAnsi="Times New Roman" w:eastAsia="仿宋_GB2312" w:cs="仿宋_GB2312"/>
          <w:kern w:val="0"/>
          <w:sz w:val="32"/>
          <w:szCs w:val="32"/>
        </w:rPr>
        <w:t>三、国有资本经营预算对下转移支付情况</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第五部分</w:t>
      </w:r>
      <w:r>
        <w:rPr>
          <w:rFonts w:hint="eastAsia" w:ascii="Times New Roman" w:hAnsi="Times New Roman" w:eastAsia="仿宋_GB2312" w:cs="仿宋_GB2312"/>
          <w:b/>
          <w:kern w:val="0"/>
          <w:sz w:val="32"/>
          <w:szCs w:val="32"/>
          <w:lang w:val="en-US" w:eastAsia="zh-CN"/>
        </w:rPr>
        <w:t xml:space="preserve"> </w:t>
      </w:r>
      <w:r>
        <w:rPr>
          <w:rFonts w:hint="eastAsia" w:ascii="Times New Roman" w:hAnsi="Times New Roman" w:eastAsia="仿宋_GB2312" w:cs="仿宋_GB2312"/>
          <w:b/>
          <w:kern w:val="0"/>
          <w:sz w:val="32"/>
          <w:szCs w:val="32"/>
        </w:rPr>
        <w:t>地方政府债务公开情况说明</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第六部分</w:t>
      </w:r>
      <w:r>
        <w:rPr>
          <w:rFonts w:hint="eastAsia" w:ascii="Times New Roman" w:hAnsi="Times New Roman" w:eastAsia="仿宋_GB2312" w:cs="仿宋_GB2312"/>
          <w:b/>
          <w:kern w:val="0"/>
          <w:sz w:val="32"/>
          <w:szCs w:val="32"/>
          <w:lang w:val="en-US" w:eastAsia="zh-CN"/>
        </w:rPr>
        <w:t xml:space="preserve"> </w:t>
      </w:r>
      <w:r>
        <w:rPr>
          <w:rFonts w:hint="eastAsia" w:ascii="Times New Roman" w:hAnsi="Times New Roman" w:eastAsia="仿宋_GB2312" w:cs="仿宋_GB2312"/>
          <w:b/>
          <w:kern w:val="0"/>
          <w:sz w:val="32"/>
          <w:szCs w:val="32"/>
        </w:rPr>
        <w:t>财政衔接推进乡村振兴补助资金公开情况说明</w:t>
      </w:r>
    </w:p>
    <w:p>
      <w:pPr>
        <w:widowControl/>
        <w:spacing w:line="600" w:lineRule="exact"/>
        <w:ind w:firstLine="643" w:firstLineChars="200"/>
        <w:outlineLvl w:val="1"/>
        <w:rPr>
          <w:rFonts w:eastAsia="仿宋_GB2312"/>
          <w:b/>
          <w:kern w:val="0"/>
          <w:sz w:val="32"/>
          <w:szCs w:val="32"/>
        </w:rPr>
      </w:pPr>
      <w:r>
        <w:rPr>
          <w:rFonts w:hint="eastAsia" w:ascii="Times New Roman" w:hAnsi="Times New Roman" w:eastAsia="仿宋_GB2312" w:cs="仿宋_GB2312"/>
          <w:b/>
          <w:kern w:val="0"/>
          <w:sz w:val="32"/>
          <w:szCs w:val="32"/>
        </w:rPr>
        <w:t>第七部分</w:t>
      </w:r>
      <w:r>
        <w:rPr>
          <w:rFonts w:hint="eastAsia" w:ascii="Times New Roman" w:hAnsi="Times New Roman" w:eastAsia="仿宋_GB2312" w:cs="仿宋_GB2312"/>
          <w:b/>
          <w:kern w:val="0"/>
          <w:sz w:val="32"/>
          <w:szCs w:val="32"/>
          <w:lang w:val="en-US" w:eastAsia="zh-CN"/>
        </w:rPr>
        <w:t xml:space="preserve"> </w:t>
      </w:r>
      <w:r>
        <w:rPr>
          <w:rFonts w:hint="eastAsia" w:ascii="Times New Roman" w:hAnsi="Times New Roman" w:eastAsia="仿宋_GB2312" w:cs="仿宋_GB2312"/>
          <w:b/>
          <w:kern w:val="0"/>
          <w:sz w:val="32"/>
          <w:szCs w:val="32"/>
        </w:rPr>
        <w:t>本级汇总的预算绩效情况说明</w:t>
      </w:r>
    </w:p>
    <w:p>
      <w:pPr>
        <w:widowControl/>
        <w:spacing w:line="600" w:lineRule="exact"/>
        <w:ind w:firstLine="643" w:firstLineChars="200"/>
        <w:outlineLvl w:val="1"/>
        <w:rPr>
          <w:rFonts w:ascii="Times New Roman" w:hAnsi="Times New Roman" w:eastAsia="仿宋_GB2312" w:cs="仿宋_GB2312"/>
          <w:b/>
          <w:kern w:val="0"/>
          <w:sz w:val="32"/>
          <w:szCs w:val="32"/>
        </w:rPr>
      </w:pPr>
      <w:r>
        <w:rPr>
          <w:rFonts w:hint="eastAsia" w:ascii="Times New Roman" w:hAnsi="Times New Roman" w:eastAsia="仿宋_GB2312" w:cs="仿宋_GB2312"/>
          <w:b/>
          <w:kern w:val="0"/>
          <w:sz w:val="32"/>
          <w:szCs w:val="32"/>
        </w:rPr>
        <w:t>第八部分</w:t>
      </w:r>
      <w:r>
        <w:rPr>
          <w:rFonts w:hint="eastAsia" w:ascii="Times New Roman" w:hAnsi="Times New Roman" w:eastAsia="仿宋_GB2312" w:cs="仿宋_GB2312"/>
          <w:b/>
          <w:kern w:val="0"/>
          <w:sz w:val="32"/>
          <w:szCs w:val="32"/>
          <w:lang w:val="en-US" w:eastAsia="zh-CN"/>
        </w:rPr>
        <w:t xml:space="preserve"> </w:t>
      </w:r>
      <w:r>
        <w:rPr>
          <w:rFonts w:hint="eastAsia" w:ascii="Times New Roman" w:hAnsi="Times New Roman" w:eastAsia="仿宋_GB2312" w:cs="仿宋_GB2312"/>
          <w:b/>
          <w:kern w:val="0"/>
          <w:sz w:val="32"/>
          <w:szCs w:val="32"/>
        </w:rPr>
        <w:t>其他情况说明</w:t>
      </w:r>
    </w:p>
    <w:p>
      <w:pPr>
        <w:widowControl/>
        <w:jc w:val="both"/>
        <w:outlineLvl w:val="1"/>
        <w:rPr>
          <w:rFonts w:hint="default" w:ascii="Times New Roman" w:hAnsi="Times New Roman" w:eastAsia="黑体" w:cs="Times New Roman"/>
          <w:kern w:val="0"/>
          <w:sz w:val="32"/>
          <w:szCs w:val="32"/>
          <w:lang w:val="en-US" w:eastAsia="zh-Hans"/>
        </w:rPr>
      </w:pPr>
    </w:p>
    <w:p>
      <w:pPr>
        <w:widowControl/>
        <w:jc w:val="center"/>
        <w:outlineLvl w:val="1"/>
        <w:rPr>
          <w:rFonts w:hint="default" w:ascii="Times New Roman" w:hAnsi="Times New Roman" w:eastAsia="黑体" w:cs="Times New Roman"/>
          <w:kern w:val="0"/>
          <w:sz w:val="32"/>
          <w:szCs w:val="32"/>
          <w:lang w:val="en-US" w:eastAsia="zh-Hans"/>
        </w:rPr>
      </w:pPr>
    </w:p>
    <w:p>
      <w:pPr>
        <w:pStyle w:val="2"/>
        <w:rPr>
          <w:rFonts w:hint="default"/>
          <w:lang w:val="en-US" w:eastAsia="zh-Hans"/>
        </w:rPr>
      </w:pPr>
    </w:p>
    <w:p>
      <w:pPr>
        <w:widowControl/>
        <w:jc w:val="center"/>
        <w:outlineLvl w:val="1"/>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widowControl/>
        <w:numPr>
          <w:ilvl w:val="0"/>
          <w:numId w:val="2"/>
        </w:numPr>
        <w:jc w:val="center"/>
        <w:outlineLvl w:val="1"/>
        <w:rPr>
          <w:rFonts w:hint="default" w:ascii="Times New Roman" w:hAnsi="Times New Roman" w:eastAsia="黑体" w:cs="Times New Roman"/>
          <w:kern w:val="0"/>
          <w:sz w:val="44"/>
          <w:szCs w:val="44"/>
          <w:lang w:val="en-US" w:eastAsia="zh-Hans"/>
        </w:rPr>
      </w:pPr>
      <w:r>
        <w:rPr>
          <w:rFonts w:hint="default" w:ascii="Times New Roman" w:hAnsi="Times New Roman" w:eastAsia="黑体" w:cs="Times New Roman"/>
          <w:kern w:val="0"/>
          <w:sz w:val="44"/>
          <w:szCs w:val="44"/>
          <w:lang w:val="en-US" w:eastAsia="zh-Hans"/>
        </w:rPr>
        <w:t>预算草案报告</w:t>
      </w: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2"/>
        <w:rPr>
          <w:rFonts w:hint="default" w:ascii="Times New Roman" w:hAnsi="Times New Roman" w:eastAsia="黑体" w:cs="Times New Roman"/>
          <w:kern w:val="0"/>
          <w:sz w:val="32"/>
          <w:szCs w:val="32"/>
          <w:lang w:val="en-US" w:eastAsia="zh-Hans"/>
        </w:rPr>
      </w:pPr>
    </w:p>
    <w:p>
      <w:pPr>
        <w:pStyle w:val="9"/>
        <w:keepNext w:val="0"/>
        <w:keepLines w:val="0"/>
        <w:pageBreakBefore w:val="0"/>
        <w:widowControl w:val="0"/>
        <w:shd w:val="clear"/>
        <w:kinsoku/>
        <w:wordWrap/>
        <w:overflowPunct/>
        <w:topLinePunct w:val="0"/>
        <w:autoSpaceDE/>
        <w:autoSpaceDN/>
        <w:bidi w:val="0"/>
        <w:adjustRightInd/>
        <w:snapToGrid/>
        <w:spacing w:line="580" w:lineRule="exact"/>
        <w:ind w:left="0" w:leftChars="0" w:firstLine="880" w:firstLineChars="200"/>
        <w:jc w:val="both"/>
        <w:textAlignment w:val="auto"/>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pPr>
    </w:p>
    <w:p>
      <w:pPr>
        <w:pStyle w:val="9"/>
        <w:keepNext w:val="0"/>
        <w:keepLines w:val="0"/>
        <w:pageBreakBefore w:val="0"/>
        <w:widowControl w:val="0"/>
        <w:shd w:val="clear"/>
        <w:kinsoku/>
        <w:wordWrap/>
        <w:overflowPunct/>
        <w:topLinePunct w:val="0"/>
        <w:autoSpaceDE/>
        <w:autoSpaceDN/>
        <w:bidi w:val="0"/>
        <w:adjustRightInd/>
        <w:snapToGrid/>
        <w:spacing w:line="680" w:lineRule="exact"/>
        <w:ind w:left="0" w:leftChars="0"/>
        <w:jc w:val="center"/>
        <w:textAlignment w:val="auto"/>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pPr>
    </w:p>
    <w:p>
      <w:pPr>
        <w:pStyle w:val="9"/>
        <w:keepNext w:val="0"/>
        <w:keepLines w:val="0"/>
        <w:pageBreakBefore w:val="0"/>
        <w:widowControl w:val="0"/>
        <w:shd w:val="clear"/>
        <w:kinsoku/>
        <w:wordWrap/>
        <w:overflowPunct/>
        <w:topLinePunct w:val="0"/>
        <w:autoSpaceDE/>
        <w:autoSpaceDN/>
        <w:bidi w:val="0"/>
        <w:adjustRightInd/>
        <w:snapToGrid/>
        <w:spacing w:line="680" w:lineRule="exact"/>
        <w:ind w:left="0" w:leftChars="0"/>
        <w:jc w:val="center"/>
        <w:textAlignment w:val="auto"/>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pPr>
      <w:r>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t>关于吐鲁番市</w:t>
      </w:r>
      <w:r>
        <w:rPr>
          <w:rFonts w:hint="eastAsia" w:ascii="宋体" w:hAnsi="宋体" w:eastAsia="方正小标宋简体" w:cs="方正小标宋简体"/>
          <w:b/>
          <w:bCs w:val="0"/>
          <w:color w:val="000000" w:themeColor="text1"/>
          <w:w w:val="95"/>
          <w:sz w:val="52"/>
          <w:szCs w:val="52"/>
          <w:lang w:val="en-US" w:eastAsia="zh-CN"/>
          <w14:textFill>
            <w14:solidFill>
              <w14:schemeClr w14:val="tx1"/>
            </w14:solidFill>
          </w14:textFill>
        </w:rPr>
        <w:t>2024</w:t>
      </w:r>
      <w:r>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t>年预算执行情况和</w:t>
      </w:r>
    </w:p>
    <w:p>
      <w:pPr>
        <w:pStyle w:val="9"/>
        <w:keepNext w:val="0"/>
        <w:keepLines w:val="0"/>
        <w:pageBreakBefore w:val="0"/>
        <w:widowControl w:val="0"/>
        <w:shd w:val="clear"/>
        <w:kinsoku/>
        <w:wordWrap/>
        <w:overflowPunct/>
        <w:topLinePunct w:val="0"/>
        <w:autoSpaceDE/>
        <w:autoSpaceDN/>
        <w:bidi w:val="0"/>
        <w:adjustRightInd/>
        <w:snapToGrid/>
        <w:spacing w:line="680" w:lineRule="exact"/>
        <w:ind w:left="0" w:leftChars="0"/>
        <w:jc w:val="center"/>
        <w:textAlignment w:val="auto"/>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pPr>
      <w:r>
        <w:rPr>
          <w:rFonts w:hint="eastAsia" w:ascii="宋体" w:hAnsi="宋体" w:eastAsia="方正小标宋简体" w:cs="方正小标宋简体"/>
          <w:b/>
          <w:bCs w:val="0"/>
          <w:color w:val="000000" w:themeColor="text1"/>
          <w:w w:val="95"/>
          <w:sz w:val="52"/>
          <w:szCs w:val="52"/>
          <w:lang w:val="en-US" w:eastAsia="zh-CN"/>
          <w14:textFill>
            <w14:solidFill>
              <w14:schemeClr w14:val="tx1"/>
            </w14:solidFill>
          </w14:textFill>
        </w:rPr>
        <w:t>2025</w:t>
      </w:r>
      <w:r>
        <w:rPr>
          <w:rFonts w:hint="eastAsia" w:ascii="宋体" w:hAnsi="宋体" w:eastAsia="方正小标宋简体" w:cs="方正小标宋简体"/>
          <w:bCs/>
          <w:color w:val="000000" w:themeColor="text1"/>
          <w:w w:val="95"/>
          <w:sz w:val="52"/>
          <w:szCs w:val="52"/>
          <w:lang w:val="en-US" w:eastAsia="zh-CN"/>
          <w14:textFill>
            <w14:solidFill>
              <w14:schemeClr w14:val="tx1"/>
            </w14:solidFill>
          </w14:textFill>
        </w:rPr>
        <w:t>年预算草案的报告</w:t>
      </w:r>
    </w:p>
    <w:p>
      <w:pPr>
        <w:keepNext w:val="0"/>
        <w:keepLines w:val="0"/>
        <w:pageBreakBefore w:val="0"/>
        <w:widowControl w:val="0"/>
        <w:kinsoku/>
        <w:wordWrap/>
        <w:overflowPunct w:val="0"/>
        <w:topLinePunct w:val="0"/>
        <w:autoSpaceDE/>
        <w:autoSpaceDN/>
        <w:bidi w:val="0"/>
        <w:adjustRightInd/>
        <w:snapToGrid/>
        <w:spacing w:line="240" w:lineRule="auto"/>
        <w:ind w:left="0" w:leftChars="0" w:right="0" w:rightChars="0" w:firstLine="0" w:firstLineChars="0"/>
        <w:jc w:val="center"/>
        <w:textAlignment w:val="auto"/>
        <w:outlineLvl w:val="9"/>
        <w:rPr>
          <w:rFonts w:hint="eastAsia" w:ascii="宋体" w:hAnsi="宋体" w:eastAsia="方正小标宋简体" w:cs="方正小标宋简体"/>
          <w:bCs/>
          <w:color w:val="000000" w:themeColor="text1"/>
          <w:w w:val="90"/>
          <w:sz w:val="52"/>
          <w:szCs w:val="52"/>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560" w:lineRule="exact"/>
        <w:jc w:val="center"/>
        <w:textAlignment w:val="auto"/>
        <w:outlineLvl w:val="9"/>
        <w:rPr>
          <w:rFonts w:hint="eastAsia" w:ascii="宋体" w:hAnsi="宋体" w:eastAsia="方正小标宋简体" w:cs="方正小标宋简体"/>
          <w:bCs/>
          <w:color w:val="000000" w:themeColor="text1"/>
          <w:w w:val="90"/>
          <w:kern w:val="2"/>
          <w:sz w:val="52"/>
          <w:szCs w:val="52"/>
          <w:lang w:val="en-US" w:eastAsia="zh-CN" w:bidi="ar-SA"/>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560" w:lineRule="exact"/>
        <w:jc w:val="center"/>
        <w:textAlignment w:val="auto"/>
        <w:outlineLvl w:val="9"/>
        <w:rPr>
          <w:rFonts w:hint="eastAsia" w:ascii="宋体" w:hAnsi="宋体" w:eastAsia="楷体_GB2312" w:cs="楷体_GB2312"/>
          <w:bCs/>
          <w:color w:val="000000" w:themeColor="text1"/>
          <w:w w:val="100"/>
          <w:sz w:val="32"/>
          <w:szCs w:val="32"/>
          <w:lang w:val="en-US"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jc w:val="center"/>
        <w:rPr>
          <w:rFonts w:hint="eastAsia" w:ascii="楷体_GB2312" w:hAnsi="楷体_GB2312" w:eastAsia="楷体_GB2312" w:cs="楷体_GB2312"/>
          <w:bCs/>
          <w:color w:val="000000" w:themeColor="text1"/>
          <w:w w:val="100"/>
          <w:sz w:val="32"/>
          <w:szCs w:val="32"/>
          <w:lang w:val="en-US" w:eastAsia="zh-CN"/>
          <w14:textFill>
            <w14:solidFill>
              <w14:schemeClr w14:val="tx1"/>
            </w14:solidFill>
          </w14:textFill>
        </w:rPr>
      </w:pPr>
      <w:r>
        <w:rPr>
          <w:rFonts w:hint="eastAsia" w:ascii="楷体_GB2312" w:hAnsi="楷体_GB2312" w:eastAsia="楷体_GB2312" w:cs="楷体_GB2312"/>
          <w:bCs/>
          <w:color w:val="000000" w:themeColor="text1"/>
          <w:w w:val="100"/>
          <w:sz w:val="32"/>
          <w:szCs w:val="32"/>
          <w:lang w:val="en-US" w:eastAsia="zh-CN"/>
          <w14:textFill>
            <w14:solidFill>
              <w14:schemeClr w14:val="tx1"/>
            </w14:solidFill>
          </w14:textFill>
        </w:rPr>
        <w:t>2025年1月13日在吐鲁番市第二届人民代表大会</w:t>
      </w:r>
    </w:p>
    <w:p>
      <w:pPr>
        <w:pStyle w:val="8"/>
        <w:keepNext w:val="0"/>
        <w:keepLines w:val="0"/>
        <w:pageBreakBefore w:val="0"/>
        <w:widowControl w:val="0"/>
        <w:kinsoku/>
        <w:wordWrap/>
        <w:overflowPunct w:val="0"/>
        <w:topLinePunct w:val="0"/>
        <w:autoSpaceDE/>
        <w:autoSpaceDN/>
        <w:bidi w:val="0"/>
        <w:adjustRightInd/>
        <w:snapToGrid/>
        <w:jc w:val="center"/>
        <w:rPr>
          <w:rFonts w:hint="eastAsia" w:ascii="楷体_GB2312" w:hAnsi="楷体_GB2312" w:eastAsia="楷体_GB2312" w:cs="楷体_GB2312"/>
          <w:color w:val="000000" w:themeColor="text1"/>
          <w:w w:val="100"/>
          <w:sz w:val="32"/>
          <w:szCs w:val="32"/>
          <w:lang w:val="en-US" w:eastAsia="zh-CN"/>
          <w14:textFill>
            <w14:solidFill>
              <w14:schemeClr w14:val="tx1"/>
            </w14:solidFill>
          </w14:textFill>
        </w:rPr>
      </w:pPr>
      <w:r>
        <w:rPr>
          <w:rFonts w:hint="eastAsia" w:ascii="楷体_GB2312" w:hAnsi="楷体_GB2312" w:eastAsia="楷体_GB2312" w:cs="楷体_GB2312"/>
          <w:bCs/>
          <w:color w:val="000000" w:themeColor="text1"/>
          <w:w w:val="100"/>
          <w:sz w:val="32"/>
          <w:szCs w:val="32"/>
          <w:lang w:val="en-US" w:eastAsia="zh-CN"/>
          <w14:textFill>
            <w14:solidFill>
              <w14:schemeClr w14:val="tx1"/>
            </w14:solidFill>
          </w14:textFill>
        </w:rPr>
        <w:t>第五次会议上</w:t>
      </w:r>
    </w:p>
    <w:p>
      <w:pPr>
        <w:keepNext w:val="0"/>
        <w:keepLines w:val="0"/>
        <w:pageBreakBefore w:val="0"/>
        <w:widowControl w:val="0"/>
        <w:kinsoku/>
        <w:wordWrap/>
        <w:overflowPunct w:val="0"/>
        <w:topLinePunct w:val="0"/>
        <w:autoSpaceDE/>
        <w:autoSpaceDN/>
        <w:bidi w:val="0"/>
        <w:adjustRightInd/>
        <w:snapToGrid/>
        <w:jc w:val="center"/>
        <w:rPr>
          <w:rFonts w:hint="eastAsia" w:ascii="宋体" w:hAnsi="宋体" w:eastAsia="黑体" w:cs="黑体"/>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jc w:val="center"/>
        <w:rPr>
          <w:rFonts w:hint="eastAsia" w:ascii="宋体" w:hAnsi="宋体" w:eastAsia="黑体" w:cs="黑体"/>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jc w:val="center"/>
        <w:rPr>
          <w:rFonts w:hint="eastAsia" w:ascii="宋体" w:hAnsi="宋体" w:eastAsia="黑体" w:cs="黑体"/>
          <w:color w:val="000000" w:themeColor="text1"/>
          <w:sz w:val="32"/>
          <w:szCs w:val="32"/>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jc w:val="center"/>
        <w:rPr>
          <w:rFonts w:hint="eastAsia" w:ascii="宋体" w:hAnsi="宋体" w:eastAsia="黑体" w:cs="黑体"/>
          <w:color w:val="000000" w:themeColor="text1"/>
          <w:sz w:val="32"/>
          <w:szCs w:val="32"/>
          <w:lang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240" w:lineRule="exact"/>
        <w:textAlignment w:val="auto"/>
        <w:rPr>
          <w:rFonts w:hint="eastAsia" w:ascii="宋体" w:hAnsi="宋体" w:eastAsia="黑体" w:cs="黑体"/>
          <w:color w:val="000000" w:themeColor="text1"/>
          <w:sz w:val="32"/>
          <w:szCs w:val="32"/>
          <w:lang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240" w:lineRule="exact"/>
        <w:textAlignment w:val="auto"/>
        <w:rPr>
          <w:rFonts w:hint="eastAsia" w:ascii="宋体" w:hAnsi="宋体" w:eastAsia="黑体" w:cs="黑体"/>
          <w:color w:val="000000" w:themeColor="text1"/>
          <w:sz w:val="32"/>
          <w:szCs w:val="32"/>
          <w:lang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540" w:lineRule="exact"/>
        <w:textAlignment w:val="auto"/>
        <w:rPr>
          <w:rFonts w:hint="eastAsia" w:ascii="宋体" w:hAnsi="宋体"/>
          <w:color w:val="000000" w:themeColor="text1"/>
          <w:lang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540" w:lineRule="exact"/>
        <w:textAlignment w:val="auto"/>
        <w:rPr>
          <w:rFonts w:hint="eastAsia" w:ascii="宋体" w:hAnsi="宋体"/>
          <w:color w:val="000000" w:themeColor="text1"/>
          <w:lang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宋体" w:hAnsi="宋体" w:eastAsia="黑体" w:cs="黑体"/>
          <w:color w:val="000000" w:themeColor="text1"/>
          <w:sz w:val="32"/>
          <w:szCs w:val="32"/>
          <w:lang w:eastAsia="zh-CN"/>
          <w14:textFill>
            <w14:solidFill>
              <w14:schemeClr w14:val="tx1"/>
            </w14:solidFill>
          </w14:textFill>
        </w:rPr>
      </w:pPr>
      <w:r>
        <w:rPr>
          <w:rFonts w:hint="eastAsia" w:ascii="宋体" w:hAnsi="宋体" w:eastAsia="黑体" w:cs="黑体"/>
          <w:color w:val="000000" w:themeColor="text1"/>
          <w:sz w:val="32"/>
          <w:szCs w:val="32"/>
          <w:lang w:eastAsia="zh-CN"/>
          <w14:textFill>
            <w14:solidFill>
              <w14:schemeClr w14:val="tx1"/>
            </w14:solidFill>
          </w14:textFill>
        </w:rPr>
        <w:t>吐鲁番市财政局</w:t>
      </w:r>
    </w:p>
    <w:p>
      <w:pPr>
        <w:pStyle w:val="8"/>
        <w:keepNext w:val="0"/>
        <w:keepLines w:val="0"/>
        <w:pageBreakBefore w:val="0"/>
        <w:widowControl w:val="0"/>
        <w:kinsoku/>
        <w:wordWrap/>
        <w:overflowPunct w:val="0"/>
        <w:topLinePunct w:val="0"/>
        <w:autoSpaceDE/>
        <w:autoSpaceDN/>
        <w:bidi w:val="0"/>
        <w:adjustRightInd/>
        <w:snapToGrid/>
        <w:spacing w:line="600" w:lineRule="exact"/>
        <w:jc w:val="center"/>
        <w:textAlignment w:val="auto"/>
        <w:rPr>
          <w:rFonts w:hint="eastAsia" w:ascii="宋体" w:hAnsi="宋体" w:eastAsia="黑体" w:cs="黑体"/>
          <w:b w:val="0"/>
          <w:bCs w:val="0"/>
          <w:color w:val="000000" w:themeColor="text1"/>
          <w:sz w:val="32"/>
          <w:szCs w:val="32"/>
          <w:lang w:val="en-US" w:eastAsia="zh-CN"/>
          <w14:textFill>
            <w14:solidFill>
              <w14:schemeClr w14:val="tx1"/>
            </w14:solidFill>
          </w14:textFill>
        </w:rPr>
      </w:pPr>
      <w:r>
        <w:rPr>
          <w:rFonts w:hint="eastAsia" w:hAnsi="宋体" w:eastAsia="黑体" w:cs="黑体"/>
          <w:b w:val="0"/>
          <w:bCs w:val="0"/>
          <w:color w:val="000000" w:themeColor="text1"/>
          <w:sz w:val="32"/>
          <w:szCs w:val="32"/>
          <w:lang w:val="en-US" w:eastAsia="zh-CN"/>
          <w14:textFill>
            <w14:solidFill>
              <w14:schemeClr w14:val="tx1"/>
            </w14:solidFill>
          </w14:textFill>
        </w:rPr>
        <w:t>二〇</w:t>
      </w:r>
      <w:r>
        <w:rPr>
          <w:rFonts w:hint="eastAsia" w:ascii="宋体" w:hAnsi="宋体" w:eastAsia="黑体" w:cs="黑体"/>
          <w:b w:val="0"/>
          <w:bCs w:val="0"/>
          <w:color w:val="000000" w:themeColor="text1"/>
          <w:sz w:val="32"/>
          <w:szCs w:val="32"/>
          <w:lang w:val="en-US" w:eastAsia="zh-CN"/>
          <w14:textFill>
            <w14:solidFill>
              <w14:schemeClr w14:val="tx1"/>
            </w14:solidFill>
          </w14:textFill>
        </w:rPr>
        <w:t>二</w:t>
      </w:r>
      <w:r>
        <w:rPr>
          <w:rFonts w:hint="eastAsia" w:hAnsi="宋体" w:eastAsia="黑体" w:cs="黑体"/>
          <w:b w:val="0"/>
          <w:bCs w:val="0"/>
          <w:color w:val="000000" w:themeColor="text1"/>
          <w:sz w:val="32"/>
          <w:szCs w:val="32"/>
          <w:lang w:val="en-US" w:eastAsia="zh-CN"/>
          <w14:textFill>
            <w14:solidFill>
              <w14:schemeClr w14:val="tx1"/>
            </w14:solidFill>
          </w14:textFill>
        </w:rPr>
        <w:t>五</w:t>
      </w:r>
      <w:r>
        <w:rPr>
          <w:rFonts w:hint="eastAsia" w:ascii="宋体" w:hAnsi="宋体" w:eastAsia="黑体" w:cs="黑体"/>
          <w:b w:val="0"/>
          <w:bCs w:val="0"/>
          <w:color w:val="000000" w:themeColor="text1"/>
          <w:sz w:val="32"/>
          <w:szCs w:val="32"/>
          <w:lang w:val="en-US" w:eastAsia="zh-CN"/>
          <w14:textFill>
            <w14:solidFill>
              <w14:schemeClr w14:val="tx1"/>
            </w14:solidFill>
          </w14:textFill>
        </w:rPr>
        <w:t>年</w:t>
      </w:r>
      <w:r>
        <w:rPr>
          <w:rFonts w:hint="eastAsia" w:hAnsi="宋体" w:eastAsia="黑体" w:cs="黑体"/>
          <w:b w:val="0"/>
          <w:bCs w:val="0"/>
          <w:color w:val="000000" w:themeColor="text1"/>
          <w:sz w:val="32"/>
          <w:szCs w:val="32"/>
          <w:lang w:val="en-US" w:eastAsia="zh-CN"/>
          <w14:textFill>
            <w14:solidFill>
              <w14:schemeClr w14:val="tx1"/>
            </w14:solidFill>
          </w14:textFill>
        </w:rPr>
        <w:t>一</w:t>
      </w:r>
      <w:r>
        <w:rPr>
          <w:rFonts w:hint="eastAsia" w:ascii="宋体" w:hAnsi="宋体" w:eastAsia="黑体" w:cs="黑体"/>
          <w:b w:val="0"/>
          <w:bCs w:val="0"/>
          <w:color w:val="000000" w:themeColor="text1"/>
          <w:sz w:val="32"/>
          <w:szCs w:val="32"/>
          <w:lang w:val="en-US" w:eastAsia="zh-CN"/>
          <w14:textFill>
            <w14:solidFill>
              <w14:schemeClr w14:val="tx1"/>
            </w14:solidFill>
          </w14:textFill>
        </w:rPr>
        <w:t>月</w:t>
      </w:r>
    </w:p>
    <w:p>
      <w:pPr>
        <w:pStyle w:val="12"/>
        <w:numPr>
          <w:ilvl w:val="0"/>
          <w:numId w:val="0"/>
        </w:numPr>
        <w:rPr>
          <w:rFonts w:hint="eastAsia"/>
          <w:lang w:val="en-US" w:eastAsia="zh-CN"/>
        </w:rPr>
      </w:pPr>
    </w:p>
    <w:p>
      <w:pPr>
        <w:pStyle w:val="4"/>
        <w:rPr>
          <w:rFonts w:hint="eastAsia"/>
          <w:lang w:val="en-US" w:eastAsia="zh-CN"/>
        </w:rPr>
        <w:sectPr>
          <w:footerReference r:id="rId3" w:type="default"/>
          <w:pgSz w:w="11906" w:h="16838"/>
          <w:pgMar w:top="2098" w:right="1531" w:bottom="1928" w:left="1531" w:header="851" w:footer="1361"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pPr>
        <w:pStyle w:val="9"/>
        <w:keepNext w:val="0"/>
        <w:keepLines w:val="0"/>
        <w:pageBreakBefore w:val="0"/>
        <w:widowControl w:val="0"/>
        <w:shd w:val="clear"/>
        <w:kinsoku/>
        <w:wordWrap/>
        <w:overflowPunct/>
        <w:topLinePunct w:val="0"/>
        <w:autoSpaceDE/>
        <w:autoSpaceDN/>
        <w:bidi w:val="0"/>
        <w:adjustRightInd/>
        <w:snapToGrid/>
        <w:spacing w:line="580" w:lineRule="exact"/>
        <w:ind w:left="0" w:leftChars="0"/>
        <w:jc w:val="center"/>
        <w:textAlignment w:val="auto"/>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pPr>
    </w:p>
    <w:p>
      <w:pPr>
        <w:pStyle w:val="9"/>
        <w:keepNext w:val="0"/>
        <w:keepLines w:val="0"/>
        <w:pageBreakBefore w:val="0"/>
        <w:widowControl w:val="0"/>
        <w:shd w:val="clear"/>
        <w:kinsoku/>
        <w:wordWrap/>
        <w:overflowPunct/>
        <w:topLinePunct w:val="0"/>
        <w:autoSpaceDE/>
        <w:autoSpaceDN/>
        <w:bidi w:val="0"/>
        <w:adjustRightInd/>
        <w:snapToGrid/>
        <w:spacing w:line="580" w:lineRule="exact"/>
        <w:ind w:left="0" w:leftChars="0"/>
        <w:jc w:val="center"/>
        <w:textAlignment w:val="auto"/>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pPr>
      <w:r>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t>关于吐鲁番市</w:t>
      </w:r>
      <w:r>
        <w:rPr>
          <w:rFonts w:hint="eastAsia" w:asciiTheme="majorEastAsia" w:hAnsiTheme="majorEastAsia" w:eastAsiaTheme="majorEastAsia" w:cstheme="majorEastAsia"/>
          <w:b/>
          <w:bCs/>
          <w:color w:val="000000" w:themeColor="text1"/>
          <w:sz w:val="44"/>
          <w:szCs w:val="44"/>
          <w:lang w:val="en-US" w:eastAsia="zh-CN"/>
          <w14:textFill>
            <w14:solidFill>
              <w14:schemeClr w14:val="tx1"/>
            </w14:solidFill>
          </w14:textFill>
        </w:rPr>
        <w:t>2024</w:t>
      </w:r>
      <w:r>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t>年预算执行情况和</w:t>
      </w:r>
    </w:p>
    <w:p>
      <w:pPr>
        <w:pStyle w:val="9"/>
        <w:keepNext w:val="0"/>
        <w:keepLines w:val="0"/>
        <w:pageBreakBefore w:val="0"/>
        <w:widowControl w:val="0"/>
        <w:shd w:val="clear"/>
        <w:kinsoku/>
        <w:wordWrap/>
        <w:overflowPunct/>
        <w:topLinePunct w:val="0"/>
        <w:autoSpaceDE/>
        <w:autoSpaceDN/>
        <w:bidi w:val="0"/>
        <w:adjustRightInd/>
        <w:snapToGrid/>
        <w:spacing w:line="580" w:lineRule="exact"/>
        <w:ind w:left="0" w:leftChars="0"/>
        <w:jc w:val="center"/>
        <w:textAlignment w:val="auto"/>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pPr>
      <w:r>
        <w:rPr>
          <w:rFonts w:hint="eastAsia" w:asciiTheme="majorEastAsia" w:hAnsiTheme="majorEastAsia" w:eastAsiaTheme="majorEastAsia" w:cstheme="majorEastAsia"/>
          <w:b/>
          <w:bCs/>
          <w:color w:val="000000" w:themeColor="text1"/>
          <w:sz w:val="44"/>
          <w:szCs w:val="44"/>
          <w:lang w:val="en-US" w:eastAsia="zh-CN"/>
          <w14:textFill>
            <w14:solidFill>
              <w14:schemeClr w14:val="tx1"/>
            </w14:solidFill>
          </w14:textFill>
        </w:rPr>
        <w:t>2025</w:t>
      </w:r>
      <w:r>
        <w:rPr>
          <w:rFonts w:hint="eastAsia" w:ascii="Times New Roman" w:hAnsi="Times New Roman" w:eastAsia="方正小标宋简体" w:cs="方正小标宋简体"/>
          <w:color w:val="000000" w:themeColor="text1"/>
          <w:sz w:val="44"/>
          <w:szCs w:val="44"/>
          <w:lang w:val="en-US" w:eastAsia="zh-CN"/>
          <w14:textFill>
            <w14:solidFill>
              <w14:schemeClr w14:val="tx1"/>
            </w14:solidFill>
          </w14:textFill>
        </w:rPr>
        <w:t>年预算草案的报告</w:t>
      </w:r>
    </w:p>
    <w:p>
      <w:pPr>
        <w:pStyle w:val="8"/>
        <w:keepNext w:val="0"/>
        <w:keepLines w:val="0"/>
        <w:pageBreakBefore w:val="0"/>
        <w:widowControl w:val="0"/>
        <w:kinsoku/>
        <w:wordWrap/>
        <w:overflowPunct w:val="0"/>
        <w:topLinePunct w:val="0"/>
        <w:autoSpaceDE/>
        <w:autoSpaceDN/>
        <w:bidi w:val="0"/>
        <w:adjustRightInd/>
        <w:snapToGrid/>
        <w:spacing w:line="580" w:lineRule="exact"/>
        <w:jc w:val="left"/>
        <w:textAlignment w:val="auto"/>
        <w:rPr>
          <w:rFonts w:hint="eastAsia" w:ascii="Times New Roman" w:hAnsi="Times New Roman" w:eastAsia="楷体_GB2312" w:cs="楷体_GB2312"/>
          <w:bCs/>
          <w:color w:val="000000" w:themeColor="text1"/>
          <w:w w:val="100"/>
          <w:sz w:val="32"/>
          <w:szCs w:val="32"/>
          <w:lang w:val="en-US" w:eastAsia="zh-CN"/>
          <w14:textFill>
            <w14:solidFill>
              <w14:schemeClr w14:val="tx1"/>
            </w14:solidFill>
          </w14:textFill>
        </w:rPr>
      </w:pPr>
    </w:p>
    <w:p>
      <w:pPr>
        <w:pStyle w:val="8"/>
        <w:keepNext w:val="0"/>
        <w:keepLines w:val="0"/>
        <w:pageBreakBefore w:val="0"/>
        <w:widowControl w:val="0"/>
        <w:kinsoku/>
        <w:wordWrap/>
        <w:overflowPunct w:val="0"/>
        <w:topLinePunct w:val="0"/>
        <w:autoSpaceDE/>
        <w:autoSpaceDN/>
        <w:bidi w:val="0"/>
        <w:adjustRightInd/>
        <w:snapToGrid/>
        <w:spacing w:line="580" w:lineRule="exact"/>
        <w:jc w:val="center"/>
        <w:textAlignment w:val="auto"/>
        <w:rPr>
          <w:rFonts w:hint="eastAsia" w:ascii="Times New Roman" w:hAnsi="Times New Roman" w:eastAsia="楷体_GB2312" w:cs="楷体_GB2312"/>
          <w:bCs/>
          <w:color w:val="000000" w:themeColor="text1"/>
          <w:w w:val="100"/>
          <w:sz w:val="32"/>
          <w:szCs w:val="32"/>
          <w:lang w:val="en-US" w:eastAsia="zh-CN"/>
          <w14:textFill>
            <w14:solidFill>
              <w14:schemeClr w14:val="tx1"/>
            </w14:solidFill>
          </w14:textFill>
        </w:rPr>
      </w:pPr>
      <w:r>
        <w:rPr>
          <w:rFonts w:hint="eastAsia" w:ascii="楷体_GB2312" w:hAnsi="楷体_GB2312" w:eastAsia="楷体_GB2312" w:cs="楷体_GB2312"/>
          <w:bCs/>
          <w:color w:val="000000" w:themeColor="text1"/>
          <w:w w:val="100"/>
          <w:sz w:val="32"/>
          <w:szCs w:val="32"/>
          <w:lang w:val="en-US" w:eastAsia="zh-CN"/>
          <w14:textFill>
            <w14:solidFill>
              <w14:schemeClr w14:val="tx1"/>
            </w14:solidFill>
          </w14:textFill>
        </w:rPr>
        <w:t>——</w:t>
      </w:r>
      <w:r>
        <w:rPr>
          <w:rFonts w:hint="eastAsia" w:ascii="Times New Roman" w:hAnsi="Times New Roman" w:eastAsia="楷体_GB2312" w:cs="楷体_GB2312"/>
          <w:bCs/>
          <w:color w:val="000000" w:themeColor="text1"/>
          <w:w w:val="100"/>
          <w:sz w:val="32"/>
          <w:szCs w:val="32"/>
          <w:lang w:val="en-US" w:eastAsia="zh-CN"/>
          <w14:textFill>
            <w14:solidFill>
              <w14:schemeClr w14:val="tx1"/>
            </w14:solidFill>
          </w14:textFill>
        </w:rPr>
        <w:t>2025年1月13日在吐鲁番市第二届人民代表大会</w:t>
      </w:r>
    </w:p>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rPr>
          <w:rFonts w:ascii="Times New Roman" w:hAnsi="Times New Roman" w:eastAsia="仿宋_GB2312"/>
          <w:color w:val="000000" w:themeColor="text1"/>
          <w:sz w:val="32"/>
          <w:szCs w:val="32"/>
          <w14:textFill>
            <w14:solidFill>
              <w14:schemeClr w14:val="tx1"/>
            </w14:solidFill>
          </w14:textFill>
        </w:rPr>
      </w:pPr>
      <w:r>
        <w:rPr>
          <w:rFonts w:hint="eastAsia" w:ascii="Times New Roman" w:hAnsi="Times New Roman" w:eastAsia="楷体_GB2312" w:cs="楷体_GB2312"/>
          <w:bCs/>
          <w:color w:val="000000" w:themeColor="text1"/>
          <w:w w:val="100"/>
          <w:sz w:val="32"/>
          <w:szCs w:val="32"/>
          <w:lang w:val="en-US" w:eastAsia="zh-CN"/>
          <w14:textFill>
            <w14:solidFill>
              <w14:schemeClr w14:val="tx1"/>
            </w14:solidFill>
          </w14:textFill>
        </w:rPr>
        <w:t>第五次会议上</w:t>
      </w:r>
    </w:p>
    <w:p>
      <w:pPr>
        <w:keepNext w:val="0"/>
        <w:keepLines w:val="0"/>
        <w:pageBreakBefore w:val="0"/>
        <w:widowControl w:val="0"/>
        <w:kinsoku/>
        <w:wordWrap/>
        <w:overflowPunct w:val="0"/>
        <w:topLinePunct w:val="0"/>
        <w:autoSpaceDE/>
        <w:autoSpaceDN/>
        <w:bidi w:val="0"/>
        <w:adjustRightInd/>
        <w:snapToGrid/>
        <w:spacing w:line="580" w:lineRule="exact"/>
        <w:jc w:val="left"/>
        <w:textAlignment w:val="auto"/>
        <w:rPr>
          <w:rFonts w:hint="eastAsia" w:ascii="Times New Roman" w:hAnsi="Times New Roman" w:eastAsia="黑体" w:cs="黑体"/>
          <w:color w:val="000000" w:themeColor="text1"/>
          <w:sz w:val="32"/>
          <w:szCs w:val="28"/>
          <w:lang w:val="en-US" w:eastAsia="zh-CN"/>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spacing w:line="580" w:lineRule="exact"/>
        <w:jc w:val="center"/>
        <w:textAlignment w:val="auto"/>
        <w:rPr>
          <w:rFonts w:hint="eastAsia" w:ascii="Times New Roman" w:hAnsi="Times New Roman" w:eastAsia="楷体_GB2312" w:cs="楷体_GB2312"/>
          <w:b w:val="0"/>
          <w:bCs w:val="0"/>
          <w:color w:val="000000" w:themeColor="text1"/>
          <w:sz w:val="32"/>
          <w:szCs w:val="32"/>
          <w:lang w:val="en-US" w:eastAsia="zh-CN"/>
          <w14:textFill>
            <w14:solidFill>
              <w14:schemeClr w14:val="tx1"/>
            </w14:solidFill>
          </w14:textFill>
        </w:rPr>
      </w:pPr>
      <w:r>
        <w:rPr>
          <w:rFonts w:hint="eastAsia" w:ascii="Times New Roman" w:hAnsi="Times New Roman" w:eastAsia="楷体_GB2312" w:cs="楷体_GB2312"/>
          <w:b w:val="0"/>
          <w:bCs w:val="0"/>
          <w:color w:val="000000" w:themeColor="text1"/>
          <w:sz w:val="32"/>
          <w:szCs w:val="32"/>
          <w:lang w:val="en-US" w:eastAsia="zh-CN"/>
          <w14:textFill>
            <w14:solidFill>
              <w14:schemeClr w14:val="tx1"/>
            </w14:solidFill>
          </w14:textFill>
        </w:rPr>
        <w:t>吐鲁番市财政局</w:t>
      </w:r>
    </w:p>
    <w:p>
      <w:pPr>
        <w:keepNext w:val="0"/>
        <w:keepLines w:val="0"/>
        <w:pageBreakBefore w:val="0"/>
        <w:widowControl w:val="0"/>
        <w:kinsoku/>
        <w:wordWrap/>
        <w:overflowPunct w:val="0"/>
        <w:topLinePunct w:val="0"/>
        <w:autoSpaceDE/>
        <w:autoSpaceDN/>
        <w:bidi w:val="0"/>
        <w:adjustRightInd/>
        <w:snapToGrid/>
        <w:spacing w:line="580" w:lineRule="exact"/>
        <w:ind w:firstLine="640" w:firstLineChars="200"/>
        <w:jc w:val="left"/>
        <w:textAlignment w:val="auto"/>
        <w:rPr>
          <w:rFonts w:hint="eastAsia" w:ascii="仿宋_GB2312" w:hAnsi="仿宋_GB2312" w:eastAsia="仿宋_GB2312" w:cs="仿宋_GB2312"/>
          <w:b w:val="0"/>
          <w:bCs w:val="0"/>
          <w:color w:val="000000" w:themeColor="text1"/>
          <w:sz w:val="32"/>
          <w:szCs w:val="28"/>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jc w:val="left"/>
        <w:textAlignment w:val="auto"/>
        <w:rPr>
          <w:rFonts w:hint="eastAsia" w:ascii="仿宋_GB2312" w:hAnsi="仿宋_GB2312" w:eastAsia="仿宋_GB2312" w:cs="仿宋_GB2312"/>
          <w:b w:val="0"/>
          <w:bCs w:val="0"/>
          <w:snapToGrid w:val="0"/>
          <w:color w:val="000000" w:themeColor="text1"/>
          <w:kern w:val="0"/>
          <w:sz w:val="36"/>
          <w:szCs w:val="36"/>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28"/>
          <w:lang w:val="en-US" w:eastAsia="zh-CN"/>
          <w14:textFill>
            <w14:solidFill>
              <w14:schemeClr w14:val="tx1"/>
            </w14:solidFill>
          </w14:textFill>
        </w:rPr>
        <w:t>各位代表：</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left"/>
        <w:textAlignment w:val="auto"/>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受市人民政府委托，向大会作2024年预算执行情况和2025年预算草案报告，请予以审议，并请政协各位委员和其他列席人员提出宝贵意见建议。</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left"/>
        <w:textAlignment w:val="auto"/>
        <w:rPr>
          <w:rFonts w:hint="eastAsia" w:ascii="黑体" w:hAnsi="黑体" w:eastAsia="黑体" w:cs="黑体"/>
          <w:b w:val="0"/>
          <w:bCs w:val="0"/>
          <w:snapToGrid w:val="0"/>
          <w:color w:val="000000" w:themeColor="text1"/>
          <w:kern w:val="0"/>
          <w:sz w:val="32"/>
          <w:szCs w:val="32"/>
          <w14:textFill>
            <w14:solidFill>
              <w14:schemeClr w14:val="tx1"/>
            </w14:solidFill>
          </w14:textFill>
        </w:rPr>
      </w:pPr>
      <w:r>
        <w:rPr>
          <w:rFonts w:hint="eastAsia" w:ascii="黑体" w:hAnsi="黑体" w:eastAsia="黑体" w:cs="黑体"/>
          <w:b w:val="0"/>
          <w:bCs w:val="0"/>
          <w:color w:val="000000" w:themeColor="text1"/>
          <w:kern w:val="0"/>
          <w:sz w:val="32"/>
          <w:szCs w:val="32"/>
          <w14:textFill>
            <w14:solidFill>
              <w14:schemeClr w14:val="tx1"/>
            </w14:solidFill>
          </w14:textFill>
        </w:rPr>
        <w:t>一、</w:t>
      </w:r>
      <w:r>
        <w:rPr>
          <w:rFonts w:hint="eastAsia" w:ascii="黑体" w:hAnsi="黑体" w:eastAsia="黑体" w:cs="黑体"/>
          <w:b w:val="0"/>
          <w:bCs w:val="0"/>
          <w:snapToGrid w:val="0"/>
          <w:color w:val="000000" w:themeColor="text1"/>
          <w:kern w:val="0"/>
          <w:sz w:val="32"/>
          <w:szCs w:val="32"/>
          <w14:textFill>
            <w14:solidFill>
              <w14:schemeClr w14:val="tx1"/>
            </w14:solidFill>
          </w14:textFill>
        </w:rPr>
        <w:t>2024年</w:t>
      </w:r>
      <w:r>
        <w:rPr>
          <w:rFonts w:hint="eastAsia" w:ascii="黑体" w:hAnsi="黑体" w:eastAsia="黑体" w:cs="黑体"/>
          <w:b w:val="0"/>
          <w:bCs w:val="0"/>
          <w:snapToGrid w:val="0"/>
          <w:color w:val="000000" w:themeColor="text1"/>
          <w:kern w:val="0"/>
          <w:sz w:val="32"/>
          <w:szCs w:val="32"/>
          <w:lang w:eastAsia="zh-CN"/>
          <w14:textFill>
            <w14:solidFill>
              <w14:schemeClr w14:val="tx1"/>
            </w14:solidFill>
          </w14:textFill>
        </w:rPr>
        <w:t>吐鲁番市</w:t>
      </w:r>
      <w:r>
        <w:rPr>
          <w:rFonts w:hint="eastAsia" w:ascii="黑体" w:hAnsi="黑体" w:eastAsia="黑体" w:cs="黑体"/>
          <w:b w:val="0"/>
          <w:bCs w:val="0"/>
          <w:snapToGrid w:val="0"/>
          <w:color w:val="000000" w:themeColor="text1"/>
          <w:kern w:val="0"/>
          <w:sz w:val="32"/>
          <w:szCs w:val="32"/>
          <w14:textFill>
            <w14:solidFill>
              <w14:schemeClr w14:val="tx1"/>
            </w14:solidFill>
          </w14:textFill>
        </w:rPr>
        <w:t>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left"/>
        <w:textAlignment w:val="auto"/>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2024年，</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全市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各级财政部门在</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市委</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的坚强领导下，始终坚持以习近平新时代中国特色社会主义思想为指导，全面贯彻落实党的二十大和二十届二中、三中全会精神，深入学习贯彻习近平总书记关于新疆工作的重要讲话重要指示批示精神，贯彻落实自治区党委十届历次全会精神，完整准确全面贯彻新时代党的治疆方略，牢牢扭住社会稳定和长治久安总目标，</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紧扣市委“</w:t>
      </w:r>
      <w:r>
        <w:rPr>
          <w:rFonts w:hint="eastAsia" w:ascii="仿宋_GB2312" w:hAnsi="仿宋_GB2312" w:eastAsia="仿宋_GB2312" w:cs="仿宋_GB2312"/>
          <w:b w:val="0"/>
          <w:bCs w:val="0"/>
          <w:snapToGrid w:val="0"/>
          <w:color w:val="000000" w:themeColor="text1"/>
          <w:kern w:val="0"/>
          <w:sz w:val="32"/>
          <w:szCs w:val="32"/>
          <w:u w:val="none"/>
          <w:lang w:val="en-US" w:eastAsia="zh-CN"/>
          <w14:textFill>
            <w14:solidFill>
              <w14:schemeClr w14:val="tx1"/>
            </w14:solidFill>
          </w14:textFill>
        </w:rPr>
        <w:t>1535</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”工作思路，</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严格执行</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吐鲁番市二</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届人大</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四</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次会议审查批准的预算，</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坚持“以政领财、以财辅政”，进一步</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加强财政管理和财会监督，</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加大财政资金统筹力度，保持必要的支出强度，集中力量办大事，强化国家重大战略任务</w:t>
      </w:r>
      <w:r>
        <w:rPr>
          <w:rFonts w:hint="eastAsia" w:ascii="仿宋_GB2312" w:hAnsi="仿宋_GB2312" w:eastAsia="仿宋_GB2312" w:cs="仿宋_GB2312"/>
          <w:b w:val="0"/>
          <w:bCs w:val="0"/>
          <w:snapToGrid w:val="0"/>
          <w:color w:val="000000" w:themeColor="text1"/>
          <w:kern w:val="0"/>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自治区重大决策部署</w:t>
      </w:r>
      <w:r>
        <w:rPr>
          <w:rFonts w:hint="eastAsia" w:ascii="仿宋_GB2312" w:hAnsi="仿宋_GB2312" w:eastAsia="仿宋_GB2312" w:cs="仿宋_GB2312"/>
          <w:b w:val="0"/>
          <w:bCs w:val="0"/>
          <w:snapToGrid w:val="0"/>
          <w:color w:val="000000" w:themeColor="text1"/>
          <w:kern w:val="0"/>
          <w:sz w:val="32"/>
          <w:szCs w:val="32"/>
          <w:highlight w:val="none"/>
          <w:u w:val="none"/>
          <w:lang w:eastAsia="zh-CN"/>
          <w14:textFill>
            <w14:solidFill>
              <w14:schemeClr w14:val="tx1"/>
            </w14:solidFill>
          </w14:textFill>
        </w:rPr>
        <w:t>和市委重点工作</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财力保障，为扎实推进</w:t>
      </w:r>
      <w:r>
        <w:rPr>
          <w:rFonts w:hint="eastAsia" w:ascii="仿宋_GB2312" w:hAnsi="仿宋_GB2312" w:eastAsia="仿宋_GB2312" w:cs="仿宋_GB2312"/>
          <w:b w:val="0"/>
          <w:bCs w:val="0"/>
          <w:snapToGrid w:val="0"/>
          <w:color w:val="000000" w:themeColor="text1"/>
          <w:kern w:val="0"/>
          <w:sz w:val="32"/>
          <w:szCs w:val="32"/>
          <w:highlight w:val="none"/>
          <w:u w:val="none"/>
          <w:lang w:eastAsia="zh-CN"/>
          <w14:textFill>
            <w14:solidFill>
              <w14:schemeClr w14:val="tx1"/>
            </w14:solidFill>
          </w14:textFill>
        </w:rPr>
        <w:t>建设繁荣富裕和美幸福现代化吐鲁番</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提供坚实的财力支撑。总体看，</w:t>
      </w:r>
      <w:r>
        <w:rPr>
          <w:rFonts w:hint="eastAsia" w:ascii="仿宋_GB2312" w:hAnsi="仿宋_GB2312" w:eastAsia="仿宋_GB2312" w:cs="仿宋_GB2312"/>
          <w:b w:val="0"/>
          <w:bCs w:val="0"/>
          <w:snapToGrid w:val="0"/>
          <w:color w:val="000000" w:themeColor="text1"/>
          <w:kern w:val="0"/>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和</w:t>
      </w:r>
      <w:r>
        <w:rPr>
          <w:rFonts w:hint="eastAsia" w:ascii="仿宋_GB2312" w:hAnsi="仿宋_GB2312" w:eastAsia="仿宋_GB2312" w:cs="仿宋_GB2312"/>
          <w:b w:val="0"/>
          <w:bCs w:val="0"/>
          <w:snapToGrid w:val="0"/>
          <w:color w:val="000000" w:themeColor="text1"/>
          <w:kern w:val="0"/>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预算执行情况较好。</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楷体_GB2312" w:hAnsi="楷体_GB2312" w:eastAsia="楷体_GB2312" w:cs="楷体_GB2312"/>
          <w:b/>
          <w:bCs/>
          <w:snapToGrid w:val="0"/>
          <w:color w:val="000000" w:themeColor="text1"/>
          <w:sz w:val="32"/>
          <w:szCs w:val="32"/>
          <w:highlight w:val="none"/>
          <w14:textFill>
            <w14:solidFill>
              <w14:schemeClr w14:val="tx1"/>
            </w14:solidFill>
          </w14:textFill>
        </w:rPr>
      </w:pPr>
      <w:r>
        <w:rPr>
          <w:rFonts w:hint="eastAsia" w:ascii="楷体_GB2312" w:hAnsi="楷体_GB2312" w:eastAsia="楷体_GB2312" w:cs="楷体_GB2312"/>
          <w:b/>
          <w:bCs/>
          <w:snapToGrid w:val="0"/>
          <w:color w:val="000000" w:themeColor="text1"/>
          <w:sz w:val="32"/>
          <w:szCs w:val="32"/>
          <w:highlight w:val="none"/>
          <w14:textFill>
            <w14:solidFill>
              <w14:schemeClr w14:val="tx1"/>
            </w14:solidFill>
          </w14:textFill>
        </w:rPr>
        <w:t>（一）</w:t>
      </w:r>
      <w:r>
        <w:rPr>
          <w:rFonts w:hint="eastAsia" w:ascii="楷体_GB2312" w:hAnsi="楷体_GB2312" w:eastAsia="楷体_GB2312" w:cs="楷体_GB2312"/>
          <w:b/>
          <w:bCs/>
          <w:snapToGrid w:val="0"/>
          <w:color w:val="000000" w:themeColor="text1"/>
          <w:sz w:val="32"/>
          <w:szCs w:val="32"/>
          <w:highlight w:val="none"/>
          <w:lang w:eastAsia="zh-CN"/>
          <w14:textFill>
            <w14:solidFill>
              <w14:schemeClr w14:val="tx1"/>
            </w14:solidFill>
          </w14:textFill>
        </w:rPr>
        <w:t>全市</w:t>
      </w:r>
      <w:r>
        <w:rPr>
          <w:rFonts w:hint="eastAsia" w:ascii="楷体_GB2312" w:hAnsi="楷体_GB2312" w:eastAsia="楷体_GB2312" w:cs="楷体_GB2312"/>
          <w:b/>
          <w:bCs/>
          <w:snapToGrid w:val="0"/>
          <w:color w:val="000000" w:themeColor="text1"/>
          <w:sz w:val="32"/>
          <w:szCs w:val="32"/>
          <w:highlight w:val="none"/>
          <w14:textFill>
            <w14:solidFill>
              <w14:schemeClr w14:val="tx1"/>
            </w14:solidFill>
          </w14:textFill>
        </w:rPr>
        <w:t>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bCs/>
          <w:color w:val="000000" w:themeColor="text1"/>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sz w:val="32"/>
          <w:szCs w:val="32"/>
          <w:highlight w:val="none"/>
          <w14:textFill>
            <w14:solidFill>
              <w14:schemeClr w14:val="tx1"/>
            </w14:solidFill>
          </w14:textFill>
        </w:rPr>
        <w:t>1.一般公共预算执行情况。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（1）</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71.96亿元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94.2</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5.5</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其中：税收收入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40.05亿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0.6</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%；非税收入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31.91亿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12.4</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%。税收收入中，增值税收入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15.42亿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元、企业所得税收入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5.24亿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元、个人所得税收入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1.19亿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元、资源税收入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4.33亿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元、城市维护建设税收入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元、土地增值税等地方</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项税</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种</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12.14亿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default"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132.58亿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97.3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10.8</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%。主要</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领域</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执行情况：教育支出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25.24亿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5.2</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%；科学技术支出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0.33亿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42.1</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%；文化旅游体育与传媒支出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3.16亿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32.3%；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社会保障和就业支出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卫生健康支出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13.24亿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元，与上年持平；节能环保支出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%；城乡社区支出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10.49亿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63.3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%；农林水支出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18.8亿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31.1</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%；交通运输支出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3.66亿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78.6</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%；住房保障支出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6.19亿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45.7</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%；灾害防治及应急管理支出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1.62亿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152.7</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157.3亿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71.96亿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64.1亿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元（包括：返还性收入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元，一般性转移支付收入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52.23亿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元，专项转移支付收入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10.97亿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13.58亿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元，调入资金</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元，债务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转贷</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139.6亿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元，其中：一般公共预算支出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132.58亿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元，上解上级支出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元，债务还本支出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3.06亿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区域间转移性支出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安排预算稳定调节基金</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结转2025年支出</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（2）</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本级</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4.09亿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%，其中:税收收入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0.34亿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%；非税收入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3.75亿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16" w:firstLineChars="200"/>
        <w:jc w:val="left"/>
        <w:rPr>
          <w:rFonts w:hint="eastAsia" w:ascii="仿宋_GB2312" w:hAnsi="仿宋_GB2312" w:eastAsia="仿宋_GB2312" w:cs="仿宋_GB2312"/>
          <w:b w:val="0"/>
          <w:bCs w:val="0"/>
          <w:color w:val="000000" w:themeColor="text1"/>
          <w:spacing w:val="-6"/>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pacing w:val="-6"/>
          <w:sz w:val="32"/>
          <w:szCs w:val="32"/>
          <w:highlight w:val="none"/>
          <w14:textFill>
            <w14:solidFill>
              <w14:schemeClr w14:val="tx1"/>
            </w14:solidFill>
          </w14:textFill>
        </w:rPr>
        <w:t>支出情况：</w:t>
      </w:r>
      <w:r>
        <w:rPr>
          <w:rFonts w:hint="eastAsia" w:ascii="仿宋_GB2312" w:hAnsi="仿宋_GB2312" w:eastAsia="仿宋_GB2312" w:cs="仿宋_GB2312"/>
          <w:b w:val="0"/>
          <w:bCs w:val="0"/>
          <w:color w:val="000000" w:themeColor="text1"/>
          <w:spacing w:val="-6"/>
          <w:sz w:val="32"/>
          <w:szCs w:val="32"/>
          <w:highlight w:val="none"/>
          <w:lang w:eastAsia="zh-CN"/>
          <w14:textFill>
            <w14:solidFill>
              <w14:schemeClr w14:val="tx1"/>
            </w14:solidFill>
          </w14:textFill>
        </w:rPr>
        <w:t>市</w:t>
      </w:r>
      <w:r>
        <w:rPr>
          <w:rFonts w:hint="eastAsia" w:ascii="仿宋_GB2312" w:hAnsi="仿宋_GB2312" w:eastAsia="仿宋_GB2312" w:cs="仿宋_GB2312"/>
          <w:b w:val="0"/>
          <w:bCs w:val="0"/>
          <w:color w:val="000000" w:themeColor="text1"/>
          <w:spacing w:val="-6"/>
          <w:sz w:val="32"/>
          <w:szCs w:val="32"/>
          <w:highlight w:val="none"/>
          <w14:textFill>
            <w14:solidFill>
              <w14:schemeClr w14:val="tx1"/>
            </w14:solidFill>
          </w14:textFill>
        </w:rPr>
        <w:t>本级一般公共预算支出</w:t>
      </w:r>
      <w:r>
        <w:rPr>
          <w:rFonts w:hint="eastAsia" w:ascii="仿宋_GB2312" w:hAnsi="仿宋_GB2312" w:eastAsia="仿宋_GB2312" w:cs="仿宋_GB2312"/>
          <w:b w:val="0"/>
          <w:bCs w:val="0"/>
          <w:color w:val="000000" w:themeColor="text1"/>
          <w:spacing w:val="-6"/>
          <w:sz w:val="32"/>
          <w:szCs w:val="32"/>
          <w:highlight w:val="none"/>
          <w:lang w:val="en-US" w:eastAsia="zh-CN"/>
          <w14:textFill>
            <w14:solidFill>
              <w14:schemeClr w14:val="tx1"/>
            </w14:solidFill>
          </w14:textFill>
        </w:rPr>
        <w:t>27.54亿</w:t>
      </w:r>
      <w:r>
        <w:rPr>
          <w:rFonts w:hint="eastAsia" w:ascii="仿宋_GB2312" w:hAnsi="仿宋_GB2312" w:eastAsia="仿宋_GB2312" w:cs="仿宋_GB2312"/>
          <w:b w:val="0"/>
          <w:bCs w:val="0"/>
          <w:color w:val="000000" w:themeColor="text1"/>
          <w:spacing w:val="-6"/>
          <w:sz w:val="32"/>
          <w:szCs w:val="32"/>
          <w:highlight w:val="none"/>
          <w14:textFill>
            <w14:solidFill>
              <w14:schemeClr w14:val="tx1"/>
            </w14:solidFill>
          </w14:textFill>
        </w:rPr>
        <w:t>元，增长</w:t>
      </w:r>
      <w:r>
        <w:rPr>
          <w:rFonts w:hint="eastAsia" w:ascii="仿宋_GB2312" w:hAnsi="仿宋_GB2312" w:eastAsia="仿宋_GB2312" w:cs="仿宋_GB2312"/>
          <w:b w:val="0"/>
          <w:bCs w:val="0"/>
          <w:color w:val="000000" w:themeColor="text1"/>
          <w:spacing w:val="-6"/>
          <w:sz w:val="32"/>
          <w:szCs w:val="32"/>
          <w:highlight w:val="none"/>
          <w:lang w:val="en-US" w:eastAsia="zh-CN"/>
          <w14:textFill>
            <w14:solidFill>
              <w14:schemeClr w14:val="tx1"/>
            </w14:solidFill>
          </w14:textFill>
        </w:rPr>
        <w:t>19.8</w:t>
      </w:r>
      <w:r>
        <w:rPr>
          <w:rFonts w:hint="eastAsia" w:ascii="仿宋_GB2312" w:hAnsi="仿宋_GB2312" w:eastAsia="仿宋_GB2312" w:cs="仿宋_GB2312"/>
          <w:b w:val="0"/>
          <w:bCs w:val="0"/>
          <w:color w:val="000000" w:themeColor="text1"/>
          <w:spacing w:val="-6"/>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33.73亿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4.09亿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9.16亿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3.97亿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元，下级上解收入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15.28亿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元，调入资金</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0.13亿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元，债务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转贷</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31.4亿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元，其中：一般公共预算支出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27.54亿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上解支出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0.23亿元，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债务还本支出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0.75亿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strike w:val="0"/>
          <w:dstrike w:val="0"/>
          <w:color w:val="000000" w:themeColor="text1"/>
          <w:sz w:val="32"/>
          <w:szCs w:val="32"/>
          <w:highlight w:val="none"/>
          <w:u w:val="none"/>
          <w:lang w:val="en-US" w:eastAsia="zh-CN"/>
          <w14:textFill>
            <w14:solidFill>
              <w14:schemeClr w14:val="tx1"/>
            </w14:solidFill>
          </w14:textFill>
        </w:rPr>
        <w:t>安排</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预算稳定调节基金</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，区域间转移性支出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20万元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。收支相抵，年终结余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2.33亿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结转2025年支出</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预备费</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0.34亿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元，未安排</w:t>
      </w:r>
      <w:r>
        <w:rPr>
          <w:rFonts w:hint="eastAsia" w:ascii="仿宋_GB2312" w:hAnsi="仿宋_GB2312" w:eastAsia="仿宋_GB2312" w:cs="仿宋_GB2312"/>
          <w:b w:val="0"/>
          <w:bCs w:val="0"/>
          <w:color w:val="000000" w:themeColor="text1"/>
          <w:sz w:val="32"/>
          <w:szCs w:val="32"/>
          <w14:textFill>
            <w14:solidFill>
              <w14:schemeClr w14:val="tx1"/>
            </w14:solidFill>
          </w14:textFill>
        </w:rPr>
        <w:t>支出，全部按规定用于补充预算稳定调节基金。</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2.政府性基金预算执行情况。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（1）</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8.67亿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59.5</w:t>
      </w:r>
      <w:r>
        <w:rPr>
          <w:rFonts w:hint="eastAsia" w:ascii="仿宋_GB2312" w:hAnsi="仿宋_GB2312" w:eastAsia="仿宋_GB2312" w:cs="仿宋_GB2312"/>
          <w:b w:val="0"/>
          <w:bCs w:val="0"/>
          <w:color w:val="000000" w:themeColor="text1"/>
          <w:sz w:val="32"/>
          <w:szCs w:val="32"/>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53.01亿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510.1</w:t>
      </w:r>
      <w:r>
        <w:rPr>
          <w:rFonts w:hint="eastAsia" w:ascii="仿宋_GB2312" w:hAnsi="仿宋_GB2312" w:eastAsia="仿宋_GB2312" w:cs="仿宋_GB2312"/>
          <w:b w:val="0"/>
          <w:bCs w:val="0"/>
          <w:color w:val="000000" w:themeColor="text1"/>
          <w:sz w:val="32"/>
          <w:szCs w:val="32"/>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74.1</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63.15亿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8.67亿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3.38亿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调入资金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36万元，</w:t>
      </w:r>
      <w:r>
        <w:rPr>
          <w:rFonts w:hint="eastAsia" w:ascii="仿宋_GB2312" w:hAnsi="仿宋_GB2312" w:eastAsia="仿宋_GB2312" w:cs="仿宋_GB2312"/>
          <w:b w:val="0"/>
          <w:bCs w:val="0"/>
          <w:color w:val="000000" w:themeColor="text1"/>
          <w:sz w:val="32"/>
          <w:szCs w:val="32"/>
          <w14:textFill>
            <w14:solidFill>
              <w14:schemeClr w14:val="tx1"/>
            </w14:solidFill>
          </w14:textFill>
        </w:rPr>
        <w:t>债务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转贷</w:t>
      </w:r>
      <w:r>
        <w:rPr>
          <w:rFonts w:hint="eastAsia" w:ascii="仿宋_GB2312" w:hAnsi="仿宋_GB2312" w:eastAsia="仿宋_GB2312" w:cs="仿宋_GB2312"/>
          <w:b w:val="0"/>
          <w:bCs w:val="0"/>
          <w:color w:val="000000" w:themeColor="text1"/>
          <w:sz w:val="32"/>
          <w:szCs w:val="32"/>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46.1亿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57.57亿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元，其中：政府性基金预算支出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53.01亿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元，调出资金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1.16亿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元，债务还本支出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5.58亿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结转2025支出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本级</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0.39亿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96.6</w:t>
      </w:r>
      <w:r>
        <w:rPr>
          <w:rFonts w:hint="eastAsia" w:ascii="仿宋_GB2312" w:hAnsi="仿宋_GB2312" w:eastAsia="仿宋_GB2312" w:cs="仿宋_GB2312"/>
          <w:b w:val="0"/>
          <w:bCs w:val="0"/>
          <w:color w:val="000000" w:themeColor="text1"/>
          <w:sz w:val="32"/>
          <w:szCs w:val="32"/>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7.6</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本级政府性基金预算支出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0.54亿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71.8</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69</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1.15亿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0.39亿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0.57亿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调入资金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36万元，</w:t>
      </w:r>
      <w:r>
        <w:rPr>
          <w:rFonts w:hint="eastAsia" w:ascii="仿宋_GB2312" w:hAnsi="仿宋_GB2312" w:eastAsia="仿宋_GB2312" w:cs="仿宋_GB2312"/>
          <w:b w:val="0"/>
          <w:bCs w:val="0"/>
          <w:color w:val="000000" w:themeColor="text1"/>
          <w:sz w:val="32"/>
          <w:szCs w:val="32"/>
          <w14:textFill>
            <w14:solidFill>
              <w14:schemeClr w14:val="tx1"/>
            </w14:solidFill>
          </w14:textFill>
        </w:rPr>
        <w:t>债务</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转贷</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收</w:t>
      </w:r>
      <w:r>
        <w:rPr>
          <w:rFonts w:hint="eastAsia" w:ascii="仿宋_GB2312" w:hAnsi="仿宋_GB2312" w:eastAsia="仿宋_GB2312" w:cs="仿宋_GB2312"/>
          <w:b w:val="0"/>
          <w:bCs w:val="0"/>
          <w:color w:val="000000" w:themeColor="text1"/>
          <w:sz w:val="32"/>
          <w:szCs w:val="32"/>
          <w14:textFill>
            <w14:solidFill>
              <w14:schemeClr w14:val="tx1"/>
            </w14:solidFill>
          </w14:textFill>
        </w:rPr>
        <w:t>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120万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元，其中：政府性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0.55亿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元，调出</w:t>
      </w:r>
      <w:r>
        <w:rPr>
          <w:rFonts w:hint="eastAsia" w:ascii="仿宋_GB2312" w:hAnsi="仿宋_GB2312" w:eastAsia="仿宋_GB2312" w:cs="仿宋_GB2312"/>
          <w:b w:val="0"/>
          <w:bCs w:val="0"/>
          <w:color w:val="000000" w:themeColor="text1"/>
          <w:sz w:val="32"/>
          <w:szCs w:val="32"/>
          <w14:textFill>
            <w14:solidFill>
              <w14:schemeClr w14:val="tx1"/>
            </w14:solidFill>
          </w14:textFill>
        </w:rPr>
        <w:t>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0.47亿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结转2025支出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pStyle w:val="9"/>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after="0" w:line="580" w:lineRule="exact"/>
        <w:ind w:left="0" w:leftChars="0" w:firstLine="643" w:firstLineChars="200"/>
        <w:jc w:val="left"/>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3.国有资本经营预算执行情况。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（1）</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119.59</w:t>
      </w:r>
      <w:r>
        <w:rPr>
          <w:rFonts w:hint="eastAsia" w:ascii="仿宋_GB2312" w:hAnsi="仿宋_GB2312" w:eastAsia="仿宋_GB2312" w:cs="仿宋_GB2312"/>
          <w:b w:val="0"/>
          <w:bCs w:val="0"/>
          <w:color w:val="000000" w:themeColor="text1"/>
          <w:sz w:val="32"/>
          <w:szCs w:val="32"/>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39.82</w:t>
      </w:r>
      <w:r>
        <w:rPr>
          <w:rFonts w:hint="eastAsia" w:ascii="仿宋_GB2312" w:hAnsi="仿宋_GB2312" w:eastAsia="仿宋_GB2312" w:cs="仿宋_GB2312"/>
          <w:b w:val="0"/>
          <w:bCs w:val="0"/>
          <w:color w:val="000000" w:themeColor="text1"/>
          <w:sz w:val="32"/>
          <w:szCs w:val="32"/>
          <w14:textFill>
            <w14:solidFill>
              <w14:schemeClr w14:val="tx1"/>
            </w14:solidFill>
          </w14:textFill>
        </w:rPr>
        <w:t>%，其中：利润收入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股利股息收入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清算收入等其他国有资本经营预算收入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54.35</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586.87</w:t>
      </w:r>
      <w:r>
        <w:rPr>
          <w:rFonts w:hint="eastAsia" w:ascii="仿宋_GB2312" w:hAnsi="仿宋_GB2312" w:eastAsia="仿宋_GB2312" w:cs="仿宋_GB2312"/>
          <w:b w:val="0"/>
          <w:bCs w:val="0"/>
          <w:color w:val="000000" w:themeColor="text1"/>
          <w:sz w:val="32"/>
          <w:szCs w:val="32"/>
          <w14:textFill>
            <w14:solidFill>
              <w14:schemeClr w14:val="tx1"/>
            </w14:solidFill>
          </w14:textFill>
        </w:rPr>
        <w:t>%，其中：解决历史遗留问题及改革成本支出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32万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国有企业资本金注入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国有企业政策性补贴</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182万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0.78亿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32万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0.56亿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元，其中：国有资本经营预算支出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元，调出资金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0.41亿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0.22亿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（2）</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400</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100</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未</w:t>
      </w:r>
      <w:r>
        <w:rPr>
          <w:rFonts w:hint="eastAsia" w:ascii="仿宋_GB2312" w:hAnsi="仿宋_GB2312" w:eastAsia="仿宋_GB2312" w:cs="仿宋_GB2312"/>
          <w:b w:val="0"/>
          <w:bCs w:val="0"/>
          <w:color w:val="000000" w:themeColor="text1"/>
          <w:sz w:val="32"/>
          <w:szCs w:val="32"/>
          <w14:textFill>
            <w14:solidFill>
              <w14:schemeClr w14:val="tx1"/>
            </w14:solidFill>
          </w14:textFill>
        </w:rPr>
        <w:t>支出，为预算的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同比</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上年</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持平</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元，其中：调出资金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40万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无</w:t>
      </w:r>
      <w:r>
        <w:rPr>
          <w:rFonts w:hint="eastAsia" w:ascii="仿宋_GB2312" w:hAnsi="仿宋_GB2312" w:eastAsia="仿宋_GB2312" w:cs="仿宋_GB2312"/>
          <w:b w:val="0"/>
          <w:bCs w:val="0"/>
          <w:color w:val="000000" w:themeColor="text1"/>
          <w:sz w:val="32"/>
          <w:szCs w:val="32"/>
          <w14:textFill>
            <w14:solidFill>
              <w14:schemeClr w14:val="tx1"/>
            </w14:solidFill>
          </w14:textFill>
        </w:rPr>
        <w:t>结余。</w:t>
      </w:r>
    </w:p>
    <w:p>
      <w:pPr>
        <w:pStyle w:val="9"/>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after="0" w:line="580" w:lineRule="exact"/>
        <w:ind w:left="0" w:leftChars="0" w:firstLine="640" w:firstLineChars="200"/>
        <w:jc w:val="left"/>
        <w:rPr>
          <w:rFonts w:hint="eastAsia" w:ascii="仿宋_GB2312" w:hAnsi="仿宋_GB2312" w:eastAsia="仿宋_GB2312" w:cs="仿宋_GB2312"/>
          <w:b w:val="0"/>
          <w:bCs w:val="0"/>
          <w:color w:val="000000" w:themeColor="text1"/>
          <w:sz w:val="32"/>
          <w:szCs w:val="32"/>
          <w:u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和</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资本经营预算调出资金，</w:t>
      </w:r>
      <w:r>
        <w:rPr>
          <w:rFonts w:hint="eastAsia" w:ascii="仿宋_GB2312" w:hAnsi="仿宋_GB2312" w:eastAsia="仿宋_GB2312" w:cs="仿宋_GB2312"/>
          <w:b w:val="0"/>
          <w:bCs w:val="0"/>
          <w:strike w:val="0"/>
          <w:dstrike w:val="0"/>
          <w:color w:val="000000" w:themeColor="text1"/>
          <w:sz w:val="32"/>
          <w:szCs w:val="32"/>
          <w:u w:val="none"/>
          <w:lang w:val="en-US" w:eastAsia="zh-CN"/>
          <w14:textFill>
            <w14:solidFill>
              <w14:schemeClr w14:val="tx1"/>
            </w14:solidFill>
          </w14:textFill>
        </w:rPr>
        <w:t>主要是</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按照预算管理</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相关</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规定，调入一般公共预算统筹</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用于保障和改善民生支出</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4.社会保险基金预算执行情况。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（1）</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社会保险基金预算执行情况。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24.12亿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104.33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0.65</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%，其中：职工基本医疗保险基金收入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城乡居民基本养老保险基金收入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2.04亿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机关事业单位基本养老保险基金收入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9.37亿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城乡居民基本医疗保险基金收入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5.41亿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24.12亿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106.82</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13.13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%，其中：职工基本医疗保险基金支出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7.27亿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城乡居民基本养老保险基金支出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机关事业单位基本养老保险基金支出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10.41亿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城乡居民基本医疗保险基金支出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5.13亿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51.93亿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24.12亿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元，上级补助收</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入</w:t>
      </w:r>
      <w:r>
        <w:rPr>
          <w:rFonts w:hint="eastAsia" w:ascii="仿宋_GB2312" w:hAnsi="仿宋_GB2312" w:eastAsia="仿宋_GB2312" w:cs="仿宋_GB2312"/>
          <w:b w:val="0"/>
          <w:bCs w:val="0"/>
          <w:strike w:val="0"/>
          <w:dstrike w:val="0"/>
          <w:color w:val="000000" w:themeColor="text1"/>
          <w:sz w:val="32"/>
          <w:szCs w:val="32"/>
          <w:highlight w:val="none"/>
          <w:u w:val="none"/>
          <w:lang w:val="en-US" w:eastAsia="zh-CN"/>
          <w14:textFill>
            <w14:solidFill>
              <w14:schemeClr w14:val="tx1"/>
            </w14:solidFill>
          </w14:textFill>
        </w:rPr>
        <w:t>1.87</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25.94亿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24.12亿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24.12亿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27.81亿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（2）</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社会保险基金预算执行情况。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本级社会保险基金预算收入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14.77亿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104.67</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下降</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1.85</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%。其中：职工基本医疗保险基金收入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机关事业单位基本养老保险基金收入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2.06亿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城乡居民基本医疗保险基金收入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5.41亿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yellow"/>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支出情况：</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本级社会保险基金预算支出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14.75亿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元，为预算的</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110.63</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15.75</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其中：</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职工基本医疗保险基金支出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7.27亿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机关事业单位基本养老保险基金支出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2.35亿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城乡居民基本医疗保险基金支出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5.13亿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32.58亿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元，其中：社会保险基金预算收入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14.77亿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1.87亿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14:textFill>
            <w14:solidFill>
              <w14:schemeClr w14:val="tx1"/>
            </w14:solidFill>
          </w14:textFill>
        </w:rPr>
        <w:t>上年结余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15.94亿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16.11亿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元，其中：社会保险基金预算支出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14.75亿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元，补助下级支出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1.36亿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16.47亿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上述预算执行数据在</w:t>
      </w:r>
      <w:r>
        <w:rPr>
          <w:rFonts w:hint="eastAsia" w:ascii="仿宋_GB2312" w:hAnsi="仿宋_GB2312" w:eastAsia="仿宋_GB2312" w:cs="仿宋_GB2312"/>
          <w:b w:val="0"/>
          <w:bCs w:val="0"/>
          <w:color w:val="000000" w:themeColor="text1"/>
          <w:sz w:val="32"/>
          <w:szCs w:val="32"/>
          <w:u w:val="none"/>
          <w:lang w:eastAsia="zh-CN"/>
          <w14:textFill>
            <w14:solidFill>
              <w14:schemeClr w14:val="tx1"/>
            </w14:solidFill>
          </w14:textFill>
        </w:rPr>
        <w:t>自治区</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财政与</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与各</w:t>
      </w:r>
      <w:r>
        <w:rPr>
          <w:rFonts w:hint="eastAsia" w:ascii="仿宋_GB2312" w:hAnsi="仿宋_GB2312" w:eastAsia="仿宋_GB2312" w:cs="仿宋_GB2312"/>
          <w:b w:val="0"/>
          <w:bCs w:val="0"/>
          <w:color w:val="000000" w:themeColor="text1"/>
          <w:sz w:val="32"/>
          <w:szCs w:val="32"/>
          <w:u w:val="none"/>
          <w:lang w:eastAsia="zh-CN"/>
          <w14:textFill>
            <w14:solidFill>
              <w14:schemeClr w14:val="tx1"/>
            </w14:solidFill>
          </w14:textFill>
        </w:rPr>
        <w:t>区县</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财政</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的</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年终结算，以及</w:t>
      </w:r>
      <w:r>
        <w:rPr>
          <w:rFonts w:hint="eastAsia" w:ascii="仿宋_GB2312" w:hAnsi="仿宋_GB2312" w:eastAsia="仿宋_GB2312" w:cs="仿宋_GB2312"/>
          <w:b w:val="0"/>
          <w:bCs w:val="0"/>
          <w:color w:val="000000" w:themeColor="text1"/>
          <w:sz w:val="32"/>
          <w:szCs w:val="32"/>
          <w:u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决算编制汇总后</w:t>
      </w:r>
      <w:r>
        <w:rPr>
          <w:rFonts w:hint="eastAsia" w:ascii="仿宋_GB2312" w:hAnsi="仿宋_GB2312" w:eastAsia="仿宋_GB2312" w:cs="仿宋_GB2312"/>
          <w:b w:val="0"/>
          <w:bCs w:val="0"/>
          <w:color w:val="000000" w:themeColor="text1"/>
          <w:sz w:val="32"/>
          <w:szCs w:val="32"/>
          <w14:textFill>
            <w14:solidFill>
              <w14:schemeClr w14:val="tx1"/>
            </w14:solidFill>
          </w14:textFill>
        </w:rPr>
        <w:t>会有部分变化。</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楷体_GB2312" w:hAnsi="楷体_GB2312" w:eastAsia="楷体_GB2312" w:cs="楷体_GB2312"/>
          <w:b/>
          <w:bCs/>
          <w:snapToGrid w:val="0"/>
          <w:color w:val="000000" w:themeColor="text1"/>
          <w:sz w:val="32"/>
          <w:szCs w:val="32"/>
          <w14:textFill>
            <w14:solidFill>
              <w14:schemeClr w14:val="tx1"/>
            </w14:solidFill>
          </w14:textFill>
        </w:rPr>
      </w:pPr>
      <w:bookmarkStart w:id="0" w:name="OLE_LINK9"/>
      <w:r>
        <w:rPr>
          <w:rFonts w:hint="eastAsia" w:ascii="楷体_GB2312" w:hAnsi="楷体_GB2312" w:eastAsia="楷体_GB2312" w:cs="楷体_GB2312"/>
          <w:b/>
          <w:bCs/>
          <w:snapToGrid w:val="0"/>
          <w:color w:val="000000" w:themeColor="text1"/>
          <w:sz w:val="32"/>
          <w:szCs w:val="32"/>
          <w14:textFill>
            <w14:solidFill>
              <w14:schemeClr w14:val="tx1"/>
            </w14:solidFill>
          </w14:textFill>
        </w:rPr>
        <w:t>（二）</w:t>
      </w:r>
      <w:r>
        <w:rPr>
          <w:rFonts w:hint="eastAsia" w:ascii="楷体_GB2312" w:hAnsi="楷体_GB2312" w:eastAsia="楷体_GB2312" w:cs="楷体_GB2312"/>
          <w:b/>
          <w:bCs/>
          <w:snapToGrid w:val="0"/>
          <w:color w:val="000000" w:themeColor="text1"/>
          <w:sz w:val="32"/>
          <w:szCs w:val="32"/>
          <w:lang w:eastAsia="zh-CN"/>
          <w14:textFill>
            <w14:solidFill>
              <w14:schemeClr w14:val="tx1"/>
            </w14:solidFill>
          </w14:textFill>
        </w:rPr>
        <w:t>全市</w:t>
      </w:r>
      <w:r>
        <w:rPr>
          <w:rFonts w:hint="eastAsia" w:ascii="楷体_GB2312" w:hAnsi="楷体_GB2312" w:eastAsia="楷体_GB2312" w:cs="楷体_GB2312"/>
          <w:b/>
          <w:bCs/>
          <w:snapToGrid w:val="0"/>
          <w:color w:val="000000" w:themeColor="text1"/>
          <w:sz w:val="32"/>
          <w:szCs w:val="32"/>
          <w14:textFill>
            <w14:solidFill>
              <w14:schemeClr w14:val="tx1"/>
            </w14:solidFill>
          </w14:textFill>
        </w:rPr>
        <w:t>地方政府债务限额及发行情况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pPr>
      <w:r>
        <w:rPr>
          <w:rFonts w:hint="eastAsia" w:ascii="仿宋_GB2312" w:hAnsi="仿宋_GB2312" w:eastAsia="仿宋_GB2312" w:cs="仿宋_GB2312"/>
          <w:b/>
          <w:bCs/>
          <w:color w:val="000000" w:themeColor="text1"/>
          <w:kern w:val="10"/>
          <w:sz w:val="32"/>
          <w:szCs w:val="32"/>
          <w14:textFill>
            <w14:solidFill>
              <w14:schemeClr w14:val="tx1"/>
            </w14:solidFill>
          </w14:textFill>
        </w:rPr>
        <w:t>1.地方政府债务限额</w:t>
      </w:r>
      <w:r>
        <w:rPr>
          <w:rFonts w:hint="eastAsia" w:ascii="仿宋_GB2312" w:hAnsi="仿宋_GB2312" w:eastAsia="仿宋_GB2312" w:cs="仿宋_GB2312"/>
          <w:b/>
          <w:bCs/>
          <w:color w:val="000000" w:themeColor="text1"/>
          <w:kern w:val="10"/>
          <w:sz w:val="32"/>
          <w:szCs w:val="32"/>
          <w:lang w:eastAsia="zh-CN"/>
          <w14:textFill>
            <w14:solidFill>
              <w14:schemeClr w14:val="tx1"/>
            </w14:solidFill>
          </w14:textFill>
        </w:rPr>
        <w:t>、</w:t>
      </w:r>
      <w:r>
        <w:rPr>
          <w:rFonts w:hint="eastAsia" w:ascii="仿宋_GB2312" w:hAnsi="仿宋_GB2312" w:eastAsia="仿宋_GB2312" w:cs="仿宋_GB2312"/>
          <w:b/>
          <w:bCs/>
          <w:color w:val="000000" w:themeColor="text1"/>
          <w:kern w:val="10"/>
          <w:sz w:val="32"/>
          <w:szCs w:val="32"/>
          <w14:textFill>
            <w14:solidFill>
              <w14:schemeClr w14:val="tx1"/>
            </w14:solidFill>
          </w14:textFill>
        </w:rPr>
        <w:t>余额情况。</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经</w:t>
      </w:r>
      <w:r>
        <w:rPr>
          <w:rFonts w:hint="eastAsia" w:ascii="仿宋_GB2312" w:hAnsi="仿宋_GB2312" w:eastAsia="仿宋_GB2312" w:cs="仿宋_GB2312"/>
          <w:b w:val="0"/>
          <w:bCs w:val="0"/>
          <w:color w:val="000000" w:themeColor="text1"/>
          <w:kern w:val="10"/>
          <w:sz w:val="32"/>
          <w:szCs w:val="32"/>
          <w:lang w:val="en-US" w:eastAsia="zh-CN"/>
          <w14:textFill>
            <w14:solidFill>
              <w14:schemeClr w14:val="tx1"/>
            </w14:solidFill>
          </w14:textFill>
        </w:rPr>
        <w:t>自治区财政厅</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核定</w:t>
      </w:r>
      <w:r>
        <w:rPr>
          <w:rFonts w:hint="eastAsia" w:ascii="仿宋_GB2312" w:hAnsi="仿宋_GB2312" w:eastAsia="仿宋_GB2312" w:cs="仿宋_GB2312"/>
          <w:b w:val="0"/>
          <w:bCs w:val="0"/>
          <w:color w:val="000000" w:themeColor="text1"/>
          <w:kern w:val="10"/>
          <w:sz w:val="32"/>
          <w:szCs w:val="32"/>
          <w:lang w:val="en-US" w:eastAsia="zh-CN"/>
          <w14:textFill>
            <w14:solidFill>
              <w14:schemeClr w14:val="tx1"/>
            </w14:solidFill>
          </w14:textFill>
        </w:rPr>
        <w:t>下达，报</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人大及其常委会批准，2024年</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地方政府债务限额</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288.08亿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。2024年新增地方政府债务限额</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50.5亿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元，其中</w:t>
      </w:r>
      <w:r>
        <w:rPr>
          <w:rFonts w:hint="eastAsia" w:ascii="仿宋_GB2312" w:hAnsi="仿宋_GB2312" w:eastAsia="仿宋_GB2312" w:cs="仿宋_GB2312"/>
          <w:b w:val="0"/>
          <w:bCs w:val="0"/>
          <w:color w:val="000000" w:themeColor="text1"/>
          <w:kern w:val="10"/>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新增一般债务限额</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4.4亿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元、新增专项债务限额</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46.1亿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元。2024年末</w:t>
      </w:r>
      <w:r>
        <w:rPr>
          <w:rFonts w:hint="eastAsia" w:ascii="仿宋_GB2312" w:hAnsi="仿宋_GB2312" w:eastAsia="仿宋_GB2312" w:cs="仿宋_GB2312"/>
          <w:b w:val="0"/>
          <w:bCs w:val="0"/>
          <w:color w:val="000000" w:themeColor="text1"/>
          <w:kern w:val="10"/>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地方政府债务余额</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281.65亿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元，控制在</w:t>
      </w:r>
      <w:r>
        <w:rPr>
          <w:rFonts w:hint="eastAsia" w:ascii="仿宋_GB2312" w:hAnsi="仿宋_GB2312" w:eastAsia="仿宋_GB2312" w:cs="仿宋_GB2312"/>
          <w:b w:val="0"/>
          <w:bCs w:val="0"/>
          <w:color w:val="000000" w:themeColor="text1"/>
          <w:kern w:val="10"/>
          <w:sz w:val="32"/>
          <w:szCs w:val="32"/>
          <w:highlight w:val="none"/>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地方政府债务限额</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288.08亿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元以内。</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color w:val="000000" w:themeColor="text1"/>
          <w:kern w:val="10"/>
          <w:sz w:val="32"/>
          <w:szCs w:val="32"/>
          <w14:textFill>
            <w14:solidFill>
              <w14:schemeClr w14:val="tx1"/>
            </w14:solidFill>
          </w14:textFill>
        </w:rPr>
      </w:pPr>
      <w:r>
        <w:rPr>
          <w:rFonts w:hint="eastAsia" w:ascii="仿宋_GB2312" w:hAnsi="仿宋_GB2312" w:eastAsia="仿宋_GB2312" w:cs="仿宋_GB2312"/>
          <w:b/>
          <w:bCs/>
          <w:color w:val="000000" w:themeColor="text1"/>
          <w:kern w:val="10"/>
          <w:sz w:val="32"/>
          <w:szCs w:val="32"/>
          <w:highlight w:val="none"/>
          <w14:textFill>
            <w14:solidFill>
              <w14:schemeClr w14:val="tx1"/>
            </w14:solidFill>
          </w14:textFill>
        </w:rPr>
        <w:t>2.</w:t>
      </w:r>
      <w:r>
        <w:rPr>
          <w:rFonts w:hint="eastAsia" w:ascii="仿宋_GB2312" w:hAnsi="仿宋_GB2312" w:eastAsia="仿宋_GB2312" w:cs="仿宋_GB2312"/>
          <w:b/>
          <w:bCs/>
          <w:color w:val="000000" w:themeColor="text1"/>
          <w:kern w:val="10"/>
          <w:sz w:val="32"/>
          <w:szCs w:val="32"/>
          <w:highlight w:val="none"/>
          <w:lang w:eastAsia="zh-CN"/>
          <w14:textFill>
            <w14:solidFill>
              <w14:schemeClr w14:val="tx1"/>
            </w14:solidFill>
          </w14:textFill>
        </w:rPr>
        <w:t>全市</w:t>
      </w:r>
      <w:r>
        <w:rPr>
          <w:rFonts w:hint="eastAsia" w:ascii="仿宋_GB2312" w:hAnsi="仿宋_GB2312" w:eastAsia="仿宋_GB2312" w:cs="仿宋_GB2312"/>
          <w:b/>
          <w:bCs/>
          <w:color w:val="000000" w:themeColor="text1"/>
          <w:kern w:val="10"/>
          <w:sz w:val="32"/>
          <w:szCs w:val="32"/>
          <w:highlight w:val="none"/>
          <w14:textFill>
            <w14:solidFill>
              <w14:schemeClr w14:val="tx1"/>
            </w14:solidFill>
          </w14:textFill>
        </w:rPr>
        <w:t>地方政府债券发行使用情况。</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2024年</w:t>
      </w:r>
      <w:r>
        <w:rPr>
          <w:rFonts w:hint="eastAsia" w:ascii="仿宋_GB2312" w:hAnsi="仿宋_GB2312" w:eastAsia="仿宋_GB2312" w:cs="仿宋_GB2312"/>
          <w:b w:val="0"/>
          <w:bCs w:val="0"/>
          <w:color w:val="000000" w:themeColor="text1"/>
          <w:kern w:val="10"/>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发行地方政府债券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52.2亿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元，其中：新增地方政府债券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47.1亿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元，包括一般债券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4.4亿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元、专项债券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42.7亿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元；再融资债券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5.1亿元</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，包括一般债券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元、专项债券</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3.4亿</w:t>
      </w:r>
      <w:r>
        <w:rPr>
          <w:rFonts w:hint="eastAsia" w:ascii="仿宋_GB2312" w:hAnsi="仿宋_GB2312" w:eastAsia="仿宋_GB2312" w:cs="仿宋_GB2312"/>
          <w:b w:val="0"/>
          <w:bCs w:val="0"/>
          <w:color w:val="000000" w:themeColor="text1"/>
          <w:kern w:val="10"/>
          <w:sz w:val="32"/>
          <w:szCs w:val="32"/>
          <w:highlight w:val="none"/>
          <w14:textFill>
            <w14:solidFill>
              <w14:schemeClr w14:val="tx1"/>
            </w14:solidFill>
          </w14:textFill>
        </w:rPr>
        <w:t>元。新增地方政府债</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券资金着力保障重点领域和重大项目建设，用于市政和产业园区基础设施</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教育</w:t>
      </w:r>
      <w:r>
        <w:rPr>
          <w:rFonts w:hint="eastAsia" w:ascii="仿宋_GB2312" w:hAnsi="仿宋_GB2312" w:eastAsia="仿宋_GB2312" w:cs="仿宋_GB2312"/>
          <w:b w:val="0"/>
          <w:bCs w:val="0"/>
          <w:color w:val="000000" w:themeColor="text1"/>
          <w:kern w:val="10"/>
          <w:sz w:val="32"/>
          <w:szCs w:val="32"/>
          <w:lang w:val="en-US" w:eastAsia="zh-CN"/>
          <w14:textFill>
            <w14:solidFill>
              <w14:schemeClr w14:val="tx1"/>
            </w14:solidFill>
          </w14:textFill>
        </w:rPr>
        <w:t>1.3亿元、</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交通基础设施</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0.5亿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其他</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社会事业</w:t>
      </w:r>
      <w:r>
        <w:rPr>
          <w:rFonts w:hint="eastAsia" w:ascii="仿宋_GB2312" w:hAnsi="仿宋_GB2312" w:eastAsia="仿宋_GB2312" w:cs="仿宋_GB2312"/>
          <w:b w:val="0"/>
          <w:bCs w:val="0"/>
          <w:color w:val="000000" w:themeColor="text1"/>
          <w:kern w:val="10"/>
          <w:sz w:val="32"/>
          <w:szCs w:val="32"/>
          <w:lang w:val="en-US" w:eastAsia="zh-CN"/>
          <w14:textFill>
            <w14:solidFill>
              <w14:schemeClr w14:val="tx1"/>
            </w14:solidFill>
          </w14:textFill>
        </w:rPr>
        <w:t>0.4亿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元、水利</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1.6亿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其他领域</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41.3亿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color w:val="000000" w:themeColor="text1"/>
          <w:kern w:val="10"/>
          <w:sz w:val="32"/>
          <w:szCs w:val="32"/>
          <w14:textFill>
            <w14:solidFill>
              <w14:schemeClr w14:val="tx1"/>
            </w14:solidFill>
          </w14:textFill>
        </w:rPr>
      </w:pPr>
      <w:r>
        <w:rPr>
          <w:rFonts w:hint="eastAsia" w:ascii="仿宋_GB2312" w:hAnsi="仿宋_GB2312" w:eastAsia="仿宋_GB2312" w:cs="仿宋_GB2312"/>
          <w:b/>
          <w:bCs/>
          <w:color w:val="000000" w:themeColor="text1"/>
          <w:kern w:val="10"/>
          <w:sz w:val="32"/>
          <w:szCs w:val="32"/>
          <w14:textFill>
            <w14:solidFill>
              <w14:schemeClr w14:val="tx1"/>
            </w14:solidFill>
          </w14:textFill>
        </w:rPr>
        <w:t>3.地方政府债务还本付息情况。</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2024年</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偿还地方政府债务本金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2.58亿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均为</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一般债务；全</w:t>
      </w:r>
      <w:r>
        <w:rPr>
          <w:rFonts w:hint="eastAsia" w:ascii="仿宋_GB2312" w:hAnsi="仿宋_GB2312" w:eastAsia="仿宋_GB2312" w:cs="仿宋_GB2312"/>
          <w:b w:val="0"/>
          <w:bCs w:val="0"/>
          <w:color w:val="000000" w:themeColor="text1"/>
          <w:kern w:val="10"/>
          <w:sz w:val="32"/>
          <w:szCs w:val="32"/>
          <w:lang w:val="en-US" w:eastAsia="zh-CN"/>
          <w14:textFill>
            <w14:solidFill>
              <w14:schemeClr w14:val="tx1"/>
            </w14:solidFill>
          </w14:textFill>
        </w:rPr>
        <w:t>市</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支付地方政府债务利息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7.95亿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元，包括</w:t>
      </w:r>
      <w:r>
        <w:rPr>
          <w:rFonts w:hint="eastAsia" w:ascii="仿宋_GB2312" w:hAnsi="仿宋_GB2312" w:eastAsia="仿宋_GB2312" w:cs="仿宋_GB2312"/>
          <w:b w:val="0"/>
          <w:bCs w:val="0"/>
          <w:color w:val="000000" w:themeColor="text1"/>
          <w:kern w:val="10"/>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一般债务利息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2.64亿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元、专项债务利息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5.31亿</w:t>
      </w:r>
      <w:r>
        <w:rPr>
          <w:rFonts w:hint="eastAsia" w:ascii="仿宋_GB2312" w:hAnsi="仿宋_GB2312" w:eastAsia="仿宋_GB2312" w:cs="仿宋_GB2312"/>
          <w:b w:val="0"/>
          <w:bCs w:val="0"/>
          <w:color w:val="000000" w:themeColor="text1"/>
          <w:kern w:val="10"/>
          <w:sz w:val="32"/>
          <w:szCs w:val="32"/>
          <w14:textFill>
            <w14:solidFill>
              <w14:schemeClr w14:val="tx1"/>
            </w14:solidFill>
          </w14:textFill>
        </w:rPr>
        <w:t>元。</w:t>
      </w:r>
    </w:p>
    <w:bookmarkEnd w:id="0"/>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楷体_GB2312" w:hAnsi="楷体_GB2312" w:eastAsia="楷体_GB2312" w:cs="楷体_GB2312"/>
          <w:b/>
          <w:bCs/>
          <w:snapToGrid w:val="0"/>
          <w:color w:val="000000" w:themeColor="text1"/>
          <w:sz w:val="32"/>
          <w:szCs w:val="32"/>
          <w14:textFill>
            <w14:solidFill>
              <w14:schemeClr w14:val="tx1"/>
            </w14:solidFill>
          </w14:textFill>
        </w:rPr>
      </w:pPr>
      <w:r>
        <w:rPr>
          <w:rFonts w:hint="eastAsia" w:ascii="楷体_GB2312" w:hAnsi="楷体_GB2312" w:eastAsia="楷体_GB2312" w:cs="楷体_GB2312"/>
          <w:b/>
          <w:bCs/>
          <w:snapToGrid w:val="0"/>
          <w:color w:val="000000" w:themeColor="text1"/>
          <w:sz w:val="32"/>
          <w:szCs w:val="32"/>
          <w14:textFill>
            <w14:solidFill>
              <w14:schemeClr w14:val="tx1"/>
            </w14:solidFill>
          </w14:textFill>
        </w:rPr>
        <w:t>（三）</w:t>
      </w:r>
      <w:r>
        <w:rPr>
          <w:rFonts w:hint="eastAsia" w:ascii="楷体_GB2312" w:hAnsi="楷体_GB2312" w:eastAsia="楷体_GB2312" w:cs="楷体_GB2312"/>
          <w:b/>
          <w:bCs/>
          <w:snapToGrid w:val="0"/>
          <w:color w:val="000000" w:themeColor="text1"/>
          <w:sz w:val="32"/>
          <w:szCs w:val="32"/>
          <w:lang w:eastAsia="zh-CN"/>
          <w14:textFill>
            <w14:solidFill>
              <w14:schemeClr w14:val="tx1"/>
            </w14:solidFill>
          </w14:textFill>
        </w:rPr>
        <w:t>吐鲁番市</w:t>
      </w:r>
      <w:r>
        <w:rPr>
          <w:rFonts w:hint="eastAsia" w:ascii="楷体_GB2312" w:hAnsi="楷体_GB2312" w:eastAsia="楷体_GB2312" w:cs="楷体_GB2312"/>
          <w:b/>
          <w:bCs/>
          <w:snapToGrid w:val="0"/>
          <w:color w:val="000000" w:themeColor="text1"/>
          <w:sz w:val="32"/>
          <w:szCs w:val="32"/>
          <w14:textFill>
            <w14:solidFill>
              <w14:schemeClr w14:val="tx1"/>
            </w14:solidFill>
          </w14:textFill>
        </w:rPr>
        <w:t>人大决议落实情况</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2024年，在</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市委</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正确领导下，各级财政部门按照预算法及其实施条例、人大预算审查监督重点向支出预算和政策拓展的有关规定，以及</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吐鲁番市二</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届人大</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四</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次会议批准的预算决议和</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吐鲁番市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人大常委会有关审议意见的要求，狠抓预算执行管理，不断提高财政资源配置效率和财政资金使用效益，在促进</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全市经济高质量发展</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、维护社会大局稳定中发挥了重要作用。</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1.严格财政预算管理，预算执行平稳有序。</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坚持稳中求进，</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不断强化财政资金资源统筹，财政实力日益壮大，促进经济社会事业全面进步。</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——财政收入</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实现稳</w:t>
      </w:r>
      <w:r>
        <w:rPr>
          <w:rFonts w:hint="eastAsia" w:ascii="仿宋_GB2312" w:hAnsi="仿宋_GB2312" w:eastAsia="仿宋_GB2312" w:cs="仿宋_GB2312"/>
          <w:b w:val="0"/>
          <w:bCs w:val="0"/>
          <w:snapToGrid w:val="0"/>
          <w:color w:val="000000" w:themeColor="text1"/>
          <w:kern w:val="0"/>
          <w:sz w:val="32"/>
          <w:szCs w:val="32"/>
          <w:u w:val="none"/>
          <w:lang w:val="en-US" w:eastAsia="zh-CN"/>
          <w14:textFill>
            <w14:solidFill>
              <w14:schemeClr w14:val="tx1"/>
            </w14:solidFill>
          </w14:textFill>
        </w:rPr>
        <w:t>步</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增长</w:t>
      </w:r>
      <w:r>
        <w:rPr>
          <w:rFonts w:hint="eastAsia" w:ascii="仿宋_GB2312" w:hAnsi="仿宋_GB2312" w:eastAsia="仿宋_GB2312" w:cs="仿宋_GB2312"/>
          <w:b w:val="0"/>
          <w:bCs w:val="0"/>
          <w:snapToGrid w:val="0"/>
          <w:color w:val="000000" w:themeColor="text1"/>
          <w:kern w:val="0"/>
          <w:sz w:val="32"/>
          <w:szCs w:val="32"/>
          <w:u w:val="none"/>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依法加强税收征管，依规组织非税收入，</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建立组织收入联动机制，紧密联系职能部门，千方百计深挖税源，全力以赴拉动</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财政收入增长。2024年，</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全市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一般公共预算收入累计完成</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71.96亿</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元，同比增长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5.5</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——财政支出保障有力。</w:t>
      </w:r>
      <w:r>
        <w:rPr>
          <w:rFonts w:hint="eastAsia" w:ascii="仿宋_GB2312" w:hAnsi="仿宋_GB2312" w:eastAsia="仿宋_GB2312" w:cs="仿宋_GB2312"/>
          <w:b w:val="0"/>
          <w:bCs w:val="0"/>
          <w:color w:val="000000" w:themeColor="text1"/>
          <w:kern w:val="2"/>
          <w:sz w:val="32"/>
          <w:szCs w:val="32"/>
          <w:u w:val="none" w:color="auto"/>
          <w:lang w:val="en-US" w:eastAsia="zh-CN" w:bidi="ar-SA"/>
          <w14:textFill>
            <w14:solidFill>
              <w14:schemeClr w14:val="tx1"/>
            </w14:solidFill>
          </w14:textFill>
        </w:rPr>
        <w:t>牢固树立过“紧日子”的理念，</w:t>
      </w:r>
      <w:r>
        <w:rPr>
          <w:rFonts w:hint="eastAsia" w:ascii="仿宋_GB2312" w:hAnsi="仿宋_GB2312" w:eastAsia="仿宋_GB2312" w:cs="仿宋_GB2312"/>
          <w:b w:val="0"/>
          <w:bCs w:val="0"/>
          <w:color w:val="000000" w:themeColor="text1"/>
          <w:kern w:val="0"/>
          <w:sz w:val="32"/>
          <w:szCs w:val="32"/>
          <w:u w:val="none" w:color="auto"/>
          <w:lang w:val="en-US" w:eastAsia="zh-CN"/>
          <w14:textFill>
            <w14:solidFill>
              <w14:schemeClr w14:val="tx1"/>
            </w14:solidFill>
          </w14:textFill>
        </w:rPr>
        <w:t>积极优化支出结构，盘活各类存量资金，</w:t>
      </w:r>
      <w:r>
        <w:rPr>
          <w:rFonts w:hint="eastAsia" w:ascii="仿宋_GB2312" w:hAnsi="仿宋_GB2312" w:eastAsia="仿宋_GB2312" w:cs="仿宋_GB2312"/>
          <w:b w:val="0"/>
          <w:bCs w:val="0"/>
          <w:color w:val="000000" w:themeColor="text1"/>
          <w:sz w:val="32"/>
          <w:szCs w:val="32"/>
          <w:u w:val="none" w:color="auto"/>
          <w:lang w:eastAsia="zh-CN"/>
          <w14:textFill>
            <w14:solidFill>
              <w14:schemeClr w14:val="tx1"/>
            </w14:solidFill>
          </w14:textFill>
        </w:rPr>
        <w:t>加快执行进度，提高财政资金使用绩效</w:t>
      </w:r>
      <w:r>
        <w:rPr>
          <w:rFonts w:hint="eastAsia" w:ascii="仿宋_GB2312" w:hAnsi="仿宋_GB2312" w:eastAsia="仿宋_GB2312" w:cs="仿宋_GB2312"/>
          <w:b w:val="0"/>
          <w:bCs w:val="0"/>
          <w:color w:val="000000" w:themeColor="text1"/>
          <w:sz w:val="32"/>
          <w:szCs w:val="32"/>
          <w:highlight w:val="none"/>
          <w:u w:val="none" w:color="auto"/>
          <w:lang w:val="en-US" w:eastAsia="zh-CN"/>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积极争取中央</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自治区</w:t>
      </w:r>
      <w:r>
        <w:rPr>
          <w:rFonts w:hint="eastAsia" w:ascii="仿宋_GB2312" w:hAnsi="仿宋_GB2312" w:eastAsia="仿宋_GB2312" w:cs="仿宋_GB2312"/>
          <w:b w:val="0"/>
          <w:bCs w:val="0"/>
          <w:snapToGrid w:val="0"/>
          <w:color w:val="000000" w:themeColor="text1"/>
          <w:kern w:val="0"/>
          <w:sz w:val="32"/>
          <w:szCs w:val="32"/>
          <w:u w:val="none"/>
          <w14:textFill>
            <w14:solidFill>
              <w14:schemeClr w14:val="tx1"/>
            </w14:solidFill>
          </w14:textFill>
        </w:rPr>
        <w:t>转</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移支付资金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64.1亿</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元，有力保障</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全市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经济社会发展。推动中央一揽子增量政策落地落实，积极争取增发国债资金和超长期特别国债项目资金用于支持强安全、补短板、增后劲重大战略和重点项目实施。2024年，</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全市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一般公共预算支出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132.58亿</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元，同比增长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10.8</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2.实施积极财政政策，重大战略实施保障有力。</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聚焦</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市委“</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1535</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”工作思路</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中</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五大战略</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建设</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等重大战略部署，提质增效实施积极的财政政策。</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——加快推进基础设施建设。统筹用好超长期特别国债、增发国债资金、新增地方政府债券、中央和自治区预算内基本建设投资资金，大力支持公路、水利、教育、医疗、旅游、地下管网、</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产业园区</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等重点领域基础设施建设和设备更新，</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加速释放“两重”政策红利，为经</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济社会高质量发展夯实基础。</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——推动“两新”政策加速落地。</w:t>
      </w:r>
      <w:r>
        <w:rPr>
          <w:rFonts w:hint="eastAsia" w:ascii="仿宋_GB2312" w:hAnsi="仿宋_GB2312" w:eastAsia="仿宋_GB2312" w:cs="仿宋_GB2312"/>
          <w:b w:val="0"/>
          <w:bCs w:val="0"/>
          <w:snapToGrid w:val="0"/>
          <w:color w:val="000000" w:themeColor="text1"/>
          <w:kern w:val="0"/>
          <w:sz w:val="32"/>
          <w:szCs w:val="32"/>
          <w:u w:val="none"/>
          <w:lang w:eastAsia="zh-CN"/>
          <w14:textFill>
            <w14:solidFill>
              <w14:schemeClr w14:val="tx1"/>
            </w14:solidFill>
          </w14:textFill>
        </w:rPr>
        <w:t>积极落实</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大规模设备更新和消费品以旧换新一揽子政策措施，多渠道筹措</w:t>
      </w:r>
      <w:r>
        <w:rPr>
          <w:rFonts w:hint="eastAsia" w:ascii="仿宋_GB2312" w:hAnsi="仿宋_GB2312" w:eastAsia="仿宋_GB2312" w:cs="仿宋_GB2312"/>
          <w:b w:val="0"/>
          <w:bCs w:val="0"/>
          <w:snapToGrid w:val="0"/>
          <w:color w:val="000000" w:themeColor="text1"/>
          <w:kern w:val="0"/>
          <w:sz w:val="32"/>
          <w:szCs w:val="32"/>
          <w:highlight w:val="none"/>
          <w14:textFill>
            <w14:solidFill>
              <w14:schemeClr w14:val="tx1"/>
            </w14:solidFill>
          </w14:textFill>
        </w:rPr>
        <w:t>资金</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落实“两新”政策，支持交通、农机、家电、厨卫、汽车等大规模设备更新和消费品以旧换新，真金白银惠企利民，有力提振市场信心。</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pPr>
      <w:bookmarkStart w:id="1" w:name="OLE_LINK10"/>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突出科技创新引领。</w:t>
      </w:r>
      <w:r>
        <w:rPr>
          <w:rFonts w:hint="eastAsia" w:ascii="仿宋_GB2312" w:hAnsi="仿宋_GB2312" w:eastAsia="仿宋_GB2312" w:cs="仿宋_GB2312"/>
          <w:b w:val="0"/>
          <w:bCs w:val="0"/>
          <w:snapToGrid/>
          <w:color w:val="000000" w:themeColor="text1"/>
          <w:kern w:val="2"/>
          <w:sz w:val="32"/>
          <w:szCs w:val="32"/>
          <w:highlight w:val="none"/>
          <w:lang w:eastAsia="zh-CN"/>
          <w14:textFill>
            <w14:solidFill>
              <w14:schemeClr w14:val="tx1"/>
            </w14:solidFill>
          </w14:textFill>
        </w:rPr>
        <w:t>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科技支出0.33亿元，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同比增长</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42.1%，</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支持绿色新能源、煤炭煤电煤化工、西甜瓜、葡萄及葡萄酒、特色畜牧养殖、医疗卫生和社会治理等20项科技项目建设。</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支持专精特新中小企业发展，外贸企业技术、品牌、质量等核心竞争力提升。</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支持</w:t>
      </w:r>
      <w:r>
        <w:rPr>
          <w:rFonts w:hint="eastAsia" w:ascii="仿宋_GB2312" w:hAnsi="仿宋_GB2312" w:eastAsia="仿宋_GB2312" w:cs="仿宋_GB2312"/>
          <w:b w:val="0"/>
          <w:bCs w:val="0"/>
          <w:i w:val="0"/>
          <w:caps w:val="0"/>
          <w:color w:val="000000" w:themeColor="text1"/>
          <w:spacing w:val="-6"/>
          <w:sz w:val="32"/>
          <w:szCs w:val="32"/>
          <w:shd w:val="clear" w:color="auto" w:fill="FFFFFF"/>
          <w:lang w:val="en-US" w:eastAsia="zh-CN"/>
          <w14:textFill>
            <w14:solidFill>
              <w14:schemeClr w14:val="tx1"/>
            </w14:solidFill>
          </w14:textFill>
        </w:rPr>
        <w:t>吐鲁番市科技管理运行平台建设，成功</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举办创新创业大赛，为新质生产力发展营造良好创新氛围。</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trike/>
          <w:snapToGrid w:val="0"/>
          <w:color w:val="000000" w:themeColor="text1"/>
          <w:kern w:val="0"/>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shd w:val="clear" w:color="auto" w:fill="auto"/>
          <w:lang w:val="en-US" w:eastAsia="zh-CN" w:bidi="ar"/>
          <w14:textFill>
            <w14:solidFill>
              <w14:schemeClr w14:val="tx1"/>
            </w14:solidFill>
          </w14:textFill>
        </w:rPr>
        <w:t>加大农业稳市战略投入。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安排农林水支出18.8亿</w:t>
      </w:r>
      <w:r>
        <w:rPr>
          <w:rFonts w:hint="eastAsia" w:ascii="仿宋_GB2312" w:hAnsi="仿宋_GB2312" w:eastAsia="仿宋_GB2312" w:cs="仿宋_GB2312"/>
          <w:b w:val="0"/>
          <w:bCs w:val="0"/>
          <w:color w:val="000000" w:themeColor="text1"/>
          <w:kern w:val="2"/>
          <w:sz w:val="32"/>
          <w:szCs w:val="32"/>
          <w:lang w:val="en-US" w:eastAsia="zh-CN" w:bidi="ar-SA"/>
          <w14:textFill>
            <w14:solidFill>
              <w14:schemeClr w14:val="tx1"/>
            </w14:solidFill>
          </w14:textFill>
        </w:rPr>
        <w:t>元，同比增长31.1%。</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支持农业生产、</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瓜果、畜牧提质增效和农田水利建设、人居环境整治、村级公益事业、林业草原防灾减灾等发展。</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安排巩固拓展脱贫攻坚成果同乡村振兴有效衔接资金4.04亿元，较上年增加0.95亿元，同比增长24.55%，支出进度98.52%，全疆排名第一，为深入实施农业稳市战略提供坚实的财力保障。</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trike/>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lang w:bidi="ar"/>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highlight w:val="none"/>
          <w:lang w:val="en-US" w:eastAsia="zh-CN" w:bidi="ar"/>
          <w14:textFill>
            <w14:solidFill>
              <w14:schemeClr w14:val="tx1"/>
            </w14:solidFill>
          </w14:textFill>
        </w:rPr>
        <w:t>推进文旅融合发展。</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安排文化旅游体育与传媒资金支出3.16亿</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元，同比增长32.3%，安排地方公共文化服务体系建设0.21亿元，保障公共图书馆、文化馆、博物馆、基层文化站等公益性文化服务设施免费开放，使优质公共文化服务惠及更多群众。安排资金1.11亿元，用于吐鲁番文物保护项目工程，文物工作得到有效保障。安排风景名胜区旅游基础设施建设资金0.31亿元，支持库木塔格沙漠景区配套设施建设。安排吐鲁番市推动文化和旅游业高质量发展奖励资金，激活旅游市场活力。</w:t>
      </w:r>
    </w:p>
    <w:bookmarkEnd w:id="1"/>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lang w:bidi="ar"/>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bidi="ar"/>
          <w14:textFill>
            <w14:solidFill>
              <w14:schemeClr w14:val="tx1"/>
            </w14:solidFill>
          </w14:textFill>
        </w:rPr>
        <w:t>支持教育振兴发展。</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落实教育经费投入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“两个只增不减”要求，安排</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一般公共预算教育经费支出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25.24亿元，同比增长5.2%，支持中小学校新建和改扩建，乡镇中心学校薄弱基础设施提升，幼儿园维修改造提升和职业教育水平提升，加快推进教育优质资源均衡发展、基础教育扩优提质，落实各项学生资助政策，持续推进教育振兴。</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3.坚持人民至上，全力增进民生福祉。</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始终坚持把保障和改善民生作为</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维护</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社会稳定和长治久安的根本性、基础性、长远性工作，强化民生领域财力保障，持续增进民生福祉。</w:t>
      </w:r>
      <w:r>
        <w:rPr>
          <w:rFonts w:hint="eastAsia" w:ascii="仿宋_GB2312" w:hAnsi="仿宋_GB2312" w:eastAsia="仿宋_GB2312" w:cs="仿宋_GB2312"/>
          <w:b w:val="0"/>
          <w:bCs w:val="0"/>
          <w:snapToGrid w:val="0"/>
          <w:color w:val="000000" w:themeColor="text1"/>
          <w:kern w:val="0"/>
          <w:sz w:val="32"/>
          <w:szCs w:val="32"/>
          <w:u w:val="none"/>
          <w14:textFill>
            <w14:solidFill>
              <w14:schemeClr w14:val="tx1"/>
            </w14:solidFill>
          </w14:textFill>
        </w:rPr>
        <w:t>全年</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民生支出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98.58亿</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元，占一般公共预算支出的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74.3</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较上年增支10.2亿元，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同比增长</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11.5%。</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支持就业创业发展。</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安排就业补助资金1.41亿元，落实企业社保补贴政策支持企业发展，帮助就业困难人员、脱贫群众、高校毕业生等重点群体实现就业创业。</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支持健全社会保障体系。</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安排困难群众救助补助资金1.36亿元，专项用于低保、流浪乞讨人员、孤儿等困难群众基本生活救助；将城乡低保补助标准分别提高至每人每月712元、568元，残疾人两项</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补贴提高至120元/月。安排城乡居民、机关事业单位及企业职工基本养老补助资金4.05亿元，保障养老保险待遇按时足额发放。安排城乡居民基本医疗保险补助资金2.89亿元，</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为全市广大居民群众看病就医提供医保基金保障。</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支持医疗卫生事业发展。</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资金13.24亿元，聚焦聚力提高人民健康保障能力及水平。支持公立医院改革1.45亿元；强化基层医疗卫生机构保障1.25亿元；落实医疗保险政府支出责任4.87亿元；支持公共卫生事业发展4.18亿元，为建设健康吐鲁番提供坚实财力保障。</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0"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——支持保障性安居工程建设。</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安排资金6.19亿元，支持全市35个小区老旧小区改造、415套保障性租赁住房、800套棚户区改造住房和36户农村危房改造建设，有效扩大保障性租赁住房供给，保障城镇住宅、农村住房安全，满足改善性住房需求。</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ind w:firstLine="643" w:firstLineChars="200"/>
        <w:jc w:val="left"/>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4.坚持底线思维，</w:t>
      </w:r>
      <w:r>
        <w:rPr>
          <w:rFonts w:hint="eastAsia" w:ascii="仿宋_GB2312" w:hAnsi="仿宋_GB2312" w:eastAsia="仿宋_GB2312" w:cs="仿宋_GB2312"/>
          <w:b/>
          <w:bCs/>
          <w:snapToGrid w:val="0"/>
          <w:color w:val="000000" w:themeColor="text1"/>
          <w:kern w:val="0"/>
          <w:sz w:val="32"/>
          <w:szCs w:val="32"/>
          <w:lang w:eastAsia="zh-CN"/>
          <w14:textFill>
            <w14:solidFill>
              <w14:schemeClr w14:val="tx1"/>
            </w14:solidFill>
          </w14:textFill>
        </w:rPr>
        <w:t>防范化解重点领域风险</w:t>
      </w: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始终把防风险摆在突出位置，着力防范化解地方政府债务</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、金融领域</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风险，兜牢兜实基层“三保”底线，牢牢守住不发生系统性风险的红线底线。</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left="0" w:leftChars="0" w:firstLine="640" w:firstLineChars="200"/>
        <w:jc w:val="left"/>
        <w:textAlignment w:val="top"/>
        <w:rPr>
          <w:rFonts w:hint="eastAsia" w:ascii="仿宋_GB2312" w:hAnsi="仿宋_GB2312" w:eastAsia="仿宋_GB2312" w:cs="仿宋_GB2312"/>
          <w:b w:val="0"/>
          <w:bCs w:val="0"/>
          <w:color w:val="000000" w:themeColor="text1"/>
          <w:kern w:val="0"/>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兜牢兜实“三保”底线。紧抓</w:t>
      </w:r>
      <w:r>
        <w:rPr>
          <w:rFonts w:hint="eastAsia" w:ascii="仿宋_GB2312" w:hAnsi="仿宋_GB2312" w:eastAsia="仿宋_GB2312" w:cs="仿宋_GB2312"/>
          <w:b w:val="0"/>
          <w:bCs w:val="0"/>
          <w:color w:val="000000" w:themeColor="text1"/>
          <w:kern w:val="0"/>
          <w:sz w:val="32"/>
          <w:szCs w:val="32"/>
          <w:lang w:val="en-US" w:eastAsia="zh-CN"/>
          <w14:textFill>
            <w14:solidFill>
              <w14:schemeClr w14:val="tx1"/>
            </w14:solidFill>
          </w14:textFill>
        </w:rPr>
        <w:t>全市财政资金整合统筹，严格执行《吐鲁番市财政资金上解制度》《吐鲁番市工资保障制度》，加强对区县财政运行情况监测。</w:t>
      </w:r>
      <w:r>
        <w:rPr>
          <w:rFonts w:hint="eastAsia" w:ascii="仿宋_GB2312" w:hAnsi="仿宋_GB2312" w:eastAsia="仿宋_GB2312" w:cs="仿宋_GB2312"/>
          <w:b w:val="0"/>
          <w:bCs w:val="0"/>
          <w:color w:val="000000" w:themeColor="text1"/>
          <w:kern w:val="0"/>
          <w:sz w:val="32"/>
          <w:szCs w:val="32"/>
          <w:highlight w:val="none"/>
          <w:lang w:val="en-US" w:eastAsia="zh-CN"/>
          <w14:textFill>
            <w14:solidFill>
              <w14:schemeClr w14:val="tx1"/>
            </w14:solidFill>
          </w14:textFill>
        </w:rPr>
        <w:t>全市“三保”支出55.91亿元，其中：保基本民生支出14.22亿元、保工资支出40.4亿元，保运转支出1.29亿元。全市机关事业单位</w:t>
      </w:r>
      <w:r>
        <w:rPr>
          <w:rFonts w:hint="eastAsia" w:ascii="仿宋_GB2312" w:hAnsi="仿宋_GB2312" w:eastAsia="仿宋_GB2312" w:cs="仿宋_GB2312"/>
          <w:b w:val="0"/>
          <w:bCs w:val="0"/>
          <w:color w:val="000000" w:themeColor="text1"/>
          <w:kern w:val="0"/>
          <w:sz w:val="32"/>
          <w:szCs w:val="32"/>
          <w:lang w:val="en-US" w:eastAsia="zh-CN"/>
          <w14:textFill>
            <w14:solidFill>
              <w14:schemeClr w14:val="tx1"/>
            </w14:solidFill>
          </w14:textFill>
        </w:rPr>
        <w:t>干部等各类人员工资性支出全</w:t>
      </w:r>
      <w:r>
        <w:rPr>
          <w:rFonts w:hint="eastAsia" w:ascii="仿宋_GB2312" w:hAnsi="仿宋_GB2312" w:eastAsia="仿宋_GB2312" w:cs="仿宋_GB2312"/>
          <w:b w:val="0"/>
          <w:bCs w:val="0"/>
          <w:color w:val="000000" w:themeColor="text1"/>
          <w:kern w:val="0"/>
          <w:sz w:val="32"/>
          <w:szCs w:val="32"/>
          <w:u w:val="none"/>
          <w:lang w:val="en-US" w:eastAsia="zh-CN"/>
          <w14:textFill>
            <w14:solidFill>
              <w14:schemeClr w14:val="tx1"/>
            </w14:solidFill>
          </w14:textFill>
        </w:rPr>
        <w:t>部按时足额发放，基层“三保”足额保障</w:t>
      </w:r>
      <w:r>
        <w:rPr>
          <w:rFonts w:hint="eastAsia" w:ascii="仿宋_GB2312" w:hAnsi="仿宋_GB2312" w:eastAsia="仿宋_GB2312" w:cs="仿宋_GB2312"/>
          <w:b w:val="0"/>
          <w:bCs w:val="0"/>
          <w:color w:val="000000" w:themeColor="text1"/>
          <w:kern w:val="0"/>
          <w:sz w:val="32"/>
          <w:szCs w:val="32"/>
          <w:lang w:val="en-US" w:eastAsia="zh-CN"/>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兜牢政府债务风险底线。</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实施全口径地方</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政府</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债务动态监测，积极推进融资平台改革转型</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kern w:val="0"/>
          <w:sz w:val="32"/>
          <w:szCs w:val="32"/>
          <w:lang w:val="en-US" w:eastAsia="zh-CN"/>
          <w14:textFill>
            <w14:solidFill>
              <w14:schemeClr w14:val="tx1"/>
            </w14:solidFill>
          </w14:textFill>
        </w:rPr>
        <w:t>2024年全市法定债务还本付息</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足额偿还。</w:t>
      </w:r>
      <w:bookmarkStart w:id="2" w:name="OLE_LINK11"/>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default"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防范化解金融领域风险。</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加强地方金融组织监管，持续深入开展集中整治，全市地方金融机构年审合格。</w:t>
      </w:r>
    </w:p>
    <w:bookmarkEnd w:id="2"/>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3" w:firstLineChars="200"/>
        <w:jc w:val="left"/>
        <w:textAlignment w:val="top"/>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lang w:val="en-US" w:eastAsia="zh-CN"/>
          <w14:textFill>
            <w14:solidFill>
              <w14:schemeClr w14:val="tx1"/>
            </w14:solidFill>
          </w14:textFill>
        </w:rPr>
        <w:t>5.不断加强财政管理，</w:t>
      </w: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财政治理效能稳步提升。</w:t>
      </w:r>
      <w:r>
        <w:rPr>
          <w:rFonts w:hint="eastAsia" w:ascii="仿宋_GB2312" w:hAnsi="仿宋_GB2312" w:eastAsia="仿宋_GB2312" w:cs="仿宋_GB2312"/>
          <w:b w:val="0"/>
          <w:bCs w:val="0"/>
          <w:snapToGrid/>
          <w:color w:val="000000" w:themeColor="text1"/>
          <w:kern w:val="2"/>
          <w:sz w:val="32"/>
          <w:szCs w:val="32"/>
          <w:lang w:eastAsia="zh-CN"/>
          <w14:textFill>
            <w14:solidFill>
              <w14:schemeClr w14:val="tx1"/>
            </w14:solidFill>
          </w14:textFill>
        </w:rPr>
        <w:t>扎实推进“质效提升年”活动，全面加强财政管理</w:t>
      </w:r>
      <w:r>
        <w:rPr>
          <w:rFonts w:hint="eastAsia" w:ascii="仿宋_GB2312" w:hAnsi="仿宋_GB2312" w:eastAsia="仿宋_GB2312" w:cs="仿宋_GB2312"/>
          <w:b w:val="0"/>
          <w:bCs w:val="0"/>
          <w:snapToGrid/>
          <w:color w:val="000000" w:themeColor="text1"/>
          <w:kern w:val="2"/>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w:t>
      </w:r>
      <w:r>
        <w:rPr>
          <w:rFonts w:hint="eastAsia" w:ascii="仿宋_GB2312" w:hAnsi="仿宋_GB2312" w:eastAsia="仿宋_GB2312" w:cs="仿宋_GB2312"/>
          <w:b w:val="0"/>
          <w:bCs w:val="0"/>
          <w:snapToGrid/>
          <w:color w:val="000000" w:themeColor="text1"/>
          <w:kern w:val="2"/>
          <w:sz w:val="32"/>
          <w:szCs w:val="32"/>
          <w14:textFill>
            <w14:solidFill>
              <w14:schemeClr w14:val="tx1"/>
            </w14:solidFill>
          </w14:textFill>
        </w:rPr>
        <w:t>管理机制</w:t>
      </w:r>
      <w:r>
        <w:rPr>
          <w:rFonts w:hint="eastAsia" w:ascii="仿宋_GB2312" w:hAnsi="仿宋_GB2312" w:eastAsia="仿宋_GB2312" w:cs="仿宋_GB2312"/>
          <w:b w:val="0"/>
          <w:bCs w:val="0"/>
          <w:color w:val="000000" w:themeColor="text1"/>
          <w:sz w:val="32"/>
          <w:szCs w:val="32"/>
          <w14:textFill>
            <w14:solidFill>
              <w14:schemeClr w14:val="tx1"/>
            </w14:solidFill>
          </w14:textFill>
        </w:rPr>
        <w:t>不断</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健全。</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资金审批不断优化规范。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研究制定《吐鲁番市本级财政预算管理资金审核办理实施细则》，对由财政部门代表政府管理的所有应纳入财政预算管理的资金审批流程进行梳理，进一步规范财政资金审核办理流程，提升各部门单位依法依规使用财政资金能力和水平，确保财政部门科学化</w:t>
      </w:r>
      <w:r>
        <w:rPr>
          <w:rFonts w:hint="eastAsia" w:ascii="仿宋_GB2312" w:hAnsi="仿宋_GB2312" w:eastAsia="仿宋_GB2312" w:cs="仿宋_GB2312"/>
          <w:b w:val="0"/>
          <w:bCs w:val="0"/>
          <w:color w:val="000000" w:themeColor="text1"/>
          <w:sz w:val="32"/>
          <w:szCs w:val="32"/>
          <w:lang w:val="en"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精细化管理。</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预算执行监管不断加强。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严格执行人大批复的预算安排，严控预算追加、预算调剂。印发《关于进一步加强预算执行管理工作的实施意见》，明确各级财政部门预算执行主体责任。发挥信息化监控平台优势，在区县一体化系统中设置预警规则，从源头控制库款流出。完善一体化系统“查询分析”模块，对区县上级转移支付、专项资金执行、“三公”经费支出、预算执行等实行“穿透式”资金监控，有效防范违规使用财政资金行为。</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预算绩效管理有序推进。</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按照预算绩效管理的“全方位、全过程、全覆盖”要求，组织开展绩效系统和管理培训7次，完成2024年市本级136家单位944个项目绩效目标设置，覆盖率100%。完成2023年市本级135家单位615个项目绩效评价。组织第三方机构对2023年度民生、公共服务等9个重点项目和1个区县财政开展绩效再评价，通过绩效管理、绩效评价、绩效评价结果应用，</w:t>
      </w:r>
      <w:r>
        <w:rPr>
          <w:rFonts w:hint="eastAsia" w:ascii="仿宋_GB2312" w:hAnsi="仿宋_GB2312" w:eastAsia="仿宋_GB2312" w:cs="仿宋_GB2312"/>
          <w:b w:val="0"/>
          <w:bCs w:val="0"/>
          <w:color w:val="000000" w:themeColor="text1"/>
          <w:sz w:val="32"/>
          <w:szCs w:val="32"/>
          <w14:textFill>
            <w14:solidFill>
              <w14:schemeClr w14:val="tx1"/>
            </w14:solidFill>
          </w14:textFill>
        </w:rPr>
        <w:t>推进绩效评价量质齐升</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政府采购管理</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不断优化</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加大政府采购政策的解读和宣传，采取线上+线下的模式，组织开展专题培训4次，参训人员1280人次，各预算单位、代理机构、评审专家做到全覆盖。推进政府采购云平台与预算管理一体化2.0系统无缝对接，实现政府采购从预算编制到实施采购、监管实现全流程电子化。推进政府采购互联网+监管，实现全市范围内政府采购互联互通。</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预决算依法全面公开。</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严格落实“以公开为常态、不公开为例外，依法依规公开预决算”的要求，持续提升公开信息完整性、准确性、真实性。2024年政府预算和563家部门单位预算（含绩效目标）在人大批准预算20个工作日内全部完成公开，2023年市本级政府和部门单位决算全部完成公开。</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2025年预算编制扎实开展。</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严格按照《中华人民共和国预算法》要求，6月启动预算编制工作，印发《2025年市本级预算编制工作的通知》，8月举行预算编制专题培训。认真落实党的二十届三中全会精神，市本级试行“零基预算”的模式，实施“一项目一方案”的申报要求，组织市本级137家部门单位填报《项目预算申报书》，建立市本级预算项目库，依法依规审核部门预算，提出审核意见建议，提请市委、市人民政府审议，为做好2025年部门预算打下了坚实的基础。</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3" w:firstLineChars="200"/>
        <w:jc w:val="left"/>
        <w:textAlignment w:val="top"/>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bCs/>
          <w:snapToGrid w:val="0"/>
          <w:color w:val="000000" w:themeColor="text1"/>
          <w:kern w:val="0"/>
          <w:sz w:val="32"/>
          <w:szCs w:val="32"/>
          <w:lang w:val="en-US" w:eastAsia="zh-CN"/>
          <w14:textFill>
            <w14:solidFill>
              <w14:schemeClr w14:val="tx1"/>
            </w14:solidFill>
          </w14:textFill>
        </w:rPr>
        <w:t>6.</w:t>
      </w: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坚持法治思维，</w:t>
      </w:r>
      <w:r>
        <w:rPr>
          <w:rFonts w:hint="eastAsia" w:ascii="仿宋_GB2312" w:hAnsi="仿宋_GB2312" w:eastAsia="仿宋_GB2312" w:cs="仿宋_GB2312"/>
          <w:b/>
          <w:bCs/>
          <w:snapToGrid w:val="0"/>
          <w:color w:val="000000" w:themeColor="text1"/>
          <w:kern w:val="0"/>
          <w:sz w:val="32"/>
          <w:szCs w:val="32"/>
          <w:lang w:eastAsia="zh-CN"/>
          <w14:textFill>
            <w14:solidFill>
              <w14:schemeClr w14:val="tx1"/>
            </w14:solidFill>
          </w14:textFill>
        </w:rPr>
        <w:t>加强财政监督</w:t>
      </w:r>
      <w:r>
        <w:rPr>
          <w:rFonts w:hint="eastAsia" w:ascii="仿宋_GB2312" w:hAnsi="仿宋_GB2312" w:eastAsia="仿宋_GB2312" w:cs="仿宋_GB2312"/>
          <w:b/>
          <w:bCs/>
          <w:snapToGrid w:val="0"/>
          <w:color w:val="000000" w:themeColor="text1"/>
          <w:kern w:val="0"/>
          <w:sz w:val="32"/>
          <w:szCs w:val="32"/>
          <w14:textFill>
            <w14:solidFill>
              <w14:schemeClr w14:val="tx1"/>
            </w14:solidFill>
          </w14:textFill>
        </w:rPr>
        <w:t>。</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持续深化法治建设，驰而不息严肃财经纪律，</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财政监督进一步加强</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——坚持预算法定原则。主动接</w:t>
      </w:r>
      <w:r>
        <w:rPr>
          <w:rFonts w:hint="eastAsia" w:ascii="仿宋_GB2312" w:hAnsi="仿宋_GB2312" w:eastAsia="仿宋_GB2312" w:cs="仿宋_GB2312"/>
          <w:b w:val="0"/>
          <w:bCs w:val="0"/>
          <w:snapToGrid w:val="0"/>
          <w:color w:val="000000" w:themeColor="text1"/>
          <w:kern w:val="0"/>
          <w:sz w:val="32"/>
          <w:szCs w:val="32"/>
          <w:lang w:val="en-US" w:eastAsia="zh-CN"/>
          <w14:textFill>
            <w14:solidFill>
              <w14:schemeClr w14:val="tx1"/>
            </w14:solidFill>
          </w14:textFill>
        </w:rPr>
        <w:t>受</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人大监督，严格执行经法定程序批准的预算，依法报告年度预算执行、预算调整、地方政府债务管理、国有资产管理</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等</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情况。认真落实</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市</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人大及其常委会有关预算决议和审查意见，有针对性地改进和加强财政预算工作。</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——持续加大财会监督力度。优化财会监督与人大监督、纪检监察、审计检查、巡视巡察等各类监督贯通协调机制，聚焦预算执行、违规出台财税优惠政策招商引资、</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重点民生领域、政府采购、会计代理记账机构</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等领域地方财经纪律重点问题，开展财会监督专项行动。</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pP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——进一步夯实财政管理基础。深入开展群众身边不正之风和腐败问题集中整治工作，聚焦惠民惠农“一卡通”发放的财政补贴资金，</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推进实施</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财政业务和软件系统“双闭环”监管机制，</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组织开展乡村振兴、教育、医疗、养老、就业创业、</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中小学校园营养膳食经费</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、殡葬领域专项整治</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，有效解决资金滞拨、挤占、挪用等问题。</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各位代表，</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总</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体来</w:t>
      </w:r>
      <w:r>
        <w:rPr>
          <w:rFonts w:hint="eastAsia" w:ascii="仿宋_GB2312" w:hAnsi="仿宋_GB2312" w:eastAsia="仿宋_GB2312" w:cs="仿宋_GB2312"/>
          <w:b w:val="0"/>
          <w:bCs w:val="0"/>
          <w:color w:val="000000" w:themeColor="text1"/>
          <w:sz w:val="32"/>
          <w:szCs w:val="32"/>
          <w:u w:val="none"/>
          <w14:textFill>
            <w14:solidFill>
              <w14:schemeClr w14:val="tx1"/>
            </w14:solidFill>
          </w14:textFill>
        </w:rPr>
        <w:t>看</w:t>
      </w:r>
      <w:r>
        <w:rPr>
          <w:rFonts w:hint="eastAsia" w:ascii="仿宋_GB2312" w:hAnsi="仿宋_GB2312" w:eastAsia="仿宋_GB2312" w:cs="仿宋_GB2312"/>
          <w:b w:val="0"/>
          <w:bCs w:val="0"/>
          <w:color w:val="000000" w:themeColor="text1"/>
          <w:sz w:val="32"/>
          <w:szCs w:val="32"/>
          <w14:textFill>
            <w14:solidFill>
              <w14:schemeClr w14:val="tx1"/>
            </w14:solidFill>
          </w14:textFill>
        </w:rPr>
        <w:t>，2024年面对</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组织收入困难，财政收支矛盾依然突出的实际困难，</w:t>
      </w:r>
      <w:r>
        <w:rPr>
          <w:rFonts w:hint="eastAsia" w:ascii="仿宋_GB2312" w:hAnsi="仿宋_GB2312" w:eastAsia="仿宋_GB2312" w:cs="仿宋_GB2312"/>
          <w:b w:val="0"/>
          <w:bCs w:val="0"/>
          <w:color w:val="000000" w:themeColor="text1"/>
          <w:sz w:val="32"/>
          <w:szCs w:val="32"/>
          <w14:textFill>
            <w14:solidFill>
              <w14:schemeClr w14:val="tx1"/>
            </w14:solidFill>
          </w14:textFill>
        </w:rPr>
        <w:t>各级财政部门持续强化组织收入工作，保持了财政收入</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稳步增长，</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财政支出继续保持一定强度，重点支出保障有力，基层“三保”足额保障，防范化解政府债务风险有力有效，</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财政管理能力和水平不断提升。</w:t>
      </w:r>
      <w:r>
        <w:rPr>
          <w:rFonts w:hint="eastAsia" w:ascii="仿宋_GB2312" w:hAnsi="仿宋_GB2312" w:eastAsia="仿宋_GB2312" w:cs="仿宋_GB2312"/>
          <w:b w:val="0"/>
          <w:bCs w:val="0"/>
          <w:color w:val="000000" w:themeColor="text1"/>
          <w:sz w:val="32"/>
          <w:szCs w:val="32"/>
          <w14:textFill>
            <w14:solidFill>
              <w14:schemeClr w14:val="tx1"/>
            </w14:solidFill>
          </w14:textFill>
        </w:rPr>
        <w:t>上述成绩的取得来之不易，</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根本在于以</w:t>
      </w:r>
      <w:r>
        <w:rPr>
          <w:rFonts w:hint="eastAsia" w:ascii="仿宋_GB2312" w:hAnsi="仿宋_GB2312" w:eastAsia="仿宋_GB2312" w:cs="仿宋_GB2312"/>
          <w:b w:val="0"/>
          <w:bCs w:val="0"/>
          <w:color w:val="000000" w:themeColor="text1"/>
          <w:sz w:val="32"/>
          <w:szCs w:val="32"/>
          <w14:textFill>
            <w14:solidFill>
              <w14:schemeClr w14:val="tx1"/>
            </w14:solidFill>
          </w14:textFill>
        </w:rPr>
        <w:t>习近平新时代中国特色社会主义思想的科学指引，</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在于坚持完整准确全面贯彻新时代党的治疆方略，是</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z w:val="32"/>
          <w:szCs w:val="32"/>
          <w14:textFill>
            <w14:solidFill>
              <w14:schemeClr w14:val="tx1"/>
            </w14:solidFill>
          </w14:textFill>
        </w:rPr>
        <w:t>科学决策、正确领导的结果，</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是</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人大、</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政协及代表委员们加强监督、有力指导的结果，也是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全市上下</w:t>
      </w:r>
      <w:r>
        <w:rPr>
          <w:rFonts w:hint="eastAsia" w:ascii="仿宋_GB2312" w:hAnsi="仿宋_GB2312" w:eastAsia="仿宋_GB2312" w:cs="仿宋_GB2312"/>
          <w:b w:val="0"/>
          <w:bCs w:val="0"/>
          <w:color w:val="000000" w:themeColor="text1"/>
          <w:sz w:val="32"/>
          <w:szCs w:val="32"/>
          <w14:textFill>
            <w14:solidFill>
              <w14:schemeClr w14:val="tx1"/>
            </w14:solidFill>
          </w14:textFill>
        </w:rPr>
        <w:t>各</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级</w:t>
      </w:r>
      <w:r>
        <w:rPr>
          <w:rFonts w:hint="eastAsia" w:ascii="仿宋_GB2312" w:hAnsi="仿宋_GB2312" w:eastAsia="仿宋_GB2312" w:cs="仿宋_GB2312"/>
          <w:b w:val="0"/>
          <w:bCs w:val="0"/>
          <w:color w:val="000000" w:themeColor="text1"/>
          <w:sz w:val="32"/>
          <w:szCs w:val="32"/>
          <w14:textFill>
            <w14:solidFill>
              <w14:schemeClr w14:val="tx1"/>
            </w14:solidFill>
          </w14:textFill>
        </w:rPr>
        <w:t>各部门</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勠力同心</w:t>
      </w:r>
      <w:r>
        <w:rPr>
          <w:rFonts w:hint="eastAsia" w:ascii="仿宋_GB2312" w:hAnsi="仿宋_GB2312" w:eastAsia="仿宋_GB2312" w:cs="仿宋_GB2312"/>
          <w:b w:val="0"/>
          <w:bCs w:val="0"/>
          <w:color w:val="000000" w:themeColor="text1"/>
          <w:sz w:val="32"/>
          <w:szCs w:val="32"/>
          <w14:textFill>
            <w14:solidFill>
              <w14:schemeClr w14:val="tx1"/>
            </w14:solidFill>
          </w14:textFill>
        </w:rPr>
        <w:t>、砥砺奋进的结果。同时，我们也清醒地认识到，全</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财政运行也还面临一些困难和问题，主要是：受经济形势影响，财政收入持续增长的基础尚不稳固，统筹“</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四本</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预算”的力度有待加大；民生政策提标、政府债务还本付息等支出需求刚性增长，财政收支矛盾</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依然突出</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，预算平衡压力持续加大；落实过“紧日子”举措</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还</w:t>
      </w:r>
      <w:r>
        <w:rPr>
          <w:rFonts w:hint="eastAsia" w:ascii="仿宋_GB2312" w:hAnsi="仿宋_GB2312" w:eastAsia="仿宋_GB2312" w:cs="仿宋_GB2312"/>
          <w:b w:val="0"/>
          <w:bCs w:val="0"/>
          <w:color w:val="000000" w:themeColor="text1"/>
          <w:sz w:val="32"/>
          <w:szCs w:val="32"/>
          <w14:textFill>
            <w14:solidFill>
              <w14:schemeClr w14:val="tx1"/>
            </w14:solidFill>
          </w14:textFill>
        </w:rPr>
        <w:t>不</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够</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有力</w:t>
      </w:r>
      <w:r>
        <w:rPr>
          <w:rFonts w:hint="eastAsia" w:ascii="仿宋_GB2312" w:hAnsi="仿宋_GB2312" w:eastAsia="仿宋_GB2312" w:cs="仿宋_GB2312"/>
          <w:b w:val="0"/>
          <w:bCs w:val="0"/>
          <w:color w:val="000000" w:themeColor="text1"/>
          <w:sz w:val="32"/>
          <w:szCs w:val="32"/>
          <w14:textFill>
            <w14:solidFill>
              <w14:schemeClr w14:val="tx1"/>
            </w14:solidFill>
          </w14:textFill>
        </w:rPr>
        <w:t>，一般性支出压减力度不够；</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绩效管理工作还有待进一步加强，</w:t>
      </w:r>
      <w:r>
        <w:rPr>
          <w:rFonts w:hint="eastAsia" w:ascii="仿宋_GB2312" w:hAnsi="仿宋_GB2312" w:eastAsia="仿宋_GB2312" w:cs="仿宋_GB2312"/>
          <w:b w:val="0"/>
          <w:bCs w:val="0"/>
          <w:color w:val="000000" w:themeColor="text1"/>
          <w:sz w:val="32"/>
          <w:szCs w:val="32"/>
          <w14:textFill>
            <w14:solidFill>
              <w14:schemeClr w14:val="tx1"/>
            </w14:solidFill>
          </w14:textFill>
        </w:rPr>
        <w:t>资金使用效率有待提高；专项债项目谋划储备不足，项目收益不能覆盖债务还本付息。我们将高度重视这些问题，通过采取深化改革、加强管理、强化监督等有效措施积极解决。</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黑体" w:hAnsi="黑体" w:eastAsia="黑体" w:cs="黑体"/>
          <w:b w:val="0"/>
          <w:bCs w:val="0"/>
          <w:snapToGrid w:val="0"/>
          <w:color w:val="000000" w:themeColor="text1"/>
          <w:kern w:val="0"/>
          <w:sz w:val="32"/>
          <w:szCs w:val="32"/>
          <w14:textFill>
            <w14:solidFill>
              <w14:schemeClr w14:val="tx1"/>
            </w14:solidFill>
          </w14:textFill>
        </w:rPr>
      </w:pPr>
      <w:r>
        <w:rPr>
          <w:rFonts w:hint="eastAsia" w:ascii="黑体" w:hAnsi="黑体" w:eastAsia="黑体" w:cs="黑体"/>
          <w:b w:val="0"/>
          <w:bCs w:val="0"/>
          <w:snapToGrid w:val="0"/>
          <w:color w:val="000000" w:themeColor="text1"/>
          <w:kern w:val="0"/>
          <w:sz w:val="32"/>
          <w:szCs w:val="32"/>
          <w14:textFill>
            <w14:solidFill>
              <w14:schemeClr w14:val="tx1"/>
            </w14:solidFill>
          </w14:textFill>
        </w:rPr>
        <w:t>二、2025年</w:t>
      </w:r>
      <w:r>
        <w:rPr>
          <w:rFonts w:hint="eastAsia" w:ascii="黑体" w:hAnsi="黑体" w:eastAsia="黑体" w:cs="黑体"/>
          <w:b w:val="0"/>
          <w:bCs w:val="0"/>
          <w:snapToGrid w:val="0"/>
          <w:color w:val="000000" w:themeColor="text1"/>
          <w:kern w:val="0"/>
          <w:sz w:val="32"/>
          <w:szCs w:val="32"/>
          <w:lang w:eastAsia="zh-CN"/>
          <w14:textFill>
            <w14:solidFill>
              <w14:schemeClr w14:val="tx1"/>
            </w14:solidFill>
          </w14:textFill>
        </w:rPr>
        <w:t>全市</w:t>
      </w:r>
      <w:r>
        <w:rPr>
          <w:rFonts w:hint="eastAsia" w:ascii="黑体" w:hAnsi="黑体" w:eastAsia="黑体" w:cs="黑体"/>
          <w:b w:val="0"/>
          <w:bCs w:val="0"/>
          <w:snapToGrid w:val="0"/>
          <w:color w:val="000000" w:themeColor="text1"/>
          <w:kern w:val="0"/>
          <w:sz w:val="32"/>
          <w:szCs w:val="32"/>
          <w14:textFill>
            <w14:solidFill>
              <w14:schemeClr w14:val="tx1"/>
            </w14:solidFill>
          </w14:textFill>
        </w:rPr>
        <w:t>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2025年，是全面贯彻</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落实</w:t>
      </w:r>
      <w:r>
        <w:rPr>
          <w:rFonts w:hint="eastAsia" w:ascii="仿宋_GB2312" w:hAnsi="仿宋_GB2312" w:eastAsia="仿宋_GB2312" w:cs="仿宋_GB2312"/>
          <w:b w:val="0"/>
          <w:bCs w:val="0"/>
          <w:color w:val="000000" w:themeColor="text1"/>
          <w:sz w:val="32"/>
          <w:szCs w:val="32"/>
          <w14:textFill>
            <w14:solidFill>
              <w14:schemeClr w14:val="tx1"/>
            </w14:solidFill>
          </w14:textFill>
        </w:rPr>
        <w:t>党的二十届三中全会精神</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关键之年</w:t>
      </w:r>
      <w:r>
        <w:rPr>
          <w:rFonts w:hint="eastAsia" w:ascii="仿宋_GB2312" w:hAnsi="仿宋_GB2312" w:eastAsia="仿宋_GB2312" w:cs="仿宋_GB2312"/>
          <w:b w:val="0"/>
          <w:bCs w:val="0"/>
          <w:color w:val="000000" w:themeColor="text1"/>
          <w:sz w:val="32"/>
          <w:szCs w:val="32"/>
          <w14:textFill>
            <w14:solidFill>
              <w14:schemeClr w14:val="tx1"/>
            </w14:solidFill>
          </w14:textFill>
        </w:rPr>
        <w:t>，是</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sz w:val="32"/>
          <w:szCs w:val="32"/>
          <w14:textFill>
            <w14:solidFill>
              <w14:schemeClr w14:val="tx1"/>
            </w14:solidFill>
          </w14:textFill>
        </w:rPr>
        <w:t>“十四五”规划的收官之年，也是“十五五”规划系统谋划之年。编制好2025年预算，谋划好2025年财政工作，对贯彻落实</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党</w:t>
      </w:r>
      <w:r>
        <w:rPr>
          <w:rFonts w:hint="eastAsia" w:ascii="仿宋_GB2312" w:hAnsi="仿宋_GB2312" w:eastAsia="仿宋_GB2312" w:cs="仿宋_GB2312"/>
          <w:b w:val="0"/>
          <w:bCs w:val="0"/>
          <w:color w:val="000000" w:themeColor="text1"/>
          <w:sz w:val="32"/>
          <w:szCs w:val="32"/>
          <w14:textFill>
            <w14:solidFill>
              <w14:schemeClr w14:val="tx1"/>
            </w14:solidFill>
          </w14:textFill>
        </w:rPr>
        <w:t>中央方针政策</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自治区党委、自治区人民政府决策部署</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和市委“</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1535</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”工作思路，</w:t>
      </w:r>
      <w:r>
        <w:rPr>
          <w:rFonts w:hint="eastAsia" w:ascii="仿宋_GB2312" w:hAnsi="仿宋_GB2312" w:eastAsia="仿宋_GB2312" w:cs="仿宋_GB2312"/>
          <w:b w:val="0"/>
          <w:bCs w:val="0"/>
          <w:color w:val="000000" w:themeColor="text1"/>
          <w:sz w:val="32"/>
          <w:szCs w:val="32"/>
          <w14:textFill>
            <w14:solidFill>
              <w14:schemeClr w14:val="tx1"/>
            </w14:solidFill>
          </w14:textFill>
        </w:rPr>
        <w:t>促进</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经济社会高质量发展具有十分重要的意义。</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楷体_GB2312" w:hAnsi="楷体_GB2312" w:eastAsia="楷体_GB2312" w:cs="楷体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一</w:t>
      </w: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32"/>
          <w:szCs w:val="32"/>
          <w14:textFill>
            <w14:solidFill>
              <w14:schemeClr w14:val="tx1"/>
            </w14:solidFill>
          </w14:textFill>
        </w:rPr>
        <w:t>收支形势分析</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总体看，2025年，财政收支形势依然严峻，必须努力增收节支，防范化解财政运行风险，保障财政平稳运行。从收入方面看，中央一揽子增量政策持续发挥作用，更加积极的财政政策持续用力、更加给力，推动消费税征收环节后移并稳步下划地方、健全地方税体系等政策落实，地方税源进一步拓展，矿产出让力度继续加大等，为推进财政收入持续增长奠定基础。但工业稳定增长基础不牢，油气、煤炭、多晶硅等大宗商品价格走势仍不明朗，市场有效需求不足，社会预期偏弱的影响依旧存在，稳增长的压力仍然很大。从支出方面看，全面贯彻落实</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市委二届四次、五次、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七次</w:t>
      </w:r>
      <w:r>
        <w:rPr>
          <w:rFonts w:hint="eastAsia" w:ascii="仿宋_GB2312" w:hAnsi="仿宋_GB2312" w:eastAsia="仿宋_GB2312" w:cs="仿宋_GB2312"/>
          <w:b w:val="0"/>
          <w:bCs w:val="0"/>
          <w:color w:val="000000" w:themeColor="text1"/>
          <w:sz w:val="32"/>
          <w:szCs w:val="32"/>
          <w14:textFill>
            <w14:solidFill>
              <w14:schemeClr w14:val="tx1"/>
            </w14:solidFill>
          </w14:textFill>
        </w:rPr>
        <w:t>全会精神，支持“</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八</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大产业集群</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20条重点产业链</w:t>
      </w:r>
      <w:r>
        <w:rPr>
          <w:rFonts w:hint="eastAsia" w:ascii="仿宋_GB2312" w:hAnsi="仿宋_GB2312" w:eastAsia="仿宋_GB2312" w:cs="仿宋_GB2312"/>
          <w:b w:val="0"/>
          <w:bCs w:val="0"/>
          <w:color w:val="000000" w:themeColor="text1"/>
          <w:sz w:val="32"/>
          <w:szCs w:val="32"/>
          <w14:textFill>
            <w14:solidFill>
              <w14:schemeClr w14:val="tx1"/>
            </w14:solidFill>
          </w14:textFill>
        </w:rPr>
        <w:t>发展，兜牢兜实基层“三保”底线，防范化解风险，以及教育、科技、人才、农业、生态环保等重点领域，都需要财政加大投入。紧贴民生凝聚人心推动高质量发展、政府债务还本付息支出刚性增长，编外人员、城市运维等支出易增难减，财政支出腾挪空间有限，2025年</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财政收支紧平衡状态进一步加剧。</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综合来看，发展面临的有利条件强于不利因素，经济向好的基础进一步巩固，我们将增强信心和底气，深刻认识</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经济发展面临的形势、存在的机遇和挑战，坚持求真务实，增强协同联动，加强预期管理，用好用足政策空间，科学合理安排2025年预算，为</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经济社会高质量发展做好财政保障。</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楷体_GB2312" w:hAnsi="楷体_GB2312" w:eastAsia="楷体_GB2312" w:cs="楷体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（二）</w:t>
      </w:r>
      <w:r>
        <w:rPr>
          <w:rFonts w:hint="eastAsia" w:ascii="楷体_GB2312" w:hAnsi="楷体_GB2312" w:eastAsia="楷体_GB2312" w:cs="楷体_GB2312"/>
          <w:b w:val="0"/>
          <w:bCs w:val="0"/>
          <w:color w:val="000000" w:themeColor="text1"/>
          <w:sz w:val="32"/>
          <w:szCs w:val="32"/>
          <w14:textFill>
            <w14:solidFill>
              <w14:schemeClr w14:val="tx1"/>
            </w14:solidFill>
          </w14:textFill>
        </w:rPr>
        <w:t>预算编制的指导思想和总体思路</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坚持以习近平新时代中国特色社会主义思想为指导，全面贯彻党的二十大和二十届二中、三中全会，以及中央经济工作会议、全国</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、自治区</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财政工作会议精神，完整准确全面贯彻新时代党的治疆方略，贯彻落实自治区党委十届</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十一次、十二次、十三次</w:t>
      </w:r>
      <w:r>
        <w:rPr>
          <w:rFonts w:hint="eastAsia" w:ascii="仿宋_GB2312" w:hAnsi="仿宋_GB2312" w:eastAsia="仿宋_GB2312" w:cs="仿宋_GB2312"/>
          <w:b w:val="0"/>
          <w:bCs w:val="0"/>
          <w:color w:val="000000" w:themeColor="text1"/>
          <w:sz w:val="32"/>
          <w:szCs w:val="32"/>
          <w14:textFill>
            <w14:solidFill>
              <w14:schemeClr w14:val="tx1"/>
            </w14:solidFill>
          </w14:textFill>
        </w:rPr>
        <w:t>全会精神，</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市委二届四次、五次、六次、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七次</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全会精神，聚焦市委“</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1535</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”工作思路，</w:t>
      </w:r>
      <w:r>
        <w:rPr>
          <w:rFonts w:hint="eastAsia" w:ascii="仿宋_GB2312" w:hAnsi="仿宋_GB2312" w:eastAsia="仿宋_GB2312" w:cs="仿宋_GB2312"/>
          <w:b w:val="0"/>
          <w:bCs w:val="0"/>
          <w:color w:val="000000" w:themeColor="text1"/>
          <w:sz w:val="32"/>
          <w:szCs w:val="32"/>
          <w14:textFill>
            <w14:solidFill>
              <w14:schemeClr w14:val="tx1"/>
            </w14:solidFill>
          </w14:textFill>
        </w:rPr>
        <w:t>坚持稳中求进工作总基调，完整准确全面贯彻新发展理念，加快构建新发展格局，扎实推动高质量发展，更好统筹发展和安全、实施更加积极的财政政策，加强财政资源和预算统筹，优化财政支出结构，加大财政支出强度，强化重点领域保障，兜牢基层“三保”底线，深化财税体制改革，推进财政科学管理，狠抓地方政府债务管理，严肃财经纪律，提高财政资金使用效益和政策效能，促进财政健康平稳可持续发展，推动</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sz w:val="32"/>
          <w:szCs w:val="32"/>
          <w14:textFill>
            <w14:solidFill>
              <w14:schemeClr w14:val="tx1"/>
            </w14:solidFill>
          </w14:textFill>
        </w:rPr>
        <w:t>经济实现质的有效提升和量的合理增长，</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奋发有为推进中国式现代化吐鲁番新实践</w:t>
      </w:r>
      <w:r>
        <w:rPr>
          <w:rFonts w:hint="eastAsia" w:ascii="仿宋_GB2312" w:hAnsi="仿宋_GB2312" w:eastAsia="仿宋_GB2312" w:cs="仿宋_GB2312"/>
          <w:b w:val="0"/>
          <w:bCs w:val="0"/>
          <w:color w:val="000000" w:themeColor="text1"/>
          <w:sz w:val="32"/>
          <w:szCs w:val="32"/>
          <w14:textFill>
            <w14:solidFill>
              <w14:schemeClr w14:val="tx1"/>
            </w14:solidFill>
          </w14:textFill>
        </w:rPr>
        <w:t>。重点把握好以下原则：一是收入预算安排实事求是、积极稳妥,与经济社会发展水平相适应，与更加积极的财政政策相衔接，增强财政资源和预算统筹能力；二是支出预算安排坚持小钱小气、大钱大方，进一步优化结构，集中财力保障好</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z w:val="32"/>
          <w:szCs w:val="32"/>
          <w14:textFill>
            <w14:solidFill>
              <w14:schemeClr w14:val="tx1"/>
            </w14:solidFill>
          </w14:textFill>
        </w:rPr>
        <w:t>重大决策部署，兜牢“三保”底线，坚持过紧日子；三是资金使用注重绩效，完善全过程预算绩效管理机制，推动预算与绩效有机结合；四是政府债务合理适度、风险可控，持续发挥带动有效投资作用，切实防范化解地方政府债务风险；五是财政管理要严肃纪律，加强财会监督，硬化预算约束，推进财政承受能力评估，完善预算执行监控机制，保障资金规范安全使用。</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根据经济形势和上述指导思想，2025年预算编制的总体思路是：收入预算与经济社会发展相适应，与积极财政政策相衔接，既坚定信心，充分挖掘增收潜力，科学预测，合理安排；也未雨绸缪，深入分析不确定、难预料因素，实事求是，确保收入预期有效可行。加强预算统筹，健全增量与存量、部门财政拨款收入与非财政拨款收入的统筹机制，增强财政保障能力。支出预算坚持“零基”理念，突出效益优先，结合财力状况、轻重缓急等，应保尽保、能省则省，量入为出、精打细算，优先保障“三保”和</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z w:val="32"/>
          <w:szCs w:val="32"/>
          <w14:textFill>
            <w14:solidFill>
              <w14:schemeClr w14:val="tx1"/>
            </w14:solidFill>
          </w14:textFill>
        </w:rPr>
        <w:t>确定的重点支出，提高财政资金资源配置效率，确保财政平稳可持续运行。</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楷体_GB2312" w:hAnsi="楷体_GB2312" w:eastAsia="楷体_GB2312" w:cs="楷体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32"/>
          <w:szCs w:val="32"/>
          <w:lang w:val="en-US" w:eastAsia="zh-CN"/>
          <w14:textFill>
            <w14:solidFill>
              <w14:schemeClr w14:val="tx1"/>
            </w14:solidFill>
          </w14:textFill>
        </w:rPr>
        <w:t>三</w:t>
      </w: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w:t>
      </w:r>
      <w:r>
        <w:rPr>
          <w:rFonts w:hint="eastAsia" w:ascii="楷体_GB2312" w:hAnsi="楷体_GB2312" w:eastAsia="楷体_GB2312" w:cs="楷体_GB2312"/>
          <w:b w:val="0"/>
          <w:bCs w:val="0"/>
          <w:color w:val="000000" w:themeColor="text1"/>
          <w:sz w:val="32"/>
          <w:szCs w:val="32"/>
          <w14:textFill>
            <w14:solidFill>
              <w14:schemeClr w14:val="tx1"/>
            </w14:solidFill>
          </w14:textFill>
        </w:rPr>
        <w:t>一般公共预算、政府性基金预算、国有资本经营预算和社会保险基金预算草案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按照“量入为出，收支平衡”的原则，做好2025年度预算编制工作。</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1.一般公共预算草案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2025年，原体制地方一般公共预算收入计划增长10%，为79.16亿元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各区县为：高昌区16.95亿元、鄯善县22.36亿元、托克逊县35.35亿元、市本级4.5亿元。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（1）代编</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按照自治区财政体制改革</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分享</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后，</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地方一般公共预算</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留地方</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收入63.81亿元，</w:t>
      </w:r>
      <w:r>
        <w:rPr>
          <w:rFonts w:hint="eastAsia" w:ascii="仿宋_GB2312" w:hAnsi="仿宋_GB2312" w:eastAsia="仿宋_GB2312" w:cs="仿宋_GB2312"/>
          <w:b w:val="0"/>
          <w:bCs w:val="0"/>
          <w:color w:val="000000" w:themeColor="text1"/>
          <w:sz w:val="32"/>
          <w:szCs w:val="32"/>
          <w14:textFill>
            <w14:solidFill>
              <w14:schemeClr w14:val="tx1"/>
            </w14:solidFill>
          </w14:textFill>
        </w:rPr>
        <w:t>其中：税收收入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36.05亿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元；非税收入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27.76亿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分区县：高昌区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12.64亿元、鄯善县15.67亿元、托克逊县26.42亿元、市本级9.08亿元。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一般公共预算支出安排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145.38亿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其中：高昌区44.38亿元、鄯善县34.72亿元、托克逊县38.65亿元、市本级27.63亿元。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157.93亿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一般公共预算</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63.81亿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上级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68亿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14:textFill>
            <w14:solidFill>
              <w14:schemeClr w14:val="tx1"/>
            </w14:solidFill>
          </w14:textFill>
        </w:rPr>
        <w:t>调入资金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4.3亿元</w:t>
      </w:r>
      <w:r>
        <w:rPr>
          <w:rFonts w:hint="eastAsia" w:ascii="仿宋_GB2312" w:hAnsi="仿宋_GB2312" w:eastAsia="仿宋_GB2312" w:cs="仿宋_GB2312"/>
          <w:b w:val="0"/>
          <w:bCs w:val="0"/>
          <w:color w:val="000000" w:themeColor="text1"/>
          <w:sz w:val="32"/>
          <w:szCs w:val="32"/>
          <w14:textFill>
            <w14:solidFill>
              <w14:schemeClr w14:val="tx1"/>
            </w14:solidFill>
          </w14:textFill>
        </w:rPr>
        <w:t>，动用预算稳定调节基金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4.12亿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157.93亿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元，其中：一般公共预算支出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145.38亿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元，上解上级支出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政府一般债务还本支出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补助下级支出8.05亿元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w:t>
      </w:r>
      <w:r>
        <w:rPr>
          <w:rFonts w:hint="eastAsia" w:ascii="仿宋_GB2312" w:hAnsi="仿宋_GB2312" w:eastAsia="仿宋_GB2312" w:cs="仿宋_GB2312"/>
          <w:b w:val="0"/>
          <w:bCs w:val="0"/>
          <w:color w:val="000000" w:themeColor="text1"/>
          <w:sz w:val="32"/>
          <w:szCs w:val="32"/>
          <w14:textFill>
            <w14:solidFill>
              <w14:schemeClr w14:val="tx1"/>
            </w14:solidFill>
          </w14:textFill>
        </w:rPr>
        <w:t>支相抵，当年收支平衡。</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按照自治区财政体制改革</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分享</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后，市本级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新增分享各地县收入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4.94亿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市本级收入为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9.08亿元。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一般公共预算支出安排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27.63亿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36.23亿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9.08亿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上级</w:t>
      </w:r>
      <w:r>
        <w:rPr>
          <w:rFonts w:hint="eastAsia" w:ascii="仿宋_GB2312" w:hAnsi="仿宋_GB2312" w:eastAsia="仿宋_GB2312" w:cs="仿宋_GB2312"/>
          <w:b w:val="0"/>
          <w:bCs w:val="0"/>
          <w:color w:val="000000" w:themeColor="text1"/>
          <w:sz w:val="32"/>
          <w:szCs w:val="32"/>
          <w14:textFill>
            <w14:solidFill>
              <w14:schemeClr w14:val="tx1"/>
            </w14:solidFill>
          </w14:textFill>
        </w:rPr>
        <w:t>补助收入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9.78亿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2.33亿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调入资金0.12亿元，</w:t>
      </w:r>
      <w:r>
        <w:rPr>
          <w:rFonts w:hint="eastAsia" w:ascii="仿宋_GB2312" w:hAnsi="仿宋_GB2312" w:eastAsia="仿宋_GB2312" w:cs="仿宋_GB2312"/>
          <w:b w:val="0"/>
          <w:bCs w:val="0"/>
          <w:color w:val="000000" w:themeColor="text1"/>
          <w:sz w:val="32"/>
          <w:szCs w:val="32"/>
          <w14:textFill>
            <w14:solidFill>
              <w14:schemeClr w14:val="tx1"/>
            </w14:solidFill>
          </w14:textFill>
        </w:rPr>
        <w:t>下级上解收入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10.8亿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元，动用预算稳定调节基金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4.12亿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36.23亿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元，其中：一般公共预算支出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27</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.6</w:t>
      </w:r>
      <w:r>
        <w:rPr>
          <w:rFonts w:hint="eastAsia" w:ascii="仿宋_GB2312" w:hAnsi="仿宋_GB2312" w:eastAsia="仿宋_GB2312" w:cs="仿宋_GB2312"/>
          <w:b w:val="0"/>
          <w:bCs w:val="0"/>
          <w:strike w:val="0"/>
          <w:dstrike w:val="0"/>
          <w:color w:val="000000" w:themeColor="text1"/>
          <w:sz w:val="32"/>
          <w:szCs w:val="32"/>
          <w:u w:val="none"/>
          <w:lang w:val="en-US" w:eastAsia="zh-CN"/>
          <w14:textFill>
            <w14:solidFill>
              <w14:schemeClr w14:val="tx1"/>
            </w14:solidFill>
          </w14:textFill>
        </w:rPr>
        <w:t>3</w:t>
      </w:r>
      <w:r>
        <w:rPr>
          <w:rFonts w:hint="eastAsia" w:ascii="仿宋_GB2312" w:hAnsi="仿宋_GB2312" w:eastAsia="仿宋_GB2312" w:cs="仿宋_GB2312"/>
          <w:b w:val="0"/>
          <w:bCs w:val="0"/>
          <w:color w:val="000000" w:themeColor="text1"/>
          <w:sz w:val="32"/>
          <w:szCs w:val="32"/>
          <w:u w:val="none"/>
          <w:lang w:val="en-US" w:eastAsia="zh-CN"/>
          <w14:textFill>
            <w14:solidFill>
              <w14:schemeClr w14:val="tx1"/>
            </w14:solidFill>
          </w14:textFill>
        </w:rPr>
        <w:t>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元，上解上级支出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0.22亿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元，地方政府一般债务还本支出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0.33亿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补助下级支出8.05亿元</w:t>
      </w:r>
      <w:r>
        <w:rPr>
          <w:rFonts w:hint="eastAsia" w:ascii="仿宋_GB2312" w:hAnsi="仿宋_GB2312" w:eastAsia="仿宋_GB2312" w:cs="仿宋_GB2312"/>
          <w:b w:val="0"/>
          <w:bCs w:val="0"/>
          <w:color w:val="000000" w:themeColor="text1"/>
          <w:sz w:val="32"/>
          <w:szCs w:val="32"/>
          <w14:textFill>
            <w14:solidFill>
              <w14:schemeClr w14:val="tx1"/>
            </w14:solidFill>
          </w14:textFill>
        </w:rPr>
        <w:t>。收支相抵，当年收支平衡。</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lang w:val="en-US" w:eastAsia="zh-CN"/>
          <w14:textFill>
            <w14:solidFill>
              <w14:schemeClr w14:val="tx1"/>
            </w14:solidFill>
          </w14:textFill>
        </w:rPr>
        <w:t>2.</w:t>
      </w:r>
      <w:r>
        <w:rPr>
          <w:rFonts w:hint="eastAsia" w:ascii="仿宋_GB2312" w:hAnsi="仿宋_GB2312" w:eastAsia="仿宋_GB2312" w:cs="仿宋_GB2312"/>
          <w:b/>
          <w:bCs/>
          <w:color w:val="000000" w:themeColor="text1"/>
          <w:sz w:val="32"/>
          <w:szCs w:val="32"/>
          <w14:textFill>
            <w14:solidFill>
              <w14:schemeClr w14:val="tx1"/>
            </w14:solidFill>
          </w14:textFill>
        </w:rPr>
        <w:t>政府性基金预算草案。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代编</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政府性基金预算收入安排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13.84亿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其中：高昌区8.45亿元、鄯善县2.5亿元、托克逊县2.4亿元、市本级0.49亿元。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政府性基金预算支出安排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14.81亿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其中：高昌区7.4亿元、鄯善县2.8亿元、托克逊县3.69亿元、市本级0.92亿元。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19.92亿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13.84亿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5.58亿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19.78亿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元，其中：政府性基金预算支出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14.81亿元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，调出资金</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4.11亿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元，地方政府专项债务还本支出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0.86亿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元。结转</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0.14亿元，做到收支平衡</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（2）</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政府性基金预算收入安排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0.49亿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政府性基金预算支出安排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0.92亿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1.17亿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政府性基金预算收入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0.49亿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元，上级补助</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0.21亿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0.47亿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1.03亿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元，其中：政府性基金预算支出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0.92亿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调出0.11亿元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结转结余0.14亿元，做到收支平衡。</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3.国有资本经营预算草案。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（1）代编</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0.64亿元。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国有资本经营预算支出安排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0.67亿元</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0.86亿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0.64亿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元，上级补助收入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32万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元，上年结余收入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0.22亿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0.86亿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元，其中：国有资本经营预算支出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0.67亿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元，调出资金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0.19亿</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元。收支相抵，当年收支平衡。</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（2）</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208万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国有资本经营预算支出安排</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146万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208万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地方</w:t>
      </w:r>
      <w:r>
        <w:rPr>
          <w:rFonts w:hint="eastAsia" w:ascii="仿宋_GB2312" w:hAnsi="仿宋_GB2312" w:eastAsia="仿宋_GB2312" w:cs="仿宋_GB2312"/>
          <w:b w:val="0"/>
          <w:bCs w:val="0"/>
          <w:color w:val="000000" w:themeColor="text1"/>
          <w:sz w:val="32"/>
          <w:szCs w:val="32"/>
          <w14:textFill>
            <w14:solidFill>
              <w14:schemeClr w14:val="tx1"/>
            </w14:solidFill>
          </w14:textFill>
        </w:rPr>
        <w:t>国有资本经营预算收入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208万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208万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元，其中：国有资本经营预算支出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146万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元，调出资金</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62万</w:t>
      </w:r>
      <w:r>
        <w:rPr>
          <w:rFonts w:hint="eastAsia" w:ascii="仿宋_GB2312" w:hAnsi="仿宋_GB2312" w:eastAsia="仿宋_GB2312" w:cs="仿宋_GB2312"/>
          <w:b w:val="0"/>
          <w:bCs w:val="0"/>
          <w:color w:val="000000" w:themeColor="text1"/>
          <w:sz w:val="32"/>
          <w:szCs w:val="32"/>
          <w14:textFill>
            <w14:solidFill>
              <w14:schemeClr w14:val="tx1"/>
            </w14:solidFill>
          </w14:textFill>
        </w:rPr>
        <w:t>元。收支相抵，当年收支平衡。</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bCs/>
          <w:color w:val="000000" w:themeColor="text1"/>
          <w:sz w:val="32"/>
          <w:szCs w:val="32"/>
          <w14:textFill>
            <w14:solidFill>
              <w14:schemeClr w14:val="tx1"/>
            </w14:solidFill>
          </w14:textFill>
        </w:rPr>
      </w:pPr>
      <w:r>
        <w:rPr>
          <w:rFonts w:hint="eastAsia" w:ascii="仿宋_GB2312" w:hAnsi="仿宋_GB2312" w:eastAsia="仿宋_GB2312" w:cs="仿宋_GB2312"/>
          <w:b/>
          <w:bCs/>
          <w:color w:val="000000" w:themeColor="text1"/>
          <w:sz w:val="32"/>
          <w:szCs w:val="32"/>
          <w14:textFill>
            <w14:solidFill>
              <w14:schemeClr w14:val="tx1"/>
            </w14:solidFill>
          </w14:textFill>
        </w:rPr>
        <w:t>4.社会保险基金预算草案。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（1）代编</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社会保险基金预算收入安排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23.93亿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社会保险基金预算支出安排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25.51亿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54.58亿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23.93亿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2.84亿元，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27.81亿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25.51亿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25.51亿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29.07亿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（2）</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社会保险基金预算草案。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社会保险基金预算收入安排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15.13亿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社会保险基金预算支出安排</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15.15亿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收支平衡情况。收入总计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34.44亿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15.13亿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r>
        <w:rPr>
          <w:rFonts w:hint="eastAsia" w:ascii="仿宋_GB2312" w:hAnsi="仿宋_GB2312" w:eastAsia="仿宋_GB2312" w:cs="仿宋_GB2312"/>
          <w:b w:val="0"/>
          <w:bCs w:val="0"/>
          <w:color w:val="000000" w:themeColor="text1"/>
          <w:sz w:val="32"/>
          <w:szCs w:val="32"/>
          <w:highlight w:val="none"/>
          <w:lang w:eastAsia="zh-CN"/>
          <w14:textFill>
            <w14:solidFill>
              <w14:schemeClr w14:val="tx1"/>
            </w14:solidFill>
          </w14:textFill>
        </w:rPr>
        <w:t>上级补助收入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2.84亿元，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上年结余收入</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16.47亿元</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。支出总计</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17.48亿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元，其中：社会保险基金支出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15.15亿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元，补助下级支出</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2.33亿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元。收支相抵，年终结余</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16.96亿</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元。</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以上</w:t>
      </w:r>
      <w:r>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t>是吐鲁番市代编预算情况，</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需</w:t>
      </w:r>
      <w:r>
        <w:rPr>
          <w:rFonts w:hint="eastAsia" w:ascii="仿宋_GB2312" w:hAnsi="仿宋_GB2312" w:eastAsia="仿宋_GB2312" w:cs="仿宋_GB2312"/>
          <w:b w:val="0"/>
          <w:bCs w:val="0"/>
          <w:color w:val="000000" w:themeColor="text1"/>
          <w:sz w:val="32"/>
          <w:szCs w:val="32"/>
          <w14:textFill>
            <w14:solidFill>
              <w14:schemeClr w14:val="tx1"/>
            </w14:solidFill>
          </w14:textFill>
        </w:rPr>
        <w:t>要说明的是，待各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区县</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预算经同级人大批准后，</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再按照工作安排</w:t>
      </w:r>
      <w:r>
        <w:rPr>
          <w:rFonts w:hint="eastAsia" w:ascii="仿宋_GB2312" w:hAnsi="仿宋_GB2312" w:eastAsia="仿宋_GB2312" w:cs="仿宋_GB2312"/>
          <w:b w:val="0"/>
          <w:bCs w:val="0"/>
          <w:color w:val="000000" w:themeColor="text1"/>
          <w:sz w:val="32"/>
          <w:szCs w:val="32"/>
          <w14:textFill>
            <w14:solidFill>
              <w14:schemeClr w14:val="tx1"/>
            </w14:solidFill>
          </w14:textFill>
        </w:rPr>
        <w:t>及时逐级汇总报</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市</w:t>
      </w:r>
      <w:r>
        <w:rPr>
          <w:rFonts w:hint="eastAsia" w:ascii="仿宋_GB2312" w:hAnsi="仿宋_GB2312" w:eastAsia="仿宋_GB2312" w:cs="仿宋_GB2312"/>
          <w:b w:val="0"/>
          <w:bCs w:val="0"/>
          <w:color w:val="000000" w:themeColor="text1"/>
          <w:sz w:val="32"/>
          <w:szCs w:val="32"/>
          <w14:textFill>
            <w14:solidFill>
              <w14:schemeClr w14:val="tx1"/>
            </w14:solidFill>
          </w14:textFill>
        </w:rPr>
        <w:t>人大常委会备案。2025年</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支出和对各</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区县</w:t>
      </w:r>
      <w:r>
        <w:rPr>
          <w:rFonts w:hint="eastAsia" w:ascii="仿宋_GB2312" w:hAnsi="仿宋_GB2312" w:eastAsia="仿宋_GB2312" w:cs="仿宋_GB2312"/>
          <w:b w:val="0"/>
          <w:bCs w:val="0"/>
          <w:color w:val="000000" w:themeColor="text1"/>
          <w:sz w:val="32"/>
          <w:szCs w:val="32"/>
          <w14:textFill>
            <w14:solidFill>
              <w14:schemeClr w14:val="tx1"/>
            </w14:solidFill>
          </w14:textFill>
        </w:rPr>
        <w:t>的转移支付中，中央</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自治区</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财政补助只包含了提前告知部分，执行中随着中央</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自治区</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财政转移支付增加将相应增加</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黑体" w:hAnsi="黑体" w:eastAsia="黑体" w:cs="黑体"/>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kern w:val="0"/>
          <w:sz w:val="32"/>
          <w:szCs w:val="32"/>
          <w14:textFill>
            <w14:solidFill>
              <w14:schemeClr w14:val="tx1"/>
            </w14:solidFill>
          </w14:textFill>
        </w:rPr>
        <w:t>三、做好2025年财政工作主要举措</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14:textFill>
            <w14:solidFill>
              <w14:schemeClr w14:val="tx1"/>
            </w14:solidFill>
          </w14:textFill>
        </w:rPr>
        <w:t>2025年，</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财政将全面贯彻党的二十大和二十届二中、三中全会精神，落实党中央、国务院</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自治区党委、</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自治区人民</w:t>
      </w:r>
      <w:r>
        <w:rPr>
          <w:rFonts w:hint="eastAsia" w:ascii="仿宋_GB2312" w:hAnsi="仿宋_GB2312" w:eastAsia="仿宋_GB2312" w:cs="仿宋_GB2312"/>
          <w:b w:val="0"/>
          <w:bCs w:val="0"/>
          <w:color w:val="000000" w:themeColor="text1"/>
          <w:sz w:val="32"/>
          <w:szCs w:val="32"/>
          <w14:textFill>
            <w14:solidFill>
              <w14:schemeClr w14:val="tx1"/>
            </w14:solidFill>
          </w14:textFill>
        </w:rPr>
        <w:t>政府决策部署</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和市委工作安排</w:t>
      </w:r>
      <w:r>
        <w:rPr>
          <w:rFonts w:hint="eastAsia" w:ascii="仿宋_GB2312" w:hAnsi="仿宋_GB2312" w:eastAsia="仿宋_GB2312" w:cs="仿宋_GB2312"/>
          <w:b w:val="0"/>
          <w:bCs w:val="0"/>
          <w:color w:val="000000" w:themeColor="text1"/>
          <w:sz w:val="32"/>
          <w:szCs w:val="32"/>
          <w14:textFill>
            <w14:solidFill>
              <w14:schemeClr w14:val="tx1"/>
            </w14:solidFill>
          </w14:textFill>
        </w:rPr>
        <w:t>，坚持稳中求进、以进促稳，守正创新、先立后破，系统集成、协同配合，实施好更加积极的财政政策，加强预算管理，深化财税改革，积极组织财政收入，兜牢兜实基层“三保”底线，切实保障和改善民生，着力推动</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吐鲁番市</w:t>
      </w:r>
      <w:r>
        <w:rPr>
          <w:rFonts w:hint="eastAsia" w:ascii="仿宋_GB2312" w:hAnsi="仿宋_GB2312" w:eastAsia="仿宋_GB2312" w:cs="仿宋_GB2312"/>
          <w:b w:val="0"/>
          <w:bCs w:val="0"/>
          <w:color w:val="000000" w:themeColor="text1"/>
          <w:sz w:val="32"/>
          <w:szCs w:val="32"/>
          <w14:textFill>
            <w14:solidFill>
              <w14:schemeClr w14:val="tx1"/>
            </w14:solidFill>
          </w14:textFill>
        </w:rPr>
        <w:t>高质量发展。</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bCs/>
          <w:color w:val="000000" w:themeColor="text1"/>
          <w:sz w:val="32"/>
          <w:szCs w:val="32"/>
          <w14:textFill>
            <w14:solidFill>
              <w14:schemeClr w14:val="tx1"/>
            </w14:solidFill>
          </w14:textFill>
        </w:rPr>
        <w:t>（一）坚持以政领财，全面加强党的建设，提高财政工作政治性大局观。</w:t>
      </w:r>
      <w:r>
        <w:rPr>
          <w:rFonts w:hint="eastAsia" w:ascii="仿宋_GB2312" w:hAnsi="仿宋_GB2312" w:eastAsia="仿宋_GB2312" w:cs="仿宋_GB2312"/>
          <w:b w:val="0"/>
          <w:bCs w:val="0"/>
          <w:color w:val="000000" w:themeColor="text1"/>
          <w:sz w:val="32"/>
          <w:szCs w:val="32"/>
          <w14:textFill>
            <w14:solidFill>
              <w14:schemeClr w14:val="tx1"/>
            </w14:solidFill>
          </w14:textFill>
        </w:rPr>
        <w:t>贯彻落实好</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新时代党的建设总要求</w:t>
      </w:r>
      <w:r>
        <w:rPr>
          <w:rFonts w:hint="eastAsia" w:ascii="仿宋_GB2312" w:hAnsi="仿宋_GB2312" w:eastAsia="仿宋_GB2312" w:cs="仿宋_GB2312"/>
          <w:b w:val="0"/>
          <w:bCs w:val="0"/>
          <w:color w:val="000000" w:themeColor="text1"/>
          <w:sz w:val="32"/>
          <w:szCs w:val="32"/>
          <w14:textFill>
            <w14:solidFill>
              <w14:schemeClr w14:val="tx1"/>
            </w14:solidFill>
          </w14:textFill>
        </w:rPr>
        <w:t>，纵深推进全面从严治党。一是持续加强政治建设，强化理论武装，深刻领悟“两个确立”的决定性意义，坚决做到“两个维护”，始终在政治上、思想上、行动上与党中央保持一致。坚决推动党中央</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自治区党委、自治区人民政府重大决策部署</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和市委各项工作安排</w:t>
      </w:r>
      <w:r>
        <w:rPr>
          <w:rFonts w:hint="eastAsia" w:ascii="仿宋_GB2312" w:hAnsi="仿宋_GB2312" w:eastAsia="仿宋_GB2312" w:cs="仿宋_GB2312"/>
          <w:b w:val="0"/>
          <w:bCs w:val="0"/>
          <w:color w:val="000000" w:themeColor="text1"/>
          <w:sz w:val="32"/>
          <w:szCs w:val="32"/>
          <w14:textFill>
            <w14:solidFill>
              <w14:schemeClr w14:val="tx1"/>
            </w14:solidFill>
          </w14:textFill>
        </w:rPr>
        <w:t>落地落实。二是预算安排重点向关系国计民生的领域倾斜，围绕</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1535</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”工作思路和建设全疆经济高质量发展示范区、文化润疆先行区、铸牢中华民族共同体意识示范区</w:t>
      </w:r>
      <w:r>
        <w:rPr>
          <w:rFonts w:hint="eastAsia" w:ascii="仿宋_GB2312" w:hAnsi="仿宋_GB2312" w:eastAsia="仿宋_GB2312" w:cs="仿宋_GB2312"/>
          <w:b w:val="0"/>
          <w:bCs w:val="0"/>
          <w:color w:val="000000" w:themeColor="text1"/>
          <w:sz w:val="32"/>
          <w:szCs w:val="32"/>
          <w14:textFill>
            <w14:solidFill>
              <w14:schemeClr w14:val="tx1"/>
            </w14:solidFill>
          </w14:textFill>
        </w:rPr>
        <w:t>，以培育壮大特色优势产业为重要抓手，</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提供坚实的财力保障</w:t>
      </w:r>
      <w:r>
        <w:rPr>
          <w:rFonts w:hint="eastAsia" w:ascii="仿宋_GB2312" w:hAnsi="仿宋_GB2312" w:eastAsia="仿宋_GB2312" w:cs="仿宋_GB2312"/>
          <w:b w:val="0"/>
          <w:bCs w:val="0"/>
          <w:color w:val="000000" w:themeColor="text1"/>
          <w:sz w:val="32"/>
          <w:szCs w:val="32"/>
          <w14:textFill>
            <w14:solidFill>
              <w14:schemeClr w14:val="tx1"/>
            </w14:solidFill>
          </w14:textFill>
        </w:rPr>
        <w:t>。三是持续增进人民福祉，牢固树立以人民为中心的发展思想，坚持尽力而为、量力而行，保持民生投入占一般公共预算支出70%以上，多办一些惠民生、暖民心、顺民意的财政实事，增强人民群众获得感、幸福感、安全感。</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3" w:firstLineChars="20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bCs/>
          <w:color w:val="000000" w:themeColor="text1"/>
          <w:sz w:val="32"/>
          <w:szCs w:val="32"/>
          <w14:textFill>
            <w14:solidFill>
              <w14:schemeClr w14:val="tx1"/>
            </w14:solidFill>
          </w14:textFill>
        </w:rPr>
        <w:t>（二）坚持挖潜增收，积极涵养税源财源，促进财政收入量增质升。</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不断优化营商环境，将财源建设和支持市场主体发展工作摆在更加突出的位置。一是依法组织收入，加强与税务、审计等部门的信息共享，完善收入预算执行监控体系，严肃查处扰乱收入秩序的违法违规行为，严禁违规揽税收费，坚决杜绝通过违规处置资源资产、“虚收空转”等方式虚增财政收入。二是积极挖掘增收潜力，加大矿产资源绿色开发、高效利用，加大矿产资源、土地资源招拍挂和闲置资产处置力度，确保应收尽收。三是努力增加国有资本经营预算收入。支持深化国资国企改革，推动国有资本向关系国家安全、国民经济命脉和经济高质量发展的领域集中，促进收入可持续增长。</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楷体_GB2312" w:hAnsi="楷体_GB2312" w:eastAsia="楷体_GB2312" w:cs="楷体_GB2312"/>
          <w:b/>
          <w:bCs/>
          <w:color w:val="000000" w:themeColor="text1"/>
          <w:sz w:val="32"/>
          <w:szCs w:val="32"/>
          <w14:textFill>
            <w14:solidFill>
              <w14:schemeClr w14:val="tx1"/>
            </w14:solidFill>
          </w14:textFill>
        </w:rPr>
        <w:t>（三）坚持新发展理念，聚焦高质量发展，增强对重大战略的财力保障。</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突出重点、精打细算，大力优化财政支出结构，保障</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重大决策部署落地落实。一是支持扩大有效需求。多渠道增加居民可支配收入，统筹用好超长期特别国债、新增地方政府债券等各类政策工具，支持“两重”建设，释放“两新”效能。</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二</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是支持“</w:t>
      </w:r>
      <w:r>
        <w:rPr>
          <w:rFonts w:hint="eastAsia" w:ascii="仿宋_GB2312" w:hAnsi="仿宋_GB2312" w:eastAsia="仿宋_GB2312" w:cs="仿宋_GB2312"/>
          <w:b w:val="0"/>
          <w:bCs w:val="0"/>
          <w:color w:val="000000" w:themeColor="text1"/>
          <w:spacing w:val="-6"/>
          <w:sz w:val="32"/>
          <w:szCs w:val="32"/>
          <w:lang w:val="en-US" w:eastAsia="zh-CN"/>
          <w14:textFill>
            <w14:solidFill>
              <w14:schemeClr w14:val="tx1"/>
            </w14:solidFill>
          </w14:textFill>
        </w:rPr>
        <w:t>八</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大产业集群</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20条产业链</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”建设。聚焦“五大战略”</w:t>
      </w:r>
      <w:r>
        <w:rPr>
          <w:rFonts w:hint="eastAsia" w:ascii="仿宋_GB2312" w:hAnsi="仿宋_GB2312" w:eastAsia="仿宋_GB2312" w:cs="仿宋_GB2312"/>
          <w:b w:val="0"/>
          <w:bCs w:val="0"/>
          <w:color w:val="000000" w:themeColor="text1"/>
          <w:spacing w:val="-6"/>
          <w:sz w:val="32"/>
          <w:szCs w:val="32"/>
          <w:lang w:val="en-US" w:eastAsia="zh-CN"/>
          <w14:textFill>
            <w14:solidFill>
              <w14:schemeClr w14:val="tx1"/>
            </w14:solidFill>
          </w14:textFill>
        </w:rPr>
        <w:t>提质升级</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积极落实财政金融政策，</w:t>
      </w:r>
      <w:r>
        <w:rPr>
          <w:rFonts w:hint="eastAsia" w:ascii="仿宋_GB2312" w:hAnsi="仿宋_GB2312" w:eastAsia="仿宋_GB2312" w:cs="仿宋_GB2312"/>
          <w:b w:val="0"/>
          <w:bCs w:val="0"/>
          <w:color w:val="000000" w:themeColor="text1"/>
          <w:spacing w:val="-6"/>
          <w:sz w:val="32"/>
          <w:szCs w:val="32"/>
          <w:lang w:val="en-US" w:eastAsia="zh-CN"/>
          <w14:textFill>
            <w14:solidFill>
              <w14:schemeClr w14:val="tx1"/>
            </w14:solidFill>
          </w14:textFill>
        </w:rPr>
        <w:t>提升</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财政统筹保障能力，全力支持农业、工业、文旅、生态和各项改革事业发展，为推进中国式现代化吐鲁番市新实践做出积极的财政贡献。</w:t>
      </w:r>
      <w:r>
        <w:rPr>
          <w:rFonts w:hint="eastAsia" w:ascii="仿宋_GB2312" w:hAnsi="仿宋_GB2312" w:eastAsia="仿宋_GB2312" w:cs="仿宋_GB2312"/>
          <w:b w:val="0"/>
          <w:bCs w:val="0"/>
          <w:color w:val="000000" w:themeColor="text1"/>
          <w:spacing w:val="-6"/>
          <w:sz w:val="32"/>
          <w:szCs w:val="32"/>
          <w:lang w:val="en-US" w:eastAsia="zh-CN"/>
          <w14:textFill>
            <w14:solidFill>
              <w14:schemeClr w14:val="tx1"/>
            </w14:solidFill>
          </w14:textFill>
        </w:rPr>
        <w:t>三是加快项目资金支出进度。</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压实各区县、部门单位项目资金支出主体责任。发挥信息化监控平台优势，完善一体化系统“查询分析”模块，对区县、部门单位上级转移支付、专项资金执行、预算执行等实行“穿透式”资金监控，督促项目加快实施，项目资金按工程进度及时拨付。</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（四）坚持人民至上，坚决兜牢“三保”底线，促进基层财政平稳运行。</w:t>
      </w:r>
      <w:r>
        <w:rPr>
          <w:rFonts w:hint="eastAsia" w:ascii="仿宋_GB2312" w:hAnsi="仿宋_GB2312" w:eastAsia="仿宋_GB2312" w:cs="仿宋_GB2312"/>
          <w:b w:val="0"/>
          <w:bCs w:val="0"/>
          <w:color w:val="000000" w:themeColor="text1"/>
          <w:sz w:val="32"/>
          <w:szCs w:val="32"/>
          <w14:textFill>
            <w14:solidFill>
              <w14:schemeClr w14:val="tx1"/>
            </w14:solidFill>
          </w14:textFill>
        </w:rPr>
        <w:t>全面落实党中央、国务院关于加强基层“三保”工作部署，不断加强“三保”财力保障，做好运行监测，</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切实兜牢兜实基层“三保”底线。一是压实“三保”责任。</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严格落实</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分级保障责任体系，压实县级“三保”主体责任，</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认真履行</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市级</w:t>
      </w:r>
      <w:r>
        <w:rPr>
          <w:rFonts w:hint="eastAsia" w:ascii="仿宋_GB2312" w:hAnsi="仿宋_GB2312" w:eastAsia="仿宋_GB2312" w:cs="仿宋_GB2312"/>
          <w:b w:val="0"/>
          <w:bCs w:val="0"/>
          <w:color w:val="000000" w:themeColor="text1"/>
          <w:spacing w:val="-6"/>
          <w:sz w:val="32"/>
          <w:szCs w:val="32"/>
          <w:lang w:val="en-US" w:eastAsia="zh-CN"/>
          <w14:textFill>
            <w14:solidFill>
              <w14:schemeClr w14:val="tx1"/>
            </w14:solidFill>
          </w14:textFill>
        </w:rPr>
        <w:t>帮扶</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兜底责任，强化激励约束，</w:t>
      </w:r>
      <w:r>
        <w:rPr>
          <w:rFonts w:hint="eastAsia" w:ascii="仿宋_GB2312" w:hAnsi="仿宋_GB2312" w:eastAsia="仿宋_GB2312" w:cs="仿宋_GB2312"/>
          <w:b w:val="0"/>
          <w:bCs w:val="0"/>
          <w:color w:val="000000" w:themeColor="text1"/>
          <w:spacing w:val="-6"/>
          <w:sz w:val="32"/>
          <w:szCs w:val="32"/>
          <w:lang w:eastAsia="zh-CN"/>
          <w14:textFill>
            <w14:solidFill>
              <w14:schemeClr w14:val="tx1"/>
            </w14:solidFill>
          </w14:textFill>
        </w:rPr>
        <w:t>兜牢兜实三保底线。</w:t>
      </w:r>
      <w:r>
        <w:rPr>
          <w:rFonts w:hint="eastAsia" w:ascii="仿宋_GB2312" w:hAnsi="仿宋_GB2312" w:eastAsia="仿宋_GB2312" w:cs="仿宋_GB2312"/>
          <w:b w:val="0"/>
          <w:bCs w:val="0"/>
          <w:color w:val="000000" w:themeColor="text1"/>
          <w:sz w:val="32"/>
          <w:szCs w:val="32"/>
          <w14:textFill>
            <w14:solidFill>
              <w14:schemeClr w14:val="tx1"/>
            </w14:solidFill>
          </w14:textFill>
        </w:rPr>
        <w:t>二是优先保障“三保”支出需要。坚持“三保”支出在预算编列中的优先顺序，严格对照“三保”范围和标准，保障“三保”支出。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三</w:t>
      </w:r>
      <w:r>
        <w:rPr>
          <w:rFonts w:hint="eastAsia" w:ascii="仿宋_GB2312" w:hAnsi="仿宋_GB2312" w:eastAsia="仿宋_GB2312" w:cs="仿宋_GB2312"/>
          <w:b w:val="0"/>
          <w:bCs w:val="0"/>
          <w:color w:val="000000" w:themeColor="text1"/>
          <w:sz w:val="32"/>
          <w:szCs w:val="32"/>
          <w14:textFill>
            <w14:solidFill>
              <w14:schemeClr w14:val="tx1"/>
            </w14:solidFill>
          </w14:textFill>
        </w:rPr>
        <w:t>是防范化解“三保”风险。健全财政运行监测机制，加强对基层“三保”预算执行动态监控，及时发现妥善处置风险隐患。</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（五）坚持过紧日子，强化预算管理，促进预算执行平稳有序。</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坚决贯彻落实过紧日子要求，严把支出关口，严控非重点、非刚性、非急需支出。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一</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是从严从紧安排支出预算</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严格核定“三公”经费，持续精简规范节庆展会论坛活动，严禁建设政绩工程、形象工程。</w:t>
      </w:r>
      <w:r>
        <w:rPr>
          <w:rFonts w:hint="eastAsia" w:ascii="仿宋_GB2312" w:hAnsi="仿宋_GB2312" w:eastAsia="仿宋_GB2312" w:cs="仿宋_GB2312"/>
          <w:b w:val="0"/>
          <w:bCs w:val="0"/>
          <w:color w:val="000000" w:themeColor="text1"/>
          <w:sz w:val="32"/>
          <w:szCs w:val="32"/>
          <w14:textFill>
            <w14:solidFill>
              <w14:schemeClr w14:val="tx1"/>
            </w14:solidFill>
          </w14:textFill>
        </w:rPr>
        <w:t>不断完善预算管理，提高管理效能。二是严格落实过紧日子</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要求</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细化对各类支出事项的审核，</w:t>
      </w:r>
      <w:r>
        <w:rPr>
          <w:rFonts w:hint="eastAsia" w:ascii="仿宋_GB2312" w:hAnsi="仿宋_GB2312" w:eastAsia="仿宋_GB2312" w:cs="仿宋_GB2312"/>
          <w:b w:val="0"/>
          <w:bCs w:val="0"/>
          <w:color w:val="000000" w:themeColor="text1"/>
          <w:sz w:val="32"/>
          <w:szCs w:val="32"/>
          <w14:textFill>
            <w14:solidFill>
              <w14:schemeClr w14:val="tx1"/>
            </w14:solidFill>
          </w14:textFill>
        </w:rPr>
        <w:t>将评估结果与预算安排挂钩。</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三是严格新增资产配置管理，强化与存量资产的统筹，推进行政事业性国有资产共享共用，防止资产闲置浪费。四是</w:t>
      </w:r>
      <w:r>
        <w:rPr>
          <w:rFonts w:hint="eastAsia" w:ascii="仿宋_GB2312" w:hAnsi="仿宋_GB2312" w:eastAsia="仿宋_GB2312" w:cs="仿宋_GB2312"/>
          <w:b w:val="0"/>
          <w:bCs w:val="0"/>
          <w:color w:val="000000" w:themeColor="text1"/>
          <w:sz w:val="32"/>
          <w:szCs w:val="32"/>
          <w14:textFill>
            <w14:solidFill>
              <w14:schemeClr w14:val="tx1"/>
            </w14:solidFill>
          </w14:textFill>
        </w:rPr>
        <w:t>硬化预算约束，加强预算执行管理，加快资金使用进度，发挥资金使用效益。</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（六）坚持花钱问效，强化绩效管理，切实提高财政资金使用效益。</w:t>
      </w:r>
      <w:r>
        <w:rPr>
          <w:rFonts w:hint="eastAsia" w:ascii="仿宋_GB2312" w:hAnsi="仿宋_GB2312" w:eastAsia="仿宋_GB2312" w:cs="仿宋_GB2312"/>
          <w:b w:val="0"/>
          <w:bCs w:val="0"/>
          <w:color w:val="000000" w:themeColor="text1"/>
          <w:sz w:val="32"/>
          <w:szCs w:val="32"/>
          <w14:textFill>
            <w14:solidFill>
              <w14:schemeClr w14:val="tx1"/>
            </w14:solidFill>
          </w14:textFill>
        </w:rPr>
        <w:t>树牢绩效理念，完善管理链条，稳步推进财政科学管理。一是健全预算绩效管理工作机制，加强事前绩效评估，严格绩效目标设定和审核，发挥绩效监控纠偏作用，强化结果应用，确保财政资金投入更加精准、可持续。二是完善“全方位、全过程、全覆盖”预算绩效管理闭环体系，做实“全过程”成本预算绩效管理，做优重点项目绩效评价，健全国有资本经营预算绩效评价制度。三是加大对</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区县</w:t>
      </w:r>
      <w:r>
        <w:rPr>
          <w:rFonts w:hint="eastAsia" w:ascii="仿宋_GB2312" w:hAnsi="仿宋_GB2312" w:eastAsia="仿宋_GB2312" w:cs="仿宋_GB2312"/>
          <w:b w:val="0"/>
          <w:bCs w:val="0"/>
          <w:color w:val="000000" w:themeColor="text1"/>
          <w:sz w:val="32"/>
          <w:szCs w:val="32"/>
          <w14:textFill>
            <w14:solidFill>
              <w14:schemeClr w14:val="tx1"/>
            </w14:solidFill>
          </w14:textFill>
        </w:rPr>
        <w:t>和部门预算绩效管理指导力度，提升绩效目标、绩效监控、绩效评价各环节工作质量，推动</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全市</w:t>
      </w:r>
      <w:r>
        <w:rPr>
          <w:rFonts w:hint="eastAsia" w:ascii="仿宋_GB2312" w:hAnsi="仿宋_GB2312" w:eastAsia="仿宋_GB2312" w:cs="仿宋_GB2312"/>
          <w:b w:val="0"/>
          <w:bCs w:val="0"/>
          <w:color w:val="000000" w:themeColor="text1"/>
          <w:sz w:val="32"/>
          <w:szCs w:val="32"/>
          <w14:textFill>
            <w14:solidFill>
              <w14:schemeClr w14:val="tx1"/>
            </w14:solidFill>
          </w14:textFill>
        </w:rPr>
        <w:t>预算绩效管理工作提质增效。</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（七）坚持底线思维，优化债务管理，切实防范化解政府债务风险。</w:t>
      </w:r>
      <w:r>
        <w:rPr>
          <w:rFonts w:hint="eastAsia" w:ascii="仿宋_GB2312" w:hAnsi="仿宋_GB2312" w:eastAsia="仿宋_GB2312" w:cs="仿宋_GB2312"/>
          <w:b w:val="0"/>
          <w:bCs w:val="0"/>
          <w:color w:val="000000" w:themeColor="text1"/>
          <w:sz w:val="32"/>
          <w:szCs w:val="32"/>
          <w14:textFill>
            <w14:solidFill>
              <w14:schemeClr w14:val="tx1"/>
            </w14:solidFill>
          </w14:textFill>
        </w:rPr>
        <w:t>始终把防风险摆在突出位置，实现从隐性债、法定债“双轨”管理向全面债务规范管理转变，从侧重于防风险向防风险与促发展并重转变，推动政府债务管理依法依规、责任清晰、公开透明、监管有力。一是加强全口径地方债务动态监测监管，提前排查、识别债务风险，对苗头性风险早发现、早预警、早处置。</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二</w:t>
      </w:r>
      <w:r>
        <w:rPr>
          <w:rFonts w:hint="eastAsia" w:ascii="仿宋_GB2312" w:hAnsi="仿宋_GB2312" w:eastAsia="仿宋_GB2312" w:cs="仿宋_GB2312"/>
          <w:b w:val="0"/>
          <w:bCs w:val="0"/>
          <w:color w:val="000000" w:themeColor="text1"/>
          <w:sz w:val="32"/>
          <w:szCs w:val="32"/>
          <w14:textFill>
            <w14:solidFill>
              <w14:schemeClr w14:val="tx1"/>
            </w14:solidFill>
          </w14:textFill>
        </w:rPr>
        <w:t>是优化政府债券使用管理，加大新增政府债券项目储备评审力度，加强债券资金使用监管核查，研究建立政府债券收益归集、资产管理等制度，加强投后管理，确保政府债券规范透明管理、安全高效使用。</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（八）坚持系统思维，促进改革创新，健全现代财政制度。</w:t>
      </w:r>
      <w:r>
        <w:rPr>
          <w:rFonts w:hint="eastAsia" w:ascii="仿宋_GB2312" w:hAnsi="仿宋_GB2312" w:eastAsia="仿宋_GB2312" w:cs="仿宋_GB2312"/>
          <w:b w:val="0"/>
          <w:bCs w:val="0"/>
          <w:color w:val="000000" w:themeColor="text1"/>
          <w:sz w:val="32"/>
          <w:szCs w:val="32"/>
          <w14:textFill>
            <w14:solidFill>
              <w14:schemeClr w14:val="tx1"/>
            </w14:solidFill>
          </w14:textFill>
        </w:rPr>
        <w:t>深刻领会党中央关于深化财税体制改革部署要求，落实改革重点任务，不断健全预算管理制度体系。一是稳步推进自治区以下财政体制改革，适度增强</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市本级</w:t>
      </w:r>
      <w:r>
        <w:rPr>
          <w:rFonts w:hint="eastAsia" w:ascii="仿宋_GB2312" w:hAnsi="仿宋_GB2312" w:eastAsia="仿宋_GB2312" w:cs="仿宋_GB2312"/>
          <w:b w:val="0"/>
          <w:bCs w:val="0"/>
          <w:color w:val="000000" w:themeColor="text1"/>
          <w:sz w:val="32"/>
          <w:szCs w:val="32"/>
          <w14:textFill>
            <w14:solidFill>
              <w14:schemeClr w14:val="tx1"/>
            </w14:solidFill>
          </w14:textFill>
        </w:rPr>
        <w:t>统筹调控能力，进一步厘清</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市区县</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财政事权和支出责任，完善转移支付体系，规范</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市县两级</w:t>
      </w:r>
      <w:r>
        <w:rPr>
          <w:rFonts w:hint="eastAsia" w:ascii="仿宋_GB2312" w:hAnsi="仿宋_GB2312" w:eastAsia="仿宋_GB2312" w:cs="仿宋_GB2312"/>
          <w:b w:val="0"/>
          <w:bCs w:val="0"/>
          <w:color w:val="000000" w:themeColor="text1"/>
          <w:sz w:val="32"/>
          <w:szCs w:val="32"/>
          <w14:textFill>
            <w14:solidFill>
              <w14:schemeClr w14:val="tx1"/>
            </w14:solidFill>
          </w14:textFill>
        </w:rPr>
        <w:t>财政管理，做好新旧体制衔接。二是推进税收制度改革，积极运用地方税收管理权限，全面施行水资源税改革试点，配合研究完善增值税、消费税、地方附加税等制度。三是深化</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零基预算</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改革，打破支出固化格局，健全支出标准体系，持续清理低效无效支出，</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建立</w:t>
      </w:r>
      <w:r>
        <w:rPr>
          <w:rFonts w:hint="eastAsia" w:ascii="仿宋_GB2312" w:hAnsi="仿宋_GB2312" w:eastAsia="仿宋_GB2312" w:cs="仿宋_GB2312"/>
          <w:b w:val="0"/>
          <w:bCs w:val="0"/>
          <w:color w:val="000000" w:themeColor="text1"/>
          <w:sz w:val="32"/>
          <w:szCs w:val="32"/>
          <w14:textFill>
            <w14:solidFill>
              <w14:schemeClr w14:val="tx1"/>
            </w14:solidFill>
          </w14:textFill>
        </w:rPr>
        <w:t>专项资金退出机制。</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（九）坚持法治思维，强化财会监督，进一步规范财经秩序。</w:t>
      </w:r>
      <w:r>
        <w:rPr>
          <w:rFonts w:hint="eastAsia" w:ascii="仿宋_GB2312" w:hAnsi="仿宋_GB2312" w:eastAsia="仿宋_GB2312" w:cs="仿宋_GB2312"/>
          <w:b w:val="0"/>
          <w:bCs w:val="0"/>
          <w:color w:val="000000" w:themeColor="text1"/>
          <w:spacing w:val="-6"/>
          <w:sz w:val="32"/>
          <w:szCs w:val="32"/>
          <w14:textFill>
            <w14:solidFill>
              <w14:schemeClr w14:val="tx1"/>
            </w14:solidFill>
          </w14:textFill>
        </w:rPr>
        <w:t>持续深化法治建设，严肃财经纪律，进一步提高财政管理科学化、规范化水平。</w:t>
      </w:r>
      <w:r>
        <w:rPr>
          <w:rFonts w:hint="eastAsia" w:ascii="仿宋_GB2312" w:hAnsi="仿宋_GB2312" w:eastAsia="仿宋_GB2312" w:cs="仿宋_GB2312"/>
          <w:b w:val="0"/>
          <w:bCs w:val="0"/>
          <w:color w:val="000000" w:themeColor="text1"/>
          <w:sz w:val="32"/>
          <w:szCs w:val="32"/>
          <w14:textFill>
            <w14:solidFill>
              <w14:schemeClr w14:val="tx1"/>
            </w14:solidFill>
          </w14:textFill>
        </w:rPr>
        <w:t>一是坚持预算法定，严格执行批准的预算，依法报告年度预算执行、预算调整、政府债务及国有资产管理等情况，持续完善报送人大审查的政府预算内容。二是坚持量入为出，对使用非税收入、政府性基金收入、调入资金等收入安排的支出，有序把握支出进度，确保收支平衡。三是规范预算调剂行为，坚决控制财政暂付性款项，出台涉及增加财政支出的重大政策、实施重大政府投资项目等，推进财政承受能力评估，防止过高承诺、过度保障。四是进一步加大财会监督力度，持续开展财会监督专项行动，严肃查处违反财经纪律突出问题，严厉打击财务造假行为，切实提升监督效能。五是加强财会监督与人大、纪检监察等其他各类监督贯通协调，主动接受人大、巡视、审计等监督检查，扎实推进查出问题整改。</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各位代表，</w:t>
      </w:r>
      <w:r>
        <w:rPr>
          <w:rFonts w:hint="eastAsia" w:ascii="仿宋_GB2312" w:hAnsi="仿宋_GB2312" w:eastAsia="仿宋_GB2312" w:cs="仿宋_GB2312"/>
          <w:b w:val="0"/>
          <w:bCs w:val="0"/>
          <w:color w:val="000000" w:themeColor="text1"/>
          <w:sz w:val="32"/>
          <w:szCs w:val="32"/>
          <w14:textFill>
            <w14:solidFill>
              <w14:schemeClr w14:val="tx1"/>
            </w14:solidFill>
          </w14:textFill>
        </w:rPr>
        <w:t>新的一年，我们将更加紧密地团结在以习近平同志为核心的党中央周围，深刻领悟“两个确立”的决定性意义，增强“四个意识”、坚定“四个自信”、做到“两个维护”，在</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市委</w:t>
      </w:r>
      <w:r>
        <w:rPr>
          <w:rFonts w:hint="eastAsia" w:ascii="仿宋_GB2312" w:hAnsi="仿宋_GB2312" w:eastAsia="仿宋_GB2312" w:cs="仿宋_GB2312"/>
          <w:b w:val="0"/>
          <w:bCs w:val="0"/>
          <w:color w:val="000000" w:themeColor="text1"/>
          <w:sz w:val="32"/>
          <w:szCs w:val="32"/>
          <w14:textFill>
            <w14:solidFill>
              <w14:schemeClr w14:val="tx1"/>
            </w14:solidFill>
          </w14:textFill>
        </w:rPr>
        <w:t>的坚强领导下，自觉接受人大监督，虚心听取政协的意见建议，坚定信心、开拓进取、实干担当，扎实做好财政工作，</w:t>
      </w:r>
      <w:r>
        <w:rPr>
          <w:rFonts w:hint="eastAsia" w:ascii="仿宋_GB2312" w:hAnsi="仿宋_GB2312" w:eastAsia="仿宋_GB2312" w:cs="仿宋_GB2312"/>
          <w:b w:val="0"/>
          <w:bCs w:val="0"/>
          <w:snapToGrid w:val="0"/>
          <w:color w:val="000000" w:themeColor="text1"/>
          <w:kern w:val="0"/>
          <w:sz w:val="32"/>
          <w:szCs w:val="32"/>
          <w14:textFill>
            <w14:solidFill>
              <w14:schemeClr w14:val="tx1"/>
            </w14:solidFill>
          </w14:textFill>
        </w:rPr>
        <w:t>为</w:t>
      </w:r>
      <w:r>
        <w:rPr>
          <w:rFonts w:hint="eastAsia" w:ascii="仿宋_GB2312" w:hAnsi="仿宋_GB2312" w:eastAsia="仿宋_GB2312" w:cs="仿宋_GB2312"/>
          <w:b w:val="0"/>
          <w:bCs w:val="0"/>
          <w:snapToGrid w:val="0"/>
          <w:color w:val="000000" w:themeColor="text1"/>
          <w:kern w:val="0"/>
          <w:sz w:val="32"/>
          <w:szCs w:val="32"/>
          <w:lang w:eastAsia="zh-CN"/>
          <w14:textFill>
            <w14:solidFill>
              <w14:schemeClr w14:val="tx1"/>
            </w14:solidFill>
          </w14:textFill>
        </w:rPr>
        <w:t>建设繁荣富裕和美幸</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福的现代化吐鲁番</w:t>
      </w:r>
      <w:r>
        <w:rPr>
          <w:rFonts w:hint="eastAsia" w:ascii="仿宋_GB2312" w:hAnsi="仿宋_GB2312" w:eastAsia="仿宋_GB2312" w:cs="仿宋_GB2312"/>
          <w:b w:val="0"/>
          <w:bCs w:val="0"/>
          <w:color w:val="000000" w:themeColor="text1"/>
          <w:sz w:val="32"/>
          <w:szCs w:val="32"/>
          <w14:textFill>
            <w14:solidFill>
              <w14:schemeClr w14:val="tx1"/>
            </w14:solidFill>
          </w14:textFill>
        </w:rPr>
        <w:t>作出更大贡献。</w:t>
      </w:r>
    </w:p>
    <w:p>
      <w:pPr>
        <w:keepNext w:val="0"/>
        <w:keepLines w:val="0"/>
        <w:pageBreakBefore w:val="0"/>
        <w:widowControl w:val="0"/>
        <w:numPr>
          <w:ilvl w:val="0"/>
          <w:numId w:val="0"/>
        </w:numPr>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napToGrid w:val="0"/>
        <w:spacing w:line="580" w:lineRule="exact"/>
        <w:ind w:firstLine="640" w:firstLineChars="0"/>
        <w:jc w:val="left"/>
        <w:textAlignment w:val="top"/>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以上报告，请予以审议。</w:t>
      </w:r>
    </w:p>
    <w:p>
      <w:pPr>
        <w:pStyle w:val="2"/>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p>
    <w:p>
      <w:pPr>
        <w:pStyle w:val="2"/>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pStyle w:val="2"/>
        <w:rPr>
          <w:rFonts w:hint="eastAsia"/>
          <w:lang w:val="en-US" w:eastAsia="zh-CN"/>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spacing w:line="580" w:lineRule="exact"/>
        <w:jc w:val="both"/>
        <w:rPr>
          <w:rFonts w:hint="eastAsia" w:ascii="Times New Roman" w:hAnsi="Times New Roman" w:eastAsia="宋体" w:cs="宋体"/>
          <w:b/>
          <w:i w:val="0"/>
          <w:color w:val="000000" w:themeColor="text1"/>
          <w:kern w:val="0"/>
          <w:sz w:val="32"/>
          <w:szCs w:val="32"/>
          <w:u w:val="none"/>
          <w:lang w:val="en-US" w:eastAsia="zh-CN" w:bidi="ar"/>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jc w:val="center"/>
        <w:textAlignment w:val="auto"/>
        <w:rPr>
          <w:rFonts w:ascii="Times New Roman" w:hAnsi="Times New Roman" w:eastAsia="方正小标宋简体" w:cs="方正小标宋简体"/>
          <w:color w:val="000000" w:themeColor="text1"/>
          <w:sz w:val="44"/>
          <w:szCs w:val="44"/>
          <w:shd w:val="clear" w:color="auto" w:fill="FFFFFF"/>
          <w14:textFill>
            <w14:solidFill>
              <w14:schemeClr w14:val="tx1"/>
            </w14:solidFill>
          </w14:textFill>
        </w:rPr>
      </w:pPr>
      <w:r>
        <w:rPr>
          <w:rFonts w:hint="eastAsia" w:ascii="Times New Roman" w:hAnsi="Times New Roman" w:eastAsia="方正小标宋简体" w:cs="方正小标宋简体"/>
          <w:color w:val="000000" w:themeColor="text1"/>
          <w:sz w:val="44"/>
          <w:szCs w:val="44"/>
          <w:shd w:val="clear" w:color="auto" w:fill="FFFFFF"/>
          <w14:textFill>
            <w14:solidFill>
              <w14:schemeClr w14:val="tx1"/>
            </w14:solidFill>
          </w14:textFill>
        </w:rPr>
        <w:t>名</w:t>
      </w:r>
      <w:r>
        <w:rPr>
          <w:rFonts w:hint="eastAsia" w:ascii="Times New Roman" w:hAnsi="Times New Roman" w:eastAsia="方正小标宋简体" w:cs="方正小标宋简体"/>
          <w:color w:val="000000" w:themeColor="text1"/>
          <w:sz w:val="44"/>
          <w:szCs w:val="44"/>
          <w:shd w:val="clear" w:color="auto" w:fill="FFFFFF"/>
          <w:lang w:val="en-US" w:eastAsia="zh-CN"/>
          <w14:textFill>
            <w14:solidFill>
              <w14:schemeClr w14:val="tx1"/>
            </w14:solidFill>
          </w14:textFill>
        </w:rPr>
        <w:t xml:space="preserve"> </w:t>
      </w:r>
      <w:r>
        <w:rPr>
          <w:rFonts w:hint="eastAsia" w:ascii="Times New Roman" w:hAnsi="Times New Roman" w:eastAsia="方正小标宋简体" w:cs="方正小标宋简体"/>
          <w:color w:val="000000" w:themeColor="text1"/>
          <w:sz w:val="44"/>
          <w:szCs w:val="44"/>
          <w:shd w:val="clear" w:color="auto" w:fill="FFFFFF"/>
          <w14:textFill>
            <w14:solidFill>
              <w14:schemeClr w14:val="tx1"/>
            </w14:solidFill>
          </w14:textFill>
        </w:rPr>
        <w:t>词</w:t>
      </w:r>
      <w:r>
        <w:rPr>
          <w:rFonts w:hint="eastAsia" w:ascii="Times New Roman" w:hAnsi="Times New Roman" w:eastAsia="方正小标宋简体" w:cs="方正小标宋简体"/>
          <w:color w:val="000000" w:themeColor="text1"/>
          <w:sz w:val="44"/>
          <w:szCs w:val="44"/>
          <w:shd w:val="clear" w:color="auto" w:fill="FFFFFF"/>
          <w:lang w:val="en-US" w:eastAsia="zh-CN"/>
          <w14:textFill>
            <w14:solidFill>
              <w14:schemeClr w14:val="tx1"/>
            </w14:solidFill>
          </w14:textFill>
        </w:rPr>
        <w:t xml:space="preserve"> </w:t>
      </w:r>
      <w:r>
        <w:rPr>
          <w:rFonts w:hint="eastAsia" w:ascii="Times New Roman" w:hAnsi="Times New Roman" w:eastAsia="方正小标宋简体" w:cs="方正小标宋简体"/>
          <w:color w:val="000000" w:themeColor="text1"/>
          <w:sz w:val="44"/>
          <w:szCs w:val="44"/>
          <w:shd w:val="clear" w:color="auto" w:fill="FFFFFF"/>
          <w14:textFill>
            <w14:solidFill>
              <w14:schemeClr w14:val="tx1"/>
            </w14:solidFill>
          </w14:textFill>
        </w:rPr>
        <w:t>解</w:t>
      </w:r>
      <w:r>
        <w:rPr>
          <w:rFonts w:hint="eastAsia" w:ascii="Times New Roman" w:hAnsi="Times New Roman" w:eastAsia="方正小标宋简体" w:cs="方正小标宋简体"/>
          <w:color w:val="000000" w:themeColor="text1"/>
          <w:sz w:val="44"/>
          <w:szCs w:val="44"/>
          <w:shd w:val="clear" w:color="auto" w:fill="FFFFFF"/>
          <w:lang w:val="en-US" w:eastAsia="zh-CN"/>
          <w14:textFill>
            <w14:solidFill>
              <w14:schemeClr w14:val="tx1"/>
            </w14:solidFill>
          </w14:textFill>
        </w:rPr>
        <w:t xml:space="preserve"> </w:t>
      </w:r>
      <w:r>
        <w:rPr>
          <w:rFonts w:hint="eastAsia" w:ascii="Times New Roman" w:hAnsi="Times New Roman" w:eastAsia="方正小标宋简体" w:cs="方正小标宋简体"/>
          <w:color w:val="000000" w:themeColor="text1"/>
          <w:sz w:val="44"/>
          <w:szCs w:val="44"/>
          <w:shd w:val="clear" w:color="auto" w:fill="FFFFFF"/>
          <w14:textFill>
            <w14:solidFill>
              <w14:schemeClr w14:val="tx1"/>
            </w14:solidFill>
          </w14:textFill>
        </w:rPr>
        <w:t>释</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一般公共预算收入：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指按照现行财政体制规定列入地方预算，直接缴入地</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方国</w:t>
      </w:r>
      <w:r>
        <w:rPr>
          <w:rFonts w:hint="eastAsia" w:ascii="仿宋_GB2312" w:hAnsi="仿宋_GB2312" w:eastAsia="仿宋_GB2312" w:cs="仿宋_GB2312"/>
          <w:b w:val="0"/>
          <w:bCs w:val="0"/>
          <w:color w:val="000000" w:themeColor="text1"/>
          <w:sz w:val="32"/>
          <w:szCs w:val="32"/>
          <w14:textFill>
            <w14:solidFill>
              <w14:schemeClr w14:val="tx1"/>
            </w14:solidFill>
          </w14:textFill>
        </w:rPr>
        <w:t>库的经常性财政收入。包括税收收入和非税收入。</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税收收入：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国家凭借其政治权力，依据法定标准，从单位和个人无偿取得的一种财政收入。税收是国家财政收入的主要来源。包括：增值税、消费税、企业所得税、个人所得税、房产税、印花税、城镇土地使用税、土地增值税、耕地占用税、契税等。</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非税收入：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广义地说，非税收入是指政府通过合法程序获得的除税收以外的一切收入。政府非税收入管理范围主要包括：行政事业性收费、政府性基金、彩票公益金、国有资源有偿使用收入、国有资产有偿使用收入、国有资本经营收益、罚没收入、以政府名义接受的捐赠收入、主管部门集中收入、政府财政资金产生的利息收入等。</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一般公共预算支出：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指列入地方预算的经常性财政支出。其资金来源</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包括</w:t>
      </w:r>
      <w:r>
        <w:rPr>
          <w:rFonts w:hint="eastAsia" w:ascii="仿宋_GB2312" w:hAnsi="仿宋_GB2312" w:eastAsia="仿宋_GB2312" w:cs="仿宋_GB2312"/>
          <w:b w:val="0"/>
          <w:bCs w:val="0"/>
          <w:color w:val="000000" w:themeColor="text1"/>
          <w:sz w:val="32"/>
          <w:szCs w:val="32"/>
          <w14:textFill>
            <w14:solidFill>
              <w14:schemeClr w14:val="tx1"/>
            </w14:solidFill>
          </w14:textFill>
        </w:rPr>
        <w:t>当年地方可用财力安排的支出、上年结余、调入资金和中央转移支付补助及专款补助形成的财政支出。</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政府性基金收入：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国家通过向社会征收以及出让土地、发行彩票等方式取得收入。</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政府性基金支出：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按照基金用途，政府性基金支出可分为交通基础设施建设、水利建设、城市维护建设、社会事业发展、移民和社会保障、生态环境建设和其他等方面。</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社会保险基金收入：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由政府举办的主要由企业、行政事业单位和职工缴费筹资的社会保障计划，其缴费收入是政府重要的财政收入。</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社会保险基金支出：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反映政府由社会保险基金列支的各项支出，包括基本养老保险基金支出、失业保险基金支出、基本医疗保险基金支出、工伤保险基金支出、生育保险基金支出等。</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国有资本经营收入：</w:t>
      </w:r>
      <w:r>
        <w:rPr>
          <w:rFonts w:hint="eastAsia" w:ascii="仿宋_GB2312" w:hAnsi="仿宋_GB2312" w:eastAsia="仿宋_GB2312" w:cs="仿宋_GB2312"/>
          <w:b w:val="0"/>
          <w:bCs w:val="0"/>
          <w:color w:val="000000" w:themeColor="text1"/>
          <w:sz w:val="32"/>
          <w:szCs w:val="32"/>
          <w14:textFill>
            <w14:solidFill>
              <w14:schemeClr w14:val="tx1"/>
            </w14:solidFill>
          </w14:textFill>
        </w:rPr>
        <w:t>指国有资本经营、转让、清算等形成的财政预算收入，是政府非税收入的重要组成部分。</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调入资金：</w:t>
      </w:r>
      <w:r>
        <w:rPr>
          <w:rFonts w:hint="eastAsia" w:ascii="仿宋_GB2312" w:hAnsi="仿宋_GB2312" w:eastAsia="仿宋_GB2312" w:cs="仿宋_GB2312"/>
          <w:b w:val="0"/>
          <w:bCs w:val="0"/>
          <w:color w:val="000000" w:themeColor="text1"/>
          <w:sz w:val="32"/>
          <w:szCs w:val="32"/>
          <w14:textFill>
            <w14:solidFill>
              <w14:schemeClr w14:val="tx1"/>
            </w14:solidFill>
          </w14:textFill>
        </w:rPr>
        <w:t>指各级财政为平衡当年一般公共预算收支，从政府性基金预算、国有资本经营预算和其他渠道调入的资金。</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lang w:eastAsia="zh-CN"/>
          <w14:textFill>
            <w14:solidFill>
              <w14:schemeClr w14:val="tx1"/>
            </w14:solidFill>
          </w14:textFill>
        </w:rPr>
        <w:t>预算稳定调节基金：</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指各级财政通过超收安排的具有储备性质的基金，用于弥补短收年份预算执行的收支缺口，以及根据预算平衡情况，在安排年初预算时调入并安排使用，安排或补充基金时在支出方反映，调入使用基金时在收入方反映。</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“三保”：</w:t>
      </w:r>
      <w:r>
        <w:rPr>
          <w:rFonts w:hint="eastAsia" w:ascii="仿宋_GB2312" w:hAnsi="仿宋_GB2312" w:eastAsia="仿宋_GB2312" w:cs="仿宋_GB2312"/>
          <w:b w:val="0"/>
          <w:bCs w:val="0"/>
          <w:color w:val="000000" w:themeColor="text1"/>
          <w:sz w:val="32"/>
          <w:szCs w:val="32"/>
          <w14:textFill>
            <w14:solidFill>
              <w14:schemeClr w14:val="tx1"/>
            </w14:solidFill>
          </w14:textFill>
        </w:rPr>
        <w:t>指的是</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保基本民生</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保工资</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保运转</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32"/>
          <w:szCs w:val="32"/>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14:textFill>
            <w14:solidFill>
              <w14:schemeClr w14:val="tx1"/>
            </w14:solidFill>
          </w14:textFill>
        </w:rPr>
        <w:t>民生支出：</w:t>
      </w:r>
      <w:r>
        <w:rPr>
          <w:rFonts w:hint="eastAsia" w:ascii="仿宋_GB2312" w:hAnsi="仿宋_GB2312" w:eastAsia="仿宋_GB2312" w:cs="仿宋_GB2312"/>
          <w:b w:val="0"/>
          <w:bCs w:val="0"/>
          <w:color w:val="000000" w:themeColor="text1"/>
          <w:sz w:val="32"/>
          <w:szCs w:val="32"/>
          <w14:textFill>
            <w14:solidFill>
              <w14:schemeClr w14:val="tx1"/>
            </w14:solidFill>
          </w14:textFill>
        </w:rPr>
        <w:t>是公共财政在一定阶段的实施理念或表现形式，是在整个财政支出安排中，通过制度性合理安排，实现用于教育、卫生、就业、社会保障、农林水、生态环境保护、住房保障等民生项目，以引导社会公平正义、保障提高人民生活。</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lang w:val="en-US" w:eastAsia="zh-CN"/>
          <w14:textFill>
            <w14:solidFill>
              <w14:schemeClr w14:val="tx1"/>
            </w14:solidFill>
          </w14:textFill>
        </w:rPr>
        <w:t>“1535”工作思路：</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一条主线”：坚持以习近平新时代中国特色社会主义思想为指导，全面学习贯彻党的二十大精神，完整准确贯彻新时代党的治疆方略，扎实推进社会稳定和长治久安，全面推进中国式现代化吐鲁番新实践。“五大战略”：农业稳市、工业强市、文旅兴市、生态立市、改革活市。“三区建设”：建设全疆经济高质量发展示范区、文化润疆先行区和铸牢中华民族共同体意识示范区。“五个跃升”：经济实力全面跃升、城乡品质全面跃升、民生福祉全面跃升、治理效能全面跃升、作风能力全面跃升。</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14:textFill>
            <w14:solidFill>
              <w14:schemeClr w14:val="tx1"/>
            </w14:solidFill>
          </w14:textFill>
        </w:rPr>
      </w:pPr>
      <w:r>
        <w:rPr>
          <w:rFonts w:hint="eastAsia" w:ascii="黑体" w:hAnsi="黑体" w:eastAsia="黑体" w:cs="黑体"/>
          <w:b w:val="0"/>
          <w:bCs w:val="0"/>
          <w:color w:val="000000" w:themeColor="text1"/>
          <w:sz w:val="32"/>
          <w:szCs w:val="32"/>
          <w:shd w:val="clear" w:color="auto" w:fill="FFFFFF"/>
          <w:lang w:val="en-US" w:eastAsia="zh-CN"/>
          <w14:textFill>
            <w14:solidFill>
              <w14:schemeClr w14:val="tx1"/>
            </w14:solidFill>
          </w14:textFill>
        </w:rPr>
        <w:t>财政收支平衡：</w:t>
      </w:r>
      <w:r>
        <w:rPr>
          <w:rFonts w:hint="eastAsia" w:ascii="仿宋_GB2312" w:hAnsi="仿宋_GB2312" w:eastAsia="仿宋_GB2312" w:cs="仿宋_GB2312"/>
          <w:b w:val="0"/>
          <w:bCs w:val="0"/>
          <w:color w:val="000000" w:themeColor="text1"/>
          <w:sz w:val="32"/>
          <w:szCs w:val="32"/>
          <w14:textFill>
            <w14:solidFill>
              <w14:schemeClr w14:val="tx1"/>
            </w14:solidFill>
          </w14:textFill>
        </w:rPr>
        <w:t>主要分为一般公共预算收支平衡和政府性基金预算收支平衡。按照新《</w:t>
      </w:r>
      <w:r>
        <w:rPr>
          <w:rFonts w:hint="eastAsia" w:ascii="仿宋_GB2312" w:hAnsi="仿宋_GB2312" w:eastAsia="仿宋_GB2312" w:cs="仿宋_GB2312"/>
          <w:b w:val="0"/>
          <w:bCs w:val="0"/>
          <w:color w:val="000000" w:themeColor="text1"/>
          <w:sz w:val="32"/>
          <w:szCs w:val="32"/>
          <w:lang w:eastAsia="zh-CN"/>
          <w14:textFill>
            <w14:solidFill>
              <w14:schemeClr w14:val="tx1"/>
            </w14:solidFill>
          </w14:textFill>
        </w:rPr>
        <w:t>中华人民共和国预算法</w:t>
      </w:r>
      <w:r>
        <w:rPr>
          <w:rFonts w:hint="eastAsia" w:ascii="仿宋_GB2312" w:hAnsi="仿宋_GB2312" w:eastAsia="仿宋_GB2312" w:cs="仿宋_GB2312"/>
          <w:b w:val="0"/>
          <w:bCs w:val="0"/>
          <w:color w:val="000000" w:themeColor="text1"/>
          <w:sz w:val="32"/>
          <w:szCs w:val="32"/>
          <w14:textFill>
            <w14:solidFill>
              <w14:schemeClr w14:val="tx1"/>
            </w14:solidFill>
          </w14:textFill>
        </w:rPr>
        <w:t>》规定：“地方各级预算按照量入为出、收支平衡的原则编制，除本法另有规定外，不列赤字”。</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highlight w:val="none"/>
          <w:lang w:val="en-US"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t>自治区财政体制改革：</w:t>
      </w:r>
      <w:r>
        <w:rPr>
          <w:rFonts w:hint="eastAsia" w:ascii="仿宋_GB2312" w:hAnsi="仿宋_GB2312" w:eastAsia="仿宋_GB2312" w:cs="仿宋_GB2312"/>
          <w:b w:val="0"/>
          <w:bCs w:val="0"/>
          <w:color w:val="000000" w:themeColor="text1"/>
          <w:sz w:val="32"/>
          <w:szCs w:val="32"/>
          <w:highlight w:val="none"/>
          <w:u w:val="none"/>
          <w:lang w:val="en-US" w:eastAsia="zh-CN"/>
          <w14:textFill>
            <w14:solidFill>
              <w14:schemeClr w14:val="tx1"/>
            </w14:solidFill>
          </w14:textFill>
        </w:rPr>
        <w:t>是指</w:t>
      </w:r>
      <w:r>
        <w:rPr>
          <w:rFonts w:hint="eastAsia" w:ascii="仿宋_GB2312" w:hAnsi="仿宋_GB2312" w:eastAsia="仿宋_GB2312" w:cs="仿宋_GB2312"/>
          <w:b w:val="0"/>
          <w:bCs w:val="0"/>
          <w:color w:val="000000" w:themeColor="text1"/>
          <w:sz w:val="32"/>
          <w:szCs w:val="32"/>
          <w:highlight w:val="none"/>
          <w:u w:val="none"/>
          <w14:textFill>
            <w14:solidFill>
              <w14:schemeClr w14:val="tx1"/>
            </w14:solidFill>
          </w14:textFill>
        </w:rPr>
        <w:t>按照深化财税体制改革和建立现代财政制度的总体要求，进一步理顺自治区以下政府间财政关系，增强自治区统筹调控能力，充分调动各级政府增收节支的积极性，逐步建立健全权责配置更为合理、收入划分更加规范、财力分布相对均衡、基层保障更加有力的自治区以下财政体制</w:t>
      </w:r>
      <w:r>
        <w:rPr>
          <w:rFonts w:hint="eastAsia" w:ascii="仿宋_GB2312" w:hAnsi="仿宋_GB2312" w:eastAsia="仿宋_GB2312" w:cs="仿宋_GB2312"/>
          <w:b w:val="0"/>
          <w:bCs w:val="0"/>
          <w:color w:val="000000" w:themeColor="text1"/>
          <w:sz w:val="32"/>
          <w:szCs w:val="32"/>
          <w:highlight w:val="none"/>
          <w:u w:val="none"/>
          <w:lang w:eastAsia="zh-CN"/>
          <w14:textFill>
            <w14:solidFill>
              <w14:schemeClr w14:val="tx1"/>
            </w14:solidFill>
          </w14:textFill>
        </w:rPr>
        <w:t>。</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黑体" w:hAnsi="黑体" w:eastAsia="黑体" w:cs="黑体"/>
          <w:b w:val="0"/>
          <w:bCs w:val="0"/>
          <w:color w:val="000000" w:themeColor="text1"/>
          <w:sz w:val="32"/>
          <w:szCs w:val="32"/>
          <w:highlight w:val="none"/>
          <w14:textFill>
            <w14:solidFill>
              <w14:schemeClr w14:val="tx1"/>
            </w14:solidFill>
          </w14:textFill>
        </w:rPr>
        <w:t>债务限额管理：</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根据预算法和国务院关于加强政府性债务管理的规定，中央对地方政府债务余额实行限额管理，地方政府债务余额不得突破批准的限额。地方政府在国务院批准的限额内提出本地区政府债务限额，报同级人大常委会批准，并在批准的限额内举借和偿还债务。</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pPr>
      <w:r>
        <w:rPr>
          <w:rFonts w:hint="eastAsia" w:ascii="黑体" w:hAnsi="黑体" w:eastAsia="黑体" w:cs="黑体"/>
          <w:b w:val="0"/>
          <w:bCs w:val="0"/>
          <w:color w:val="000000" w:themeColor="text1"/>
          <w:sz w:val="32"/>
          <w:szCs w:val="32"/>
          <w:highlight w:val="none"/>
          <w14:textFill>
            <w14:solidFill>
              <w14:schemeClr w14:val="tx1"/>
            </w14:solidFill>
          </w14:textFill>
        </w:rPr>
        <w:t>政府一般债券：</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是指没有收益的公益性事业发展融资，由地方政府发行主要以一般公共预算资金偿还的政府债券。</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14:textFill>
            <w14:solidFill>
              <w14:schemeClr w14:val="tx1"/>
            </w14:solidFill>
          </w14:textFill>
        </w:rPr>
        <w:t>政府专项债券：</w:t>
      </w:r>
      <w:r>
        <w:rPr>
          <w:rFonts w:hint="eastAsia" w:ascii="仿宋_GB2312" w:hAnsi="仿宋_GB2312" w:eastAsia="仿宋_GB2312" w:cs="仿宋_GB2312"/>
          <w:b w:val="0"/>
          <w:bCs w:val="0"/>
          <w:color w:val="000000" w:themeColor="text1"/>
          <w:sz w:val="32"/>
          <w:szCs w:val="32"/>
          <w:highlight w:val="none"/>
          <w14:textFill>
            <w14:solidFill>
              <w14:schemeClr w14:val="tx1"/>
            </w14:solidFill>
          </w14:textFill>
        </w:rPr>
        <w:t>是指有一定收益的公益性事业发展融资，由地方政府发行</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主要以对应的政府性基金预算或专项收入偿还的政府债券。</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t>“两重”：</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是指推进国家重大战略实施和重点领域安全能力建设。</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r>
        <w:rPr>
          <w:rFonts w:hint="eastAsia" w:ascii="黑体" w:hAnsi="黑体" w:eastAsia="黑体" w:cs="黑体"/>
          <w:b w:val="0"/>
          <w:bCs w:val="0"/>
          <w:color w:val="000000" w:themeColor="text1"/>
          <w:sz w:val="32"/>
          <w:szCs w:val="32"/>
          <w:highlight w:val="none"/>
          <w:lang w:val="en-US" w:eastAsia="zh-CN"/>
          <w14:textFill>
            <w14:solidFill>
              <w14:schemeClr w14:val="tx1"/>
            </w14:solidFill>
          </w14:textFill>
        </w:rPr>
        <w:t>“两新”：</w:t>
      </w:r>
      <w:r>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t>是指推动新一轮大规模设备更新和消费品以旧换新。</w:t>
      </w: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仿宋_GB2312" w:hAnsi="仿宋_GB2312" w:eastAsia="仿宋_GB2312" w:cs="仿宋_GB2312"/>
          <w:b w:val="0"/>
          <w:bCs w:val="0"/>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kinsoku/>
        <w:wordWrap/>
        <w:overflowPunct w:val="0"/>
        <w:topLinePunct w:val="0"/>
        <w:autoSpaceDE/>
        <w:autoSpaceDN/>
        <w:bidi w:val="0"/>
        <w:adjustRightInd/>
        <w:snapToGrid/>
        <w:spacing w:line="580" w:lineRule="exact"/>
        <w:ind w:firstLine="640" w:firstLineChars="200"/>
        <w:jc w:val="both"/>
        <w:textAlignment w:val="auto"/>
        <w:outlineLvl w:val="9"/>
        <w:rPr>
          <w:rFonts w:hint="eastAsia" w:ascii="Times New Roman" w:hAnsi="Times New Roman" w:eastAsia="仿宋_GB2312" w:cs="仿宋_GB2312"/>
          <w:color w:val="000000" w:themeColor="text1"/>
          <w:sz w:val="32"/>
          <w:szCs w:val="32"/>
          <w:lang w:val="en-US" w:eastAsia="zh-CN"/>
          <w14:textFill>
            <w14:solidFill>
              <w14:schemeClr w14:val="tx1"/>
            </w14:solidFill>
          </w14:textFill>
        </w:rPr>
      </w:pPr>
    </w:p>
    <w:p>
      <w:pPr>
        <w:keepNext w:val="0"/>
        <w:keepLines w:val="0"/>
        <w:pageBreakBefore w:val="0"/>
        <w:widowControl w:val="0"/>
        <w:shd w:val="clear"/>
        <w:kinsoku/>
        <w:wordWrap/>
        <w:overflowPunct w:val="0"/>
        <w:topLinePunct w:val="0"/>
        <w:autoSpaceDE/>
        <w:autoSpaceDN/>
        <w:bidi w:val="0"/>
        <w:adjustRightInd/>
        <w:snapToGrid/>
        <w:spacing w:line="560" w:lineRule="exact"/>
        <w:jc w:val="left"/>
        <w:textAlignment w:val="auto"/>
        <w:rPr>
          <w:rFonts w:hint="eastAsia" w:ascii="Times New Roman" w:hAnsi="Times New Roman" w:eastAsia="方正小标宋简体" w:cs="方正小标宋简体"/>
          <w:b w:val="0"/>
          <w:bCs/>
          <w:i w:val="0"/>
          <w:color w:val="000000" w:themeColor="text1"/>
          <w:kern w:val="0"/>
          <w:sz w:val="36"/>
          <w:szCs w:val="36"/>
          <w:u w:val="none"/>
          <w:lang w:val="en-US" w:eastAsia="zh-CN" w:bidi="ar"/>
          <w14:textFill>
            <w14:solidFill>
              <w14:schemeClr w14:val="tx1"/>
            </w14:solidFill>
          </w14:textFill>
        </w:rPr>
        <w:sectPr>
          <w:footerReference r:id="rId4" w:type="default"/>
          <w:pgSz w:w="11906" w:h="16838"/>
          <w:pgMar w:top="2098" w:right="1531" w:bottom="1928" w:left="1531" w:header="851" w:footer="1361"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pPr>
        <w:jc w:val="both"/>
        <w:rPr>
          <w:rFonts w:hint="eastAsia" w:ascii="黑体" w:hAnsi="黑体" w:eastAsia="黑体" w:cs="黑体"/>
          <w:b w:val="0"/>
          <w:bCs w:val="0"/>
          <w:kern w:val="0"/>
          <w:sz w:val="44"/>
          <w:szCs w:val="44"/>
          <w:lang w:val="en-US" w:eastAsia="zh-Hans"/>
        </w:rPr>
      </w:pPr>
    </w:p>
    <w:p>
      <w:pPr>
        <w:jc w:val="both"/>
        <w:rPr>
          <w:rFonts w:hint="eastAsia" w:ascii="黑体" w:hAnsi="黑体" w:eastAsia="黑体" w:cs="黑体"/>
          <w:b w:val="0"/>
          <w:bCs w:val="0"/>
          <w:kern w:val="0"/>
          <w:sz w:val="44"/>
          <w:szCs w:val="44"/>
          <w:lang w:val="en-US" w:eastAsia="zh-Hans"/>
        </w:rPr>
      </w:pPr>
    </w:p>
    <w:p>
      <w:pPr>
        <w:jc w:val="both"/>
        <w:rPr>
          <w:rFonts w:hint="eastAsia" w:ascii="黑体" w:hAnsi="黑体" w:eastAsia="黑体" w:cs="黑体"/>
          <w:b w:val="0"/>
          <w:bCs w:val="0"/>
          <w:kern w:val="0"/>
          <w:sz w:val="44"/>
          <w:szCs w:val="44"/>
          <w:lang w:val="en-US" w:eastAsia="zh-Hans"/>
        </w:rPr>
      </w:pPr>
    </w:p>
    <w:p>
      <w:pPr>
        <w:jc w:val="both"/>
        <w:rPr>
          <w:rFonts w:hint="eastAsia" w:ascii="黑体" w:hAnsi="黑体" w:eastAsia="黑体" w:cs="黑体"/>
          <w:b w:val="0"/>
          <w:bCs w:val="0"/>
          <w:kern w:val="0"/>
          <w:sz w:val="44"/>
          <w:szCs w:val="44"/>
          <w:lang w:val="en-US" w:eastAsia="zh-Hans"/>
        </w:rPr>
      </w:pPr>
    </w:p>
    <w:p>
      <w:pPr>
        <w:jc w:val="both"/>
        <w:rPr>
          <w:rFonts w:hint="eastAsia" w:ascii="黑体" w:hAnsi="黑体" w:eastAsia="黑体" w:cs="黑体"/>
          <w:b w:val="0"/>
          <w:bCs w:val="0"/>
          <w:kern w:val="0"/>
          <w:sz w:val="44"/>
          <w:szCs w:val="44"/>
          <w:lang w:val="en-US" w:eastAsia="zh-Hans"/>
        </w:rPr>
      </w:pPr>
    </w:p>
    <w:p>
      <w:pPr>
        <w:jc w:val="center"/>
        <w:rPr>
          <w:rFonts w:hint="eastAsia" w:ascii="黑体" w:hAnsi="黑体" w:eastAsia="黑体" w:cs="黑体"/>
          <w:b w:val="0"/>
          <w:bCs w:val="0"/>
          <w:kern w:val="0"/>
          <w:sz w:val="44"/>
          <w:szCs w:val="44"/>
          <w:lang w:val="en-US" w:eastAsia="zh-Hans"/>
        </w:rPr>
      </w:pPr>
      <w:r>
        <w:rPr>
          <w:rFonts w:hint="eastAsia" w:ascii="黑体" w:hAnsi="黑体" w:eastAsia="黑体" w:cs="黑体"/>
          <w:b w:val="0"/>
          <w:bCs w:val="0"/>
          <w:kern w:val="0"/>
          <w:sz w:val="44"/>
          <w:szCs w:val="44"/>
          <w:lang w:val="en-US" w:eastAsia="zh-Hans"/>
        </w:rPr>
        <w:t>第二部分“四本”预算公开表</w:t>
      </w: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楷体_GB2312" w:cs="Times New Roman"/>
          <w:b/>
          <w:bCs w:val="0"/>
          <w:kern w:val="0"/>
          <w:sz w:val="36"/>
          <w:szCs w:val="36"/>
          <w:lang w:val="en-US" w:eastAsia="zh-Hans"/>
        </w:rPr>
      </w:pPr>
    </w:p>
    <w:p>
      <w:pPr>
        <w:numPr>
          <w:ilvl w:val="0"/>
          <w:numId w:val="0"/>
        </w:numPr>
        <w:tabs>
          <w:tab w:val="left" w:pos="2148"/>
        </w:tabs>
        <w:spacing w:before="190" w:line="350" w:lineRule="auto"/>
        <w:ind w:right="3265" w:rightChars="0" w:firstLine="442" w:firstLineChars="100"/>
        <w:jc w:val="both"/>
        <w:rPr>
          <w:rFonts w:hint="default" w:ascii="Times New Roman" w:hAnsi="Times New Roman" w:eastAsia="楷体_GB2312" w:cs="Times New Roman"/>
          <w:b/>
          <w:bCs w:val="0"/>
          <w:kern w:val="0"/>
          <w:sz w:val="44"/>
          <w:szCs w:val="44"/>
          <w:lang w:val="en-US" w:eastAsia="zh-Hans"/>
        </w:rPr>
      </w:pPr>
      <w:r>
        <w:rPr>
          <w:rFonts w:hint="default" w:ascii="Times New Roman" w:hAnsi="Times New Roman" w:eastAsia="楷体_GB2312" w:cs="Times New Roman"/>
          <w:b/>
          <w:bCs w:val="0"/>
          <w:kern w:val="0"/>
          <w:sz w:val="44"/>
          <w:szCs w:val="44"/>
          <w:lang w:val="en-US" w:eastAsia="zh-Hans"/>
        </w:rPr>
        <w:t>一、一般公共预算</w:t>
      </w:r>
      <w:r>
        <w:rPr>
          <w:rFonts w:hint="default" w:ascii="Times New Roman" w:hAnsi="Times New Roman" w:eastAsia="楷体_GB2312" w:cs="Times New Roman"/>
          <w:b/>
          <w:bCs w:val="0"/>
          <w:kern w:val="0"/>
          <w:sz w:val="44"/>
          <w:szCs w:val="44"/>
          <w:lang w:val="en-US" w:eastAsia="zh-CN"/>
        </w:rPr>
        <w:t>公开</w:t>
      </w:r>
      <w:r>
        <w:rPr>
          <w:rFonts w:hint="default" w:ascii="Times New Roman" w:hAnsi="Times New Roman" w:eastAsia="楷体_GB2312" w:cs="Times New Roman"/>
          <w:b/>
          <w:bCs w:val="0"/>
          <w:kern w:val="0"/>
          <w:sz w:val="44"/>
          <w:szCs w:val="44"/>
          <w:lang w:val="en-US" w:eastAsia="zh-Hans"/>
        </w:rPr>
        <w:t>表</w:t>
      </w:r>
    </w:p>
    <w:p>
      <w:pPr>
        <w:keepNext w:val="0"/>
        <w:keepLines w:val="0"/>
        <w:pageBreakBefore w:val="0"/>
        <w:widowControl w:val="0"/>
        <w:suppressLineNumbers w:val="0"/>
        <w:kinsoku/>
        <w:wordWrap/>
        <w:overflowPunct w:val="0"/>
        <w:topLinePunct w:val="0"/>
        <w:autoSpaceDE/>
        <w:autoSpaceDN/>
        <w:bidi w:val="0"/>
        <w:adjustRightInd/>
        <w:snapToGrid/>
        <w:jc w:val="both"/>
        <w:textAlignment w:val="bottom"/>
        <w:rPr>
          <w:rFonts w:hint="eastAsia" w:ascii="宋体" w:hAnsi="宋体" w:eastAsia="宋体" w:cs="宋体"/>
          <w:b/>
          <w:bCs w:val="0"/>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color w:val="000000"/>
          <w:kern w:val="0"/>
          <w:sz w:val="21"/>
          <w:szCs w:val="21"/>
          <w:u w:val="none"/>
          <w:lang w:val="en-US" w:eastAsia="zh-CN" w:bidi="ar"/>
        </w:rPr>
        <w:t>表1</w:t>
      </w:r>
    </w:p>
    <w:p>
      <w:pPr>
        <w:keepNext w:val="0"/>
        <w:keepLines w:val="0"/>
        <w:pageBreakBefore w:val="0"/>
        <w:widowControl w:val="0"/>
        <w:suppressLineNumbers w:val="0"/>
        <w:kinsoku/>
        <w:wordWrap/>
        <w:overflowPunct w:val="0"/>
        <w:topLinePunct w:val="0"/>
        <w:autoSpaceDE/>
        <w:autoSpaceDN/>
        <w:bidi w:val="0"/>
        <w:adjustRightInd/>
        <w:snapToGrid/>
        <w:jc w:val="center"/>
        <w:textAlignment w:val="bottom"/>
        <w:rPr>
          <w:rFonts w:hint="default" w:asciiTheme="majorEastAsia" w:hAnsiTheme="majorEastAsia" w:eastAsiaTheme="majorEastAsia" w:cstheme="majorEastAsia"/>
          <w:sz w:val="32"/>
          <w:szCs w:val="32"/>
          <w:lang w:val="en-US"/>
        </w:rPr>
      </w:pPr>
      <w:r>
        <w:rPr>
          <w:rFonts w:hint="eastAsia" w:ascii="宋体" w:hAnsi="宋体" w:eastAsia="宋体" w:cs="宋体"/>
          <w:b/>
          <w:bCs w:val="0"/>
          <w:i w:val="0"/>
          <w:color w:val="000000" w:themeColor="text1"/>
          <w:kern w:val="0"/>
          <w:sz w:val="32"/>
          <w:szCs w:val="32"/>
          <w:u w:val="none"/>
          <w:lang w:val="en-US" w:eastAsia="zh-CN" w:bidi="ar"/>
          <w14:textFill>
            <w14:solidFill>
              <w14:schemeClr w14:val="tx1"/>
            </w14:solidFill>
          </w14:textFill>
        </w:rPr>
        <w:t>202</w:t>
      </w:r>
      <w:r>
        <w:rPr>
          <w:rFonts w:hint="eastAsia" w:ascii="宋体" w:hAnsi="宋体" w:cs="宋体"/>
          <w:b/>
          <w:bCs w:val="0"/>
          <w:i w:val="0"/>
          <w:color w:val="000000" w:themeColor="text1"/>
          <w:kern w:val="0"/>
          <w:sz w:val="32"/>
          <w:szCs w:val="32"/>
          <w:u w:val="none"/>
          <w:lang w:val="en-US" w:eastAsia="zh-CN" w:bidi="ar"/>
          <w14:textFill>
            <w14:solidFill>
              <w14:schemeClr w14:val="tx1"/>
            </w14:solidFill>
          </w14:textFill>
        </w:rPr>
        <w:t>5</w:t>
      </w:r>
      <w:r>
        <w:rPr>
          <w:rFonts w:hint="eastAsia" w:ascii="宋体" w:hAnsi="宋体" w:eastAsia="宋体" w:cs="宋体"/>
          <w:b/>
          <w:bCs w:val="0"/>
          <w:i w:val="0"/>
          <w:color w:val="000000" w:themeColor="text1"/>
          <w:kern w:val="0"/>
          <w:sz w:val="32"/>
          <w:szCs w:val="32"/>
          <w:u w:val="none"/>
          <w:lang w:val="en-US" w:eastAsia="zh-CN" w:bidi="ar"/>
          <w14:textFill>
            <w14:solidFill>
              <w14:schemeClr w14:val="tx1"/>
            </w14:solidFill>
          </w14:textFill>
        </w:rPr>
        <w:t>年吐鲁番市</w:t>
      </w:r>
      <w:r>
        <w:rPr>
          <w:rFonts w:hint="eastAsia" w:ascii="宋体" w:hAnsi="宋体" w:eastAsia="宋体" w:cs="宋体"/>
          <w:b/>
          <w:bCs w:val="0"/>
          <w:i w:val="0"/>
          <w:color w:val="000000"/>
          <w:kern w:val="0"/>
          <w:sz w:val="32"/>
          <w:szCs w:val="32"/>
          <w:u w:val="none"/>
          <w:lang w:val="en-US" w:eastAsia="zh-CN" w:bidi="ar"/>
        </w:rPr>
        <w:t>一般公共预算收入表</w:t>
      </w:r>
      <w:r>
        <w:rPr>
          <w:rFonts w:hint="eastAsia" w:ascii="Times New Roman" w:hAnsi="Times New Roman" w:cs="Times New Roman"/>
          <w:b/>
          <w:bCs/>
          <w:i w:val="0"/>
          <w:color w:val="000000"/>
          <w:kern w:val="0"/>
          <w:sz w:val="32"/>
          <w:szCs w:val="32"/>
          <w:u w:val="none"/>
          <w:lang w:val="en-US" w:eastAsia="zh-CN" w:bidi="ar"/>
        </w:rPr>
        <w:t xml:space="preserve"> </w:t>
      </w:r>
    </w:p>
    <w:p>
      <w:pPr>
        <w:keepNext w:val="0"/>
        <w:keepLines w:val="0"/>
        <w:pageBreakBefore w:val="0"/>
        <w:widowControl w:val="0"/>
        <w:suppressLineNumbers w:val="0"/>
        <w:kinsoku/>
        <w:wordWrap/>
        <w:overflowPunct w:val="0"/>
        <w:topLinePunct w:val="0"/>
        <w:autoSpaceDE/>
        <w:autoSpaceDN/>
        <w:bidi w:val="0"/>
        <w:adjustRightInd/>
        <w:snapToGrid/>
        <w:jc w:val="right"/>
        <w:textAlignment w:val="center"/>
        <w:rPr>
          <w:rFonts w:hint="eastAsia" w:ascii="宋体" w:hAnsi="宋体" w:eastAsia="宋体" w:cs="宋体"/>
          <w:b w:val="0"/>
          <w:bCs/>
          <w:i w:val="0"/>
          <w:color w:val="000000" w:themeColor="text1"/>
          <w:sz w:val="24"/>
          <w:szCs w:val="24"/>
          <w:u w:val="none"/>
          <w14:textFill>
            <w14:solidFill>
              <w14:schemeClr w14:val="tx1"/>
            </w14:solidFill>
          </w14:textFill>
        </w:rPr>
      </w:pPr>
      <w:r>
        <w:rPr>
          <w:rFonts w:hint="eastAsia" w:ascii="宋体" w:hAnsi="宋体" w:eastAsia="宋体" w:cs="宋体"/>
          <w:b w:val="0"/>
          <w:bCs/>
          <w:i w:val="0"/>
          <w:color w:val="000000" w:themeColor="text1"/>
          <w:kern w:val="0"/>
          <w:sz w:val="24"/>
          <w:szCs w:val="24"/>
          <w:u w:val="none"/>
          <w:lang w:val="en-US" w:eastAsia="zh-CN" w:bidi="ar"/>
          <w14:textFill>
            <w14:solidFill>
              <w14:schemeClr w14:val="tx1"/>
            </w14:solidFill>
          </w14:textFill>
        </w:rPr>
        <w:t>单位：万元</w:t>
      </w:r>
    </w:p>
    <w:tbl>
      <w:tblPr>
        <w:tblStyle w:val="15"/>
        <w:tblW w:w="9354"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226"/>
        <w:gridCol w:w="3399"/>
        <w:gridCol w:w="1679"/>
        <w:gridCol w:w="1597"/>
        <w:gridCol w:w="1453"/>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90" w:hRule="atLeast"/>
          <w:tblHeader/>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科目编码</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项    目</w:t>
            </w:r>
          </w:p>
        </w:tc>
        <w:tc>
          <w:tcPr>
            <w:tcW w:w="167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2024年预算数</w:t>
            </w:r>
          </w:p>
        </w:tc>
        <w:tc>
          <w:tcPr>
            <w:tcW w:w="1597"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202</w:t>
            </w:r>
            <w:r>
              <w:rPr>
                <w:rFonts w:hint="eastAsia" w:ascii="宋体" w:hAnsi="宋体" w:cs="宋体"/>
                <w:b/>
                <w:bCs/>
                <w:i w:val="0"/>
                <w:color w:val="000000" w:themeColor="text1"/>
                <w:kern w:val="0"/>
                <w:sz w:val="21"/>
                <w:szCs w:val="21"/>
                <w:u w:val="none"/>
                <w:lang w:val="en-US" w:eastAsia="zh-CN" w:bidi="ar"/>
                <w14:textFill>
                  <w14:solidFill>
                    <w14:schemeClr w14:val="tx1"/>
                  </w14:solidFill>
                </w14:textFill>
              </w:rPr>
              <w:t>5</w:t>
            </w: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年预算数</w:t>
            </w:r>
            <w:r>
              <w:rPr>
                <w:rFonts w:hint="eastAsia" w:ascii="宋体" w:hAnsi="宋体" w:cs="宋体"/>
                <w:b/>
                <w:bCs/>
                <w:i w:val="0"/>
                <w:color w:val="000000" w:themeColor="text1"/>
                <w:kern w:val="0"/>
                <w:sz w:val="21"/>
                <w:szCs w:val="21"/>
                <w:u w:val="none"/>
                <w:lang w:val="en-US" w:eastAsia="zh-CN" w:bidi="ar"/>
                <w14:textFill>
                  <w14:solidFill>
                    <w14:schemeClr w14:val="tx1"/>
                  </w14:solidFill>
                </w14:textFill>
              </w:rPr>
              <w:t xml:space="preserve"> </w:t>
            </w:r>
          </w:p>
        </w:tc>
        <w:tc>
          <w:tcPr>
            <w:tcW w:w="1453"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比上年预算数增（减）</w:t>
            </w:r>
            <w:r>
              <w:rPr>
                <w:rStyle w:val="44"/>
                <w:rFonts w:hint="eastAsia" w:ascii="宋体" w:hAnsi="宋体" w:eastAsia="宋体" w:cs="宋体"/>
                <w:b/>
                <w:bCs/>
                <w:color w:val="000000" w:themeColor="text1"/>
                <w:sz w:val="21"/>
                <w:szCs w:val="21"/>
                <w:lang w:val="en-US" w:eastAsia="zh-CN" w:bidi="ar"/>
                <w14:textFill>
                  <w14:solidFill>
                    <w14:schemeClr w14:val="tx1"/>
                  </w14:solidFill>
                </w14:textFill>
              </w:rPr>
              <w:t>%</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2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101</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 xml:space="preserve"> 一、税收收入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495,221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479,671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-3.14%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4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10101</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增值税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194,739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191,500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-1.66%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90"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10104</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企业所得税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101,607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64,867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-36.16%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1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10105</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企业所得税退税</w:t>
            </w:r>
          </w:p>
        </w:tc>
        <w:tc>
          <w:tcPr>
            <w:tcW w:w="1679" w:type="dxa"/>
            <w:tcBorders>
              <w:tl2br w:val="nil"/>
              <w:tr2bl w:val="nil"/>
            </w:tcBorders>
            <w:shd w:val="clear" w:color="auto" w:fill="FFFFFF"/>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sz w:val="21"/>
                <w:szCs w:val="21"/>
                <w:u w:val="none"/>
                <w14:textFill>
                  <w14:solidFill>
                    <w14:schemeClr w14:val="tx1"/>
                  </w14:solidFill>
                </w14:textFill>
              </w:rPr>
            </w:pPr>
          </w:p>
        </w:tc>
        <w:tc>
          <w:tcPr>
            <w:tcW w:w="1597"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p>
        </w:tc>
        <w:tc>
          <w:tcPr>
            <w:tcW w:w="1453"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21"/>
                <w:szCs w:val="21"/>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4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10106</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个人所得税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15,731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13,071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-16.91%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3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10107</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资源税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45,025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55,375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22.99%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5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10109</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城市维护建设税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25,598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22,807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-10.90%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3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10110</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房产税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20,071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18,876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-5.95%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10111</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印花税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10,975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9,350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-14.81%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10112</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城镇土地使用税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49,304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50,048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1.51%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10113</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土地增值税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5,707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5,448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-4.54%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10114</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车船税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8,536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6,730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-21.16%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10118</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耕地占用税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4,097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30,756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650.70%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10119</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契税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10,045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7,111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-29.21%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10120</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烟叶税</w:t>
            </w:r>
          </w:p>
        </w:tc>
        <w:tc>
          <w:tcPr>
            <w:tcW w:w="1679" w:type="dxa"/>
            <w:tcBorders>
              <w:tl2br w:val="nil"/>
              <w:tr2bl w:val="nil"/>
            </w:tcBorders>
            <w:shd w:val="clear" w:color="auto" w:fill="FFFFFF"/>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sz w:val="21"/>
                <w:szCs w:val="21"/>
                <w:u w:val="none"/>
                <w14:textFill>
                  <w14:solidFill>
                    <w14:schemeClr w14:val="tx1"/>
                  </w14:solidFill>
                </w14:textFill>
              </w:rPr>
            </w:pPr>
          </w:p>
        </w:tc>
        <w:tc>
          <w:tcPr>
            <w:tcW w:w="1597"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p>
        </w:tc>
        <w:tc>
          <w:tcPr>
            <w:tcW w:w="1453"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21"/>
                <w:szCs w:val="21"/>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10121</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环境保护税</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3,786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3,732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-1.43%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10199</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其他税收收入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sz w:val="21"/>
                <w:szCs w:val="21"/>
                <w:u w:val="none"/>
                <w14:textFill>
                  <w14:solidFill>
                    <w14:schemeClr w14:val="tx1"/>
                  </w14:solidFill>
                </w14:textFill>
              </w:rPr>
            </w:pPr>
          </w:p>
        </w:tc>
        <w:tc>
          <w:tcPr>
            <w:tcW w:w="1597"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p>
        </w:tc>
        <w:tc>
          <w:tcPr>
            <w:tcW w:w="1453"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21"/>
                <w:szCs w:val="21"/>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8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i w:val="0"/>
                <w:color w:val="000000" w:themeColor="text1"/>
                <w:sz w:val="21"/>
                <w:szCs w:val="21"/>
                <w:u w:val="none"/>
                <w14:textFill>
                  <w14:solidFill>
                    <w14:schemeClr w14:val="tx1"/>
                  </w14:solidFill>
                </w14:textFill>
              </w:rPr>
            </w:pPr>
            <w:r>
              <w:rPr>
                <w:rFonts w:hint="eastAsia" w:ascii="宋体" w:hAnsi="宋体" w:eastAsia="宋体" w:cs="宋体"/>
                <w:b/>
                <w:i w:val="0"/>
                <w:color w:val="000000" w:themeColor="text1"/>
                <w:kern w:val="0"/>
                <w:sz w:val="21"/>
                <w:szCs w:val="21"/>
                <w:u w:val="none"/>
                <w:lang w:val="en-US" w:eastAsia="zh-CN" w:bidi="ar"/>
                <w14:textFill>
                  <w14:solidFill>
                    <w14:schemeClr w14:val="tx1"/>
                  </w14:solidFill>
                </w14:textFill>
              </w:rPr>
              <w:t>103</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b/>
                <w:i w:val="0"/>
                <w:color w:val="000000" w:themeColor="text1"/>
                <w:sz w:val="21"/>
                <w:szCs w:val="21"/>
                <w:u w:val="none"/>
                <w14:textFill>
                  <w14:solidFill>
                    <w14:schemeClr w14:val="tx1"/>
                  </w14:solidFill>
                </w14:textFill>
              </w:rPr>
            </w:pPr>
            <w:r>
              <w:rPr>
                <w:rFonts w:hint="eastAsia" w:ascii="宋体" w:hAnsi="宋体" w:eastAsia="宋体" w:cs="宋体"/>
                <w:b/>
                <w:i w:val="0"/>
                <w:color w:val="000000" w:themeColor="text1"/>
                <w:kern w:val="0"/>
                <w:sz w:val="21"/>
                <w:szCs w:val="21"/>
                <w:u w:val="none"/>
                <w:lang w:val="en-US" w:eastAsia="zh-CN" w:bidi="ar"/>
                <w14:textFill>
                  <w14:solidFill>
                    <w14:schemeClr w14:val="tx1"/>
                  </w14:solidFill>
                </w14:textFill>
              </w:rPr>
              <w:t>二、非税收入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268,668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311,927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16.10%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10302</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专项收入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29,690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27,185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-8.44%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10304</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行政事业性收费收入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57,497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45,587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-20.71%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4"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10305</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罚没收入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25,999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20,714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-20.33%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10306</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国有资本经营收入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10 </w:t>
            </w:r>
          </w:p>
        </w:tc>
        <w:tc>
          <w:tcPr>
            <w:tcW w:w="1597"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10307</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w:t>
            </w:r>
            <w:r>
              <w:rPr>
                <w:rFonts w:hint="eastAsia" w:ascii="宋体" w:hAnsi="宋体" w:eastAsia="宋体" w:cs="宋体"/>
                <w:i w:val="0"/>
                <w:color w:val="000000" w:themeColor="text1"/>
                <w:spacing w:val="-6"/>
                <w:kern w:val="0"/>
                <w:sz w:val="21"/>
                <w:szCs w:val="21"/>
                <w:u w:val="none"/>
                <w:lang w:val="en-US" w:eastAsia="zh-CN" w:bidi="ar"/>
                <w14:textFill>
                  <w14:solidFill>
                    <w14:schemeClr w14:val="tx1"/>
                  </w14:solidFill>
                </w14:textFill>
              </w:rPr>
              <w:t>国有资源（资产）有偿使用收入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133,008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default"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202,605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52.33%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48"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10308</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捐赠收入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406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551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35.71%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6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10309</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政府住房基金收入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14,709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default"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9,479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-35.56%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63" w:hRule="exact"/>
          <w:jc w:val="center"/>
        </w:trPr>
        <w:tc>
          <w:tcPr>
            <w:tcW w:w="1226"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10399</w:t>
            </w: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color w:val="000000" w:themeColor="text1"/>
                <w:kern w:val="0"/>
                <w:sz w:val="21"/>
                <w:szCs w:val="21"/>
                <w:u w:val="none"/>
                <w:lang w:val="en-US" w:eastAsia="zh-CN" w:bidi="ar"/>
                <w14:textFill>
                  <w14:solidFill>
                    <w14:schemeClr w14:val="tx1"/>
                  </w14:solidFill>
                </w14:textFill>
              </w:rPr>
              <w:t xml:space="preserve">    其他收入</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themeColor="text1"/>
                <w:sz w:val="21"/>
                <w:szCs w:val="21"/>
                <w:u w:val="none"/>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7,349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default" w:ascii="宋体" w:hAnsi="宋体" w:eastAsia="宋体" w:cs="宋体"/>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i w:val="0"/>
                <w:iCs w:val="0"/>
                <w:color w:val="000000"/>
                <w:kern w:val="0"/>
                <w:sz w:val="21"/>
                <w:szCs w:val="21"/>
                <w:u w:val="none"/>
                <w:lang w:val="en-US" w:eastAsia="zh-CN" w:bidi="ar"/>
              </w:rPr>
              <w:t xml:space="preserve">5,806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21"/>
                <w:szCs w:val="21"/>
                <w:u w:val="none"/>
                <w14:textFill>
                  <w14:solidFill>
                    <w14:schemeClr w14:val="tx1"/>
                  </w14:solidFill>
                </w14:textFill>
              </w:rPr>
            </w:pPr>
            <w:r>
              <w:rPr>
                <w:rFonts w:hint="eastAsia" w:ascii="宋体" w:hAnsi="宋体" w:eastAsia="宋体" w:cs="宋体"/>
                <w:b w:val="0"/>
                <w:bCs w:val="0"/>
                <w:i w:val="0"/>
                <w:iCs w:val="0"/>
                <w:color w:val="000000"/>
                <w:kern w:val="0"/>
                <w:sz w:val="21"/>
                <w:szCs w:val="21"/>
                <w:u w:val="none"/>
                <w:lang w:val="en-US" w:eastAsia="zh-CN" w:bidi="ar"/>
              </w:rPr>
              <w:t>-21.00%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03" w:hRule="exact"/>
          <w:jc w:val="center"/>
        </w:trPr>
        <w:tc>
          <w:tcPr>
            <w:tcW w:w="1226" w:type="dxa"/>
            <w:tcBorders>
              <w:tl2br w:val="nil"/>
              <w:tr2bl w:val="nil"/>
            </w:tcBorders>
            <w:shd w:val="clear" w:color="auto" w:fill="FFFFFF"/>
            <w:tcMar>
              <w:top w:w="15" w:type="dxa"/>
              <w:left w:w="15" w:type="dxa"/>
              <w:right w:w="15" w:type="dxa"/>
            </w:tcMar>
            <w:vAlign w:val="bottom"/>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right="0"/>
              <w:jc w:val="center"/>
              <w:rPr>
                <w:rFonts w:hint="eastAsia" w:ascii="宋体" w:hAnsi="宋体" w:eastAsia="宋体" w:cs="宋体"/>
                <w:b/>
                <w:i w:val="0"/>
                <w:color w:val="000000" w:themeColor="text1"/>
                <w:sz w:val="21"/>
                <w:szCs w:val="21"/>
                <w:u w:val="none"/>
                <w14:textFill>
                  <w14:solidFill>
                    <w14:schemeClr w14:val="tx1"/>
                  </w14:solidFill>
                </w14:textFill>
              </w:rPr>
            </w:pPr>
          </w:p>
        </w:tc>
        <w:tc>
          <w:tcPr>
            <w:tcW w:w="3399"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i w:val="0"/>
                <w:color w:val="000000" w:themeColor="text1"/>
                <w:sz w:val="21"/>
                <w:szCs w:val="21"/>
                <w:u w:val="none"/>
                <w:lang w:val="en-US"/>
                <w14:textFill>
                  <w14:solidFill>
                    <w14:schemeClr w14:val="tx1"/>
                  </w14:solidFill>
                </w14:textFill>
              </w:rPr>
            </w:pPr>
            <w:r>
              <w:rPr>
                <w:rFonts w:hint="eastAsia" w:ascii="宋体" w:hAnsi="宋体" w:eastAsia="宋体" w:cs="宋体"/>
                <w:b/>
                <w:i w:val="0"/>
                <w:color w:val="000000" w:themeColor="text1"/>
                <w:kern w:val="0"/>
                <w:sz w:val="21"/>
                <w:szCs w:val="21"/>
                <w:u w:val="none"/>
                <w:lang w:val="en-US" w:eastAsia="zh-CN" w:bidi="ar"/>
                <w14:textFill>
                  <w14:solidFill>
                    <w14:schemeClr w14:val="tx1"/>
                  </w14:solidFill>
                </w14:textFill>
              </w:rPr>
              <w:t>一般公共预算收入合计</w:t>
            </w:r>
          </w:p>
        </w:tc>
        <w:tc>
          <w:tcPr>
            <w:tcW w:w="1679" w:type="dxa"/>
            <w:tcBorders>
              <w:tl2br w:val="nil"/>
              <w:tr2bl w:val="nil"/>
            </w:tcBorders>
            <w:shd w:val="clear" w:color="auto" w:fill="FFFFFF"/>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763,889 </w:t>
            </w:r>
          </w:p>
        </w:tc>
        <w:tc>
          <w:tcPr>
            <w:tcW w:w="1597"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 xml:space="preserve">791,598 </w:t>
            </w:r>
          </w:p>
        </w:tc>
        <w:tc>
          <w:tcPr>
            <w:tcW w:w="1453"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iCs w:val="0"/>
                <w:color w:val="000000"/>
                <w:kern w:val="0"/>
                <w:sz w:val="21"/>
                <w:szCs w:val="21"/>
                <w:u w:val="none"/>
                <w:lang w:val="en-US" w:eastAsia="zh-CN" w:bidi="ar"/>
              </w:rPr>
              <w:t>3.63%</w:t>
            </w:r>
          </w:p>
        </w:tc>
      </w:tr>
    </w:tbl>
    <w:p>
      <w:pPr>
        <w:keepNext w:val="0"/>
        <w:keepLines w:val="0"/>
        <w:pageBreakBefore w:val="0"/>
        <w:widowControl w:val="0"/>
        <w:suppressLineNumbers w:val="0"/>
        <w:kinsoku/>
        <w:wordWrap/>
        <w:overflowPunct w:val="0"/>
        <w:topLinePunct w:val="0"/>
        <w:autoSpaceDE/>
        <w:autoSpaceDN/>
        <w:bidi w:val="0"/>
        <w:adjustRightInd/>
        <w:snapToGrid/>
        <w:jc w:val="both"/>
        <w:textAlignment w:val="bottom"/>
        <w:rPr>
          <w:rFonts w:hint="default" w:ascii="Times New Roman" w:hAnsi="Times New Roman" w:eastAsia="宋体" w:cs="Times New Roman"/>
          <w:i w:val="0"/>
          <w:color w:val="000000"/>
          <w:kern w:val="0"/>
          <w:sz w:val="24"/>
          <w:szCs w:val="24"/>
          <w:u w:val="none"/>
          <w:lang w:val="en-US" w:eastAsia="zh-CN" w:bidi="ar"/>
        </w:rPr>
      </w:pPr>
    </w:p>
    <w:tbl>
      <w:tblPr>
        <w:tblStyle w:val="15"/>
        <w:tblW w:w="149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9162"/>
        <w:gridCol w:w="573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56" w:hRule="atLeast"/>
        </w:trPr>
        <w:tc>
          <w:tcPr>
            <w:tcW w:w="9162"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themeColor="text1"/>
                <w:kern w:val="0"/>
                <w:sz w:val="21"/>
                <w:szCs w:val="21"/>
                <w:u w:val="none"/>
                <w:lang w:val="en-US" w:eastAsia="zh-CN" w:bidi="ar"/>
                <w14:textFill>
                  <w14:solidFill>
                    <w14:schemeClr w14:val="tx1"/>
                  </w14:solidFill>
                </w14:textFill>
              </w:rPr>
            </w:pPr>
            <w:r>
              <w:rPr>
                <w:rFonts w:hint="eastAsia" w:ascii="Times New Roman" w:hAnsi="Times New Roman" w:cs="Times New Roman"/>
                <w:i w:val="0"/>
                <w:color w:val="000000" w:themeColor="text1"/>
                <w:kern w:val="0"/>
                <w:sz w:val="21"/>
                <w:szCs w:val="21"/>
                <w:u w:val="none"/>
                <w:lang w:val="en-US" w:eastAsia="zh-CN" w:bidi="ar"/>
                <w14:textFill>
                  <w14:solidFill>
                    <w14:schemeClr w14:val="tx1"/>
                  </w14:solidFill>
                </w14:textFill>
              </w:rPr>
              <w:t>表2</w:t>
            </w:r>
          </w:p>
          <w:p>
            <w:pPr>
              <w:keepNext w:val="0"/>
              <w:keepLines w:val="0"/>
              <w:suppressLineNumbers w:val="0"/>
              <w:spacing w:before="0" w:beforeAutospacing="0" w:after="0" w:afterAutospacing="0"/>
              <w:ind w:left="0" w:right="0" w:firstLine="1928" w:firstLineChars="600"/>
              <w:jc w:val="both"/>
              <w:rPr>
                <w:rFonts w:hint="default" w:ascii="Times New Roman" w:hAnsi="Times New Roman" w:eastAsia="宋体" w:cs="Times New Roman"/>
                <w:i w:val="0"/>
                <w:color w:val="000000"/>
                <w:sz w:val="24"/>
                <w:szCs w:val="24"/>
                <w:u w:val="none"/>
              </w:rPr>
            </w:pPr>
            <w:r>
              <w:rPr>
                <w:rFonts w:hint="eastAsia" w:ascii="Times New Roman" w:hAnsi="Times New Roman" w:cs="Times New Roman"/>
                <w:b/>
                <w:bCs/>
                <w:i w:val="0"/>
                <w:color w:val="000000" w:themeColor="text1"/>
                <w:sz w:val="32"/>
                <w:szCs w:val="32"/>
                <w:u w:val="none"/>
                <w:lang w:val="en-US" w:eastAsia="zh-CN"/>
                <w14:textFill>
                  <w14:solidFill>
                    <w14:schemeClr w14:val="tx1"/>
                  </w14:solidFill>
                </w14:textFill>
              </w:rPr>
              <w:t>2025年吐鲁番市一般公共预算支出表</w:t>
            </w:r>
          </w:p>
        </w:tc>
        <w:tc>
          <w:tcPr>
            <w:tcW w:w="5738" w:type="dxa"/>
            <w:tcBorders>
              <w:top w:val="nil"/>
              <w:left w:val="nil"/>
              <w:bottom w:val="nil"/>
              <w:right w:val="nil"/>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right"/>
              <w:rPr>
                <w:rFonts w:hint="eastAsia" w:ascii="Times New Roman" w:hAnsi="Times New Roman" w:cs="Times New Roman"/>
                <w:b/>
                <w:bCs/>
                <w:i w:val="0"/>
                <w:color w:val="000000" w:themeColor="text1"/>
                <w:sz w:val="32"/>
                <w:szCs w:val="32"/>
                <w:u w:val="none"/>
                <w:lang w:val="en-US" w:eastAsia="zh-CN"/>
                <w14:textFill>
                  <w14:solidFill>
                    <w14:schemeClr w14:val="tx1"/>
                  </w14:solidFill>
                </w14:textFill>
              </w:rPr>
            </w:pPr>
          </w:p>
        </w:tc>
      </w:tr>
    </w:tbl>
    <w:p>
      <w:pPr>
        <w:keepNext w:val="0"/>
        <w:keepLines w:val="0"/>
        <w:pageBreakBefore w:val="0"/>
        <w:widowControl w:val="0"/>
        <w:kinsoku/>
        <w:wordWrap/>
        <w:overflowPunct w:val="0"/>
        <w:topLinePunct w:val="0"/>
        <w:autoSpaceDE/>
        <w:autoSpaceDN/>
        <w:bidi w:val="0"/>
        <w:adjustRightInd/>
        <w:snapToGrid/>
        <w:jc w:val="right"/>
        <w:rPr>
          <w:rFonts w:hint="default" w:ascii="Times New Roman" w:hAnsi="Times New Roman" w:cs="Times New Roman"/>
          <w:i w:val="0"/>
          <w:color w:val="000000"/>
          <w:sz w:val="24"/>
          <w:szCs w:val="24"/>
          <w:u w:val="none"/>
          <w:lang w:val="en-US" w:eastAsia="zh-CN"/>
        </w:rPr>
      </w:pPr>
      <w:r>
        <w:rPr>
          <w:rFonts w:hint="eastAsia" w:ascii="Times New Roman" w:hAnsi="Times New Roman" w:cs="Times New Roman"/>
          <w:i w:val="0"/>
          <w:color w:val="000000"/>
          <w:sz w:val="24"/>
          <w:szCs w:val="24"/>
          <w:u w:val="none"/>
          <w:lang w:val="en-US" w:eastAsia="zh-CN"/>
        </w:rPr>
        <w:t xml:space="preserve">     单位：万元</w:t>
      </w:r>
    </w:p>
    <w:tbl>
      <w:tblPr>
        <w:tblStyle w:val="15"/>
        <w:tblW w:w="9185"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64"/>
        <w:gridCol w:w="4016"/>
        <w:gridCol w:w="1237"/>
        <w:gridCol w:w="1249"/>
        <w:gridCol w:w="14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10" w:hRule="atLeast"/>
        </w:trPr>
        <w:tc>
          <w:tcPr>
            <w:tcW w:w="126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科目编码</w:t>
            </w:r>
          </w:p>
        </w:tc>
        <w:tc>
          <w:tcPr>
            <w:tcW w:w="401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    目</w:t>
            </w:r>
          </w:p>
        </w:tc>
        <w:tc>
          <w:tcPr>
            <w:tcW w:w="123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2024年预算数</w:t>
            </w:r>
          </w:p>
        </w:tc>
        <w:tc>
          <w:tcPr>
            <w:tcW w:w="124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2025年预算数</w:t>
            </w:r>
          </w:p>
        </w:tc>
        <w:tc>
          <w:tcPr>
            <w:tcW w:w="141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比上年预算数增 (减)%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0" w:hRule="atLeast"/>
        </w:trPr>
        <w:tc>
          <w:tcPr>
            <w:tcW w:w="126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c>
          <w:tcPr>
            <w:tcW w:w="401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c>
          <w:tcPr>
            <w:tcW w:w="123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c>
          <w:tcPr>
            <w:tcW w:w="124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c>
          <w:tcPr>
            <w:tcW w:w="141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一、一般公共服务支出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156,470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169,106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人大事务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2,280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1,639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94.98%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人大会议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-75.74%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人大立法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人大监督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人大代表履职能力提升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代表工作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其他人大事务支出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政协事务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1,352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政协会议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2010299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其他政协事务支出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政府办公厅（室）及相关机构事务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69,454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74,068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49,298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51,796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2,704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2010305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专项业务及机关事务管理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1,226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其他政府办公厅（室）及相关机构事务支出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15,867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16,763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发展与改革事务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6,176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78.96%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1,526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1,533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1,658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563.20%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2010406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社会事业发展规划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2010450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其他发展与改革事务支出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2,809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87.14%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统计信息事务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45.15%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专项统计业务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46.51%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专项普查活动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统计抽样调查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其他统计信息事务支出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财政事务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4,660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49.12%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2,589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75.63%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2010607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信息化建设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其他财政事务支出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419.53%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税收事务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-19.49%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-27.87%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2010710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税收业务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其他税收事务支出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审计事务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118.13%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2010804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审计业务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303.64%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其他审计管理事务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海关事务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2010905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缉私办案</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纪检监察事务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7,747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7,376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6,046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5,877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巡视工作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其他纪检监察事务支出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商贸事务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3,144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-87.08%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对外贸易管理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招商引资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其他商贸事务支出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-67.75%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知识产权事务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2011409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知识产权宏观管理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民族事务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档案事务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2012604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档案馆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2012699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其他档案事务支出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民主党派及工商联事务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-79.25%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其他民主党派及工商联事务支出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群众团体事务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29.21%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2012902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2012906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工会事务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2012950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2012999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其他群众团体事务支出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党委办公厅（室）及相关机构事务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8,471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7,814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122.61%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2013150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其他党委办公厅（室）及相关机构事务支出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-72.67%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组织事务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34,747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34,854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15,906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20,639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4,640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84.12%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公务员事务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其他组织事务支出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14,151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5,627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-60.24%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宣传事务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1,772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1,217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-74.84%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2013350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其他宣传事务支出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统战事务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4,806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4,707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宗教事务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华侨事务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其他统战事务支出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其他共产党事务支出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46.34%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2013699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其他共产党事务支出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网信事务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1,079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其他网信事务支出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市场监督管理事务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5,689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5,672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3,734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3,589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197.78%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市场主体管理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市场秩序执法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质量基础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药品事务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质量安全监管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食品安全监管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57.63%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其他市场监督管理事务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20139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社会工作事务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专项业务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2013999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其他社会工作事务支出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20140</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信访事务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2014004</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信访业务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2014050</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2014099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其他信访事务支出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20141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数据事务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2014101</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2014102</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2,803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2014103</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2014150</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2014199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其他数据事务支出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其他一般公共服务支出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-72.25%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2019999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其他一般公共服务支出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-72.25%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二、外交支出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其他外交支出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2029999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其他外交支出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三、国防支出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2,573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20306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国防动员</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2,573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1,274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-50.49%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2030601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兵役征集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2030603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人民防空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2030607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民兵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-51.19%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其他国防支出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2030699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其他国防动员支出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2039999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其他国防支出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四、公共安全支出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126,261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136,030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20401</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武装警察部队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2040199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其他武装警察部队支出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公安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107,908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117,564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70,734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72,192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10,084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1770.87%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信息化建设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执法办案</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特别业务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其他公安支出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35,773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34,263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国家安全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其他国家安全支出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检察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3,682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3,849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其他检察支出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法院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9,215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9,481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6,286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6,456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2040506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“两庭”建设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其他法院支出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2,067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司法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4,243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2040604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基层司法业务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其他司法支出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强制隔离戒毒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其他强制隔离戒毒支出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其他公共安全支出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-31.85%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2049999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其他公共安全支出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五、教育支出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257,895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241,002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教育管理事务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9,320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9,583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7,536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364.29%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其他教育管理事务支出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1,211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普通教育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219,323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203,254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学前教育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16,433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13,827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小学教育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123,805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111,703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初中教育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57,078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55,204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高中教育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17,162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16,956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其他普通教育支出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职业教育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14,925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15,506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中等职业教育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11,345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2050303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技校教育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2050305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高等职业教育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其他职业教育支出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208.88%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广播电视教育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广播电视学校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其他广播电视教育支出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特殊教育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775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813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特殊学校教育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其他特殊教育支出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进修及培训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5,283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4,607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干部教育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4,607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教育费附加安排的支出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7,000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2050999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其他教育费附加安排的支出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3,955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-99.90%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2059999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其他教育支出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-99.90%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六、科学技术支出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2,785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2,699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科学技术管理事务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-54.10%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-30.28%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其他科学技术管理事务支出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基础研究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自然科学基金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2060208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科技人才队伍建设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应用研究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机构运行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专项科研试制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技术研究与开发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874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科技成果转化与扩散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374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968.57%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其他技术研究与开发支出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科技条件与服务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-14.29%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2060503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科技条件专项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其他科技条件与服务支出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科学技术普及</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26.89%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科普活动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65.12%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2060703</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青少年科技活动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2060705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科技馆站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24.03%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其他科学技术普及支出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科技交流与合作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2060801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国际交流与合作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其他科学技术支出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2069999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其他科学技术支出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七、文化旅游体育与传媒支出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12,206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40,395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230.94%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文化和旅游</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12,206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15,400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26.17%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2,187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2,668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3,832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43.63%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图书馆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艺术表演团体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2,184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953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-56.36%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文化活动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280.39%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群众文化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文化和旅游交流与合作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文化创作与保护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883.33%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文化和旅游市场管理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旅游宣传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文化和旅游管理事务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其他文化和旅游支出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3,476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103.86%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文物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16,704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34.46%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文物保护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12,082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9,654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博物馆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620.53%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2070206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历史名城与古迹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体育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896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-52.01%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2070307</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体育场馆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2070308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群众体育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-80.41%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其他体育支出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217.24%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新闻出版电影</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2,183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2070605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出版发行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1,969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其他新闻出版电影支出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广播电视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2,077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2,303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2070808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广播电视事务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1,536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其他广播电视支出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其他文化旅游体育与传媒支出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1,984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59.12%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2079999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其他文化旅游体育与传媒支出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1,984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59.12%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八、社会保障和就业支出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125,322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124,799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人力资源和社会保障管理事务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6,119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5,960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2,268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劳动保障监察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就业管理事务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社会保险业务管理事务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社会保险经办机构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公共就业服务和职业技能鉴定机构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919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30.54%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劳动人事争议调解仲裁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-28.57%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其他人力资源和社会保障管理事务支出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民政管理事务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2,554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-26.80%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1,879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社会组织管理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行政区划和地名管理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-37.50%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老龄事务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2080299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其他民政管理事务支出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623.08%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行政事业单位养老支出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67,342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71,845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行政单位离退休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4,871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4,775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事业单位离退休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6,870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6,292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2080505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机关事业单位基本养老保险缴费支出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42,108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45,034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2080506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机关事业单位职业年金缴费支出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9,893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-47.28%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2080507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对机关事业单位基本养老保险基金的补助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10,528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192.44%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企业改革补助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709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企业关闭破产补助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709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就业补助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7,799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6,827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就业创业服务补贴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162.67%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职业培训补贴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94.97%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社会保险补贴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3,844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3,491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公益性岗位补贴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1,952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职业技能评价补贴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就业见习补贴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求职和创业补贴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其他就业补助支出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-75.65%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抚恤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5,055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6,434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27.28%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死亡抚恤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伤残抚恤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128.50%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义务兵优待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2080806</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农村籍退役士兵老年生活补助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光荣院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褒扬纪念</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其他优抚支出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退役安置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1,371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-15.11%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退役士兵安置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-24.24%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军队移交政府的离退休人员安置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-25.74%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军队移交政府离退休干部管理机构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1376.92%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退役士兵管理教育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军队转业干部安置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-33.84%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2080999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其他退役安置支出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513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社会福利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3,269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145.60%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儿童福利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-84.79%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老年福利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殡葬</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68.37%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社会福利事业单位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养老服务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2,333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233200%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2081099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其他社会福利支出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残疾人事业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2,752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残疾人康复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残疾人就业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残疾人生活和护理补贴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其他残疾人事业支出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红十字事业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2081650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其他红十字事业支出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最低生活保障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6,020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13,545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城市最低生活保障金支出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1,439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95.25%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2081902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农村最低生活保障金支出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12,106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129.15%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临时救助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644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633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临时救助支出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2082002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流浪乞讨人员救助支出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-47.62%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特困人员救助供养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27.19%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城市特困人员救助供养支出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农村特困人员救助供养支出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财政对基本养老保险基金的补助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8,722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5,873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-32.66%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财政对企业职工基本养老保险基金的补助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691.76%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财政对城乡居民基本养老保险基金的补助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8,637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-39.79%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财政对其他社会保险基金的补助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其他财政对社会保险基金的补助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退役军人管理事务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2082801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2082802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2082804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拥军优属</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军供保障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2082899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其他退役军人事务管理支出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20830</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财政代缴社会保险费支出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2083001</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财政代缴城乡居民基本养老保险费支出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其他社会保障和就业支出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11,714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363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-96.90%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2089999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其他社会保障和就业支出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11,714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-96.90%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九、卫生健康支出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102,605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111,231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卫生健康管理事务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2,131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3,330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56.26%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2,358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113.20%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141.82%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其他卫生健康管理事务支出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公立医院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12,706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14,724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15.88%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综合医院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8,937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中医（民族）医院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精神病医院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其他公立医院支出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1,452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233.03%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基层医疗卫生机构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11,971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城市社区卫生机构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乡镇卫生院</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10,957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10,612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其他基层医疗卫生机构支出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公共卫生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18,878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22,710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疾病预防控制机构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3,465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卫生监督机构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576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妇幼保健机构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1,682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采供血机构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49.61%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基本公共卫生服务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重大公共卫生服务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1,446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-34.36%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突发公共卫生事件应急处理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其他公共卫生支出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计划生育事务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18.67%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2100716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计划生育机构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2100717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计划生育服务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2,729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3,370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其他计划生育事务支出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行政事业单位医疗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20,712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20,875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行政单位医疗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10,311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事业单位医疗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6,851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8,437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公务员医疗补助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2,077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-38.51%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其他行政事业单位医疗支出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财政对基本医疗保险基金的补助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28,439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29,772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财政对城乡居民基本医疗保险基金的补助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28,439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29,772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医疗救助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2,493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2,722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城乡医疗救助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2,059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疾病应急救助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其他医疗救助支出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优抚对象医疗</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优抚对象医疗补助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其他优抚对象医疗支出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医疗保障管理事务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1,344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1,167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-13.17%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577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574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-67.74%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信息化建设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-58.74%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医疗保障经办事务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449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其他医疗保障管理事务支出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475.00%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中医药事务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2101704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中医（民族医）药专项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21099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其他卫生健康支出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44.83%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2109999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其他卫生健康支出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十、节能环保支出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12,481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19,512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56.33%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环境保护管理事务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969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生态环境保护行政许可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环境监测与监察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-75.92%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建设项目环评审查与监督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其他环境监测与监察支出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-82.66%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污染防治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4,063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7,288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79.37%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大气</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2,093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1,754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214.77%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固体废弃物与化学品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2110307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土壤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自然生态保护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1,175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5,992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409.96%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生态保护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2447.00%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农村环境保护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849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-56.89%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生物及物种资源保护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草原生态修复治理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2110406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自然保护地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-86.96%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2110499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其他自然生态保护支出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森林保护修复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森林管护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风沙荒漠治理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其他风沙荒漠治理支出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924</w:t>
            </w:r>
            <w:r>
              <w:rPr>
                <w:rFonts w:hint="eastAsia" w:ascii="宋体" w:hAnsi="宋体" w:eastAsia="宋体" w:cs="宋体"/>
                <w:b/>
                <w:bCs/>
                <w:i w:val="0"/>
                <w:iCs w:val="0"/>
                <w:color w:val="000000"/>
                <w:kern w:val="0"/>
                <w:sz w:val="20"/>
                <w:szCs w:val="20"/>
                <w:u w:val="none"/>
                <w:lang w:val="en-US" w:eastAsia="zh-CN" w:bidi="ar"/>
              </w:rPr>
              <w:t xml:space="preserve">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能源节约利用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3,116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-45.70%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2111001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能源节约利用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3,116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-45.70%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污染减排</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39.24%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2111101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生态环境监测与信息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256.52%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2111102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生态环境执法监察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2111103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减排专项支出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其他节能环保支出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-21.33%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2119999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其他节能环保支出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十一、城乡社区支出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116,107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78,629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-32.28%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城乡社区管理事务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14,120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12,445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城管执法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市政公用行业市场监管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住宅建设与房地产市场监管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其他城乡社区管理事务支出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-98.35%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城乡社区规划与管理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城乡社区规划与管理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城乡社区公共设施</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94,883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57,612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-39.28%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2120303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小城镇基础设施建设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5,490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其他城乡社区公共设施支出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89,958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52,122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城乡社区环境卫生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6,288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4,285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-31.85%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城乡社区环境卫生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6,288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建设市场管理与监督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建设市场管理与监督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其他城乡社区支出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2,183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2129999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其他城乡社区支出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十二、农林水支出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157,629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157,331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农业农村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37,584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46,485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23.68%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3,834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机关服务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4,976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4,193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科技转化与推广服务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841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2903.57%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病虫害控制</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598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795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农产品质量安全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执法监管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行业业务管理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防灾救灾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农业生产发展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6,479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农村合作经济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农产品加工与促销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476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农业生态资源保护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6,888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2130148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渔业发展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2130153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耕地建设与利用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11,408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16,100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41.13%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其他农业农村支出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85.15%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林业和草原</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15,840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12,488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-21.16%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1,462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1,597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2,046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森林资源培育</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2,543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技术推广与转化</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2130209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森林生态效益补偿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动植物保护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执法与监督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防沙治沙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产业化管理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林业草原防灾减灾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106.87%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2130236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草原管理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-44.74%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2130238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退耕还林还草</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833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其他林业和草原支出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-29.88%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水利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49,319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51,256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2,698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水利行业业务管理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水利工程建设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20,182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17,862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水利工程运行与维护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-70.91%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水利前期工作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水土保持</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水资源节约管理与保护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4,467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水文测报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防汛</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2130315</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抗旱</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农村水利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15,671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-99.97%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水利技术推广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江河湖库水系综合整治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752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5,244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597.34%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大中型水库移民后期扶持专项支出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-94.63%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水利安全监督</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农村供水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136.50%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其他水利支出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4,373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19,942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356.03%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巩固脱贫攻坚成果衔接乡村振兴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35,201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40,423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14.83%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2130501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268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2130502</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2130504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农村基础设施建设</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1,645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25.59%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2130505</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生产发展</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16,397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1,471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2130599</w:t>
            </w:r>
          </w:p>
        </w:tc>
        <w:tc>
          <w:tcPr>
            <w:tcW w:w="401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其他巩固脱贫攻坚成果衔接乡村振兴</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16,861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36,886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118.77%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21307</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农村综合改革</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1,323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2130701</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对村级公益事业建设的补助</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1,299 </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1,328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2130704</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国有农场办社会职能改革补助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其他农村综合改革支出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普惠金融发展支出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2,108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22.77%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2130803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农业保险保费补贴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2,104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2130804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创业担保贷款贴息及奖补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2130899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其他普惠金融发展支出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目标价格补贴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2130901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棉花目标价格补贴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3,206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其他农林水支出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16,645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-99.91%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2139999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其他农林水支出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16,645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-99.91%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十三、交通运输支出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32,161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40,332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25.41%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公路水路运输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23,958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32,661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36.33%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2,087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公路建设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10,728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22,894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113.40%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公路养护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2,891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公路运输管理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其他公路水路运输支出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8,117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5,273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-35.04%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21403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民用航空运输</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5,400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2140399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其他民用航空运输支出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5,400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邮政业支出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2140504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行业监管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140.91%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其他邮政业支出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其他交通运输支出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2,779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2,216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2149901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公共交通运营补助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1,961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2149999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其他交通运输支出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170.90%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十四、资源勘探工业信息等支出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38,301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44,152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15.28%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资源勘探开发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9,692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4,525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-53.31%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其他资源勘探业支出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9,692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4,525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-53.31%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制造业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7,316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1775.90%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纺织业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390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7,316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1775.90%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工业和信息产业</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-13.73%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2150502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2150517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产业发展</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2150599</w:t>
            </w:r>
          </w:p>
        </w:tc>
        <w:tc>
          <w:tcPr>
            <w:tcW w:w="401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其他工业和信息产业监管支出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国有资产监管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26,194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31,458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2150701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704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2150799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其他国有资产监管支出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25,439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30,873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支持中小企业发展和管理支出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2150805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中小企业发展专项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其他资源勘探工业信息等支出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1,714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584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-65.93%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2159904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技术改造支出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1,714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-91.31%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2159906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重点产业振兴和技术改造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2159999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其他资源勘探工业信息等支出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十五、商业服务业等支出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89.44%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商业流通事务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1,070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1,085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31.53%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2160219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民贸民品贷款贴息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2160250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337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2160299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其他商业流通事务支出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21606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涉外发展服务支出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126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221.43%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2160699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其他涉外发展服务支出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221.43%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21699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其他商业服务业等支出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604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1,920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217.88%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2169901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服务业基础设施建设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2169999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其他商业服务业等支出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211.26%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十六、金融支出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21702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金融部门监管支出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2170202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金融服务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21703</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金融发展支出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2170302</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利息费用补贴支出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十七、自然资源海洋气象等支出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6,312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18,334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190.46%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22001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自然资源事务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5,940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18,181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1,879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2,311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22.99%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-69.51%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自然资源规划及管理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自然资源利用与保护</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10,080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自然资源行业业务管理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195.18%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自然资源调查与确权登记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163.75%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地质勘查与矿产资源管理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1,795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基础测绘与地理信息监管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384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156.00%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684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783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14.47%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其他自然资源事务支出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22005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气象事务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153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-42.48%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2200504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气象事业机构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2200509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气象服务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-55.67%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2200599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其他气象事务支出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22099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其他自然资源海洋气象等支出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2209999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其他自然资源海洋气象等支出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十八、住房保障支出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58,727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75,566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28.67%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保障性安居工程支出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26,632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37,880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42.23%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棚户区改造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10,269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9,804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少数民族地区游牧民定居工程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农村危房改造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83.59%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公共租赁住房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12,005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2210108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老旧小区改造</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3,003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20,996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599.17%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2210110</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保障性租赁住房</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配租型住房保障</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2,526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其他保障性安居工程支出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989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4,161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320.73%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住房改革支出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31,513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35,895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住房公积金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31,513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35,895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2210111</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 xml:space="preserve">配租型住房保障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22103</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城乡社区住宅</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582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1,791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207.73%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2210301</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公有住房建设和维修改造支出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2210399</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其他城乡社区住宅支出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582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1,636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181.10%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十九、粮油物资储备支出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459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373.20%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粮油物资事务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-17.53%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2220115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粮食风险基金</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2220199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其他粮油物资事物支出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粮油储备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2220499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其他粮油储备支出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22205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重要商品储备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2220511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应急物资储备</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344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二十、灾害防治及应急管理支出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13,505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10,919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-19.15%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应急管理事务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4,958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6,651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34.15%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1,185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1,764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48.86%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灾害风险防治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4,299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358.32%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安全监管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508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2240108</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应急救援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2240109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应急管理</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130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72.34%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2240199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其他应急管理支出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2,115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129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-93.90%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消防救援事务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3,838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2,444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-36.32%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672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943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1,095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634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-42.10%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2240204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消防应急救援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2,071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867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-58.14%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矿山安全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4,260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1,175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-72.42%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2240404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矿山安全监察事务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4,000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-93.58%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矿山应急救援事务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78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2240450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事业运行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其他矿山安全支出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554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地震事务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233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2240501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行政运行</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145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154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6.21%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iCs w:val="0"/>
                <w:color w:val="000000"/>
                <w:sz w:val="20"/>
                <w:szCs w:val="20"/>
                <w:u w:val="none"/>
              </w:rPr>
            </w:pPr>
            <w:r>
              <w:rPr>
                <w:rFonts w:hint="default" w:ascii="Times New Roman" w:hAnsi="Times New Roman" w:eastAsia="宋体" w:cs="Times New Roman"/>
                <w:i w:val="0"/>
                <w:iCs w:val="0"/>
                <w:color w:val="000000"/>
                <w:kern w:val="0"/>
                <w:sz w:val="20"/>
                <w:szCs w:val="20"/>
                <w:u w:val="none"/>
                <w:lang w:val="en-US" w:eastAsia="zh-CN" w:bidi="ar"/>
              </w:rPr>
              <w:t>2240502</w:t>
            </w: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一般行政管理事务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2240504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地震监测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2240505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地震预测预报</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2240550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地震事业机构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-13.04%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自然灾害防治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2240601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地质灾害防治</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20"/>
                <w:szCs w:val="20"/>
                <w:u w:val="none"/>
              </w:rPr>
            </w:pP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2240602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森林草原防灾减灾</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22407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自然灾害救灾及恢复重建支出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264.55%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2240703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自然灾害救灾补助</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264.55%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22499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其他灾害防治及应急管理支出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2249999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其他灾害防治及应急管理支出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106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二十一、预备费</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16,717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16,175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-3.24%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二十二、其他支出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74,032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131,777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22902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年初预留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44,074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32,156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-27.04%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2290201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年初预留</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44,074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32,156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-27.04%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22999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其他支出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29,958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99,621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232.54%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2299999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其他支出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29,958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99,621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232.54%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二十三、债务付息支出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28,041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30,107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7.37%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23202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中央政府国外债务付息支出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350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2320203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中央政府向国际金融组织借款付息支出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28,041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350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-98.75%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23203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地方政府一般债务付息支出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26,799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29,757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11.04%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2320301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地方政府一般债券付息支出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26,799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27,001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0.75%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2320302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地方政府向外国政府借款付息支出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1,242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1,642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32.21%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2320303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地方政府向国际组织借款付息支出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0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1,114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二十四、债务发行费用支出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126.56%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23303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地方政府一般债务发行费用支出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126.56%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2330301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地方政府一般债务发行费用支出</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64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iCs w:val="0"/>
                <w:color w:val="000000"/>
                <w:sz w:val="20"/>
                <w:szCs w:val="20"/>
                <w:u w:val="none"/>
              </w:rPr>
            </w:pPr>
            <w:r>
              <w:rPr>
                <w:rFonts w:hint="eastAsia" w:ascii="宋体" w:hAnsi="宋体" w:eastAsia="宋体" w:cs="宋体"/>
                <w:b w:val="0"/>
                <w:bCs w:val="0"/>
                <w:i w:val="0"/>
                <w:iCs w:val="0"/>
                <w:color w:val="000000"/>
                <w:kern w:val="0"/>
                <w:sz w:val="20"/>
                <w:szCs w:val="20"/>
                <w:u w:val="none"/>
                <w:lang w:val="en-US" w:eastAsia="zh-CN" w:bidi="ar"/>
              </w:rPr>
              <w:t xml:space="preserve">145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val="0"/>
                <w:bCs w:val="0"/>
                <w:i w:val="0"/>
                <w:iCs w:val="0"/>
                <w:color w:val="000000"/>
                <w:sz w:val="20"/>
                <w:szCs w:val="20"/>
                <w:u w:val="none"/>
              </w:rPr>
            </w:pPr>
            <w:r>
              <w:rPr>
                <w:rFonts w:hint="default" w:ascii="Times New Roman" w:hAnsi="Times New Roman" w:eastAsia="宋体" w:cs="Times New Roman"/>
                <w:b w:val="0"/>
                <w:bCs w:val="0"/>
                <w:i w:val="0"/>
                <w:iCs w:val="0"/>
                <w:color w:val="000000"/>
                <w:kern w:val="0"/>
                <w:sz w:val="20"/>
                <w:szCs w:val="20"/>
                <w:u w:val="none"/>
                <w:lang w:val="en-US" w:eastAsia="zh-CN" w:bidi="ar"/>
              </w:rPr>
              <w:t>126.56%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26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0"/>
                <w:szCs w:val="20"/>
                <w:u w:val="none"/>
              </w:rPr>
            </w:pPr>
          </w:p>
        </w:tc>
        <w:tc>
          <w:tcPr>
            <w:tcW w:w="401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一般公共预算支出合计</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1,361,686 </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 xml:space="preserve">1,453,872 </w:t>
            </w:r>
          </w:p>
        </w:tc>
        <w:tc>
          <w:tcPr>
            <w:tcW w:w="1419"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default" w:ascii="Times New Roman" w:hAnsi="Times New Roman" w:eastAsia="宋体" w:cs="Times New Roman"/>
                <w:b/>
                <w:bCs/>
                <w:i w:val="0"/>
                <w:iCs w:val="0"/>
                <w:color w:val="000000"/>
                <w:sz w:val="20"/>
                <w:szCs w:val="20"/>
                <w:u w:val="none"/>
              </w:rPr>
            </w:pPr>
            <w:r>
              <w:rPr>
                <w:rFonts w:hint="default" w:ascii="Times New Roman" w:hAnsi="Times New Roman" w:eastAsia="宋体" w:cs="Times New Roman"/>
                <w:b/>
                <w:bCs/>
                <w:i w:val="0"/>
                <w:iCs w:val="0"/>
                <w:color w:val="000000"/>
                <w:kern w:val="0"/>
                <w:sz w:val="20"/>
                <w:szCs w:val="20"/>
                <w:u w:val="none"/>
                <w:lang w:val="en-US" w:eastAsia="zh-CN" w:bidi="ar"/>
              </w:rPr>
              <w:t>6.77%</w:t>
            </w:r>
          </w:p>
        </w:tc>
      </w:tr>
    </w:tbl>
    <w:p>
      <w:pPr>
        <w:keepNext w:val="0"/>
        <w:keepLines w:val="0"/>
        <w:pageBreakBefore w:val="0"/>
        <w:widowControl w:val="0"/>
        <w:kinsoku/>
        <w:wordWrap/>
        <w:overflowPunct w:val="0"/>
        <w:topLinePunct w:val="0"/>
        <w:autoSpaceDE/>
        <w:autoSpaceDN/>
        <w:bidi w:val="0"/>
        <w:adjustRightInd/>
        <w:snapToGrid/>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pPr>
    </w:p>
    <w:p>
      <w:pPr>
        <w:pStyle w:val="2"/>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pPr>
    </w:p>
    <w:p>
      <w:pPr>
        <w:pStyle w:val="2"/>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rPr>
          <w:rFonts w:hint="eastAsia" w:asciiTheme="majorEastAsia" w:hAnsiTheme="majorEastAsia" w:eastAsiaTheme="majorEastAsia" w:cstheme="majorEastAsia"/>
          <w:i w:val="0"/>
          <w:color w:val="000000" w:themeColor="text1"/>
          <w:kern w:val="0"/>
          <w:sz w:val="18"/>
          <w:szCs w:val="18"/>
          <w:u w:val="none"/>
          <w:lang w:val="en-US" w:eastAsia="zh-CN" w:bidi="ar"/>
          <w14:textFill>
            <w14:solidFill>
              <w14:schemeClr w14:val="tx1"/>
            </w14:solidFill>
          </w14:textFill>
        </w:rPr>
      </w:pPr>
      <w:r>
        <w:rPr>
          <w:rFonts w:hint="default" w:ascii="Times New Roman" w:hAnsi="Times New Roman" w:eastAsia="宋体" w:cs="Times New Roman"/>
          <w:i w:val="0"/>
          <w:color w:val="000000" w:themeColor="text1"/>
          <w:kern w:val="0"/>
          <w:sz w:val="18"/>
          <w:szCs w:val="18"/>
          <w:u w:val="none"/>
          <w:lang w:val="en-US" w:eastAsia="zh-CN" w:bidi="ar"/>
          <w14:textFill>
            <w14:solidFill>
              <w14:schemeClr w14:val="tx1"/>
            </w14:solidFill>
          </w14:textFill>
        </w:rPr>
        <w:t>表</w:t>
      </w:r>
      <w:r>
        <w:rPr>
          <w:rFonts w:hint="eastAsia" w:ascii="Times New Roman" w:hAnsi="Times New Roman" w:cs="Times New Roman"/>
          <w:i w:val="0"/>
          <w:color w:val="000000" w:themeColor="text1"/>
          <w:kern w:val="0"/>
          <w:sz w:val="18"/>
          <w:szCs w:val="18"/>
          <w:u w:val="none"/>
          <w:lang w:val="en-US" w:eastAsia="zh-CN" w:bidi="ar"/>
          <w14:textFill>
            <w14:solidFill>
              <w14:schemeClr w14:val="tx1"/>
            </w14:solidFill>
          </w14:textFill>
        </w:rPr>
        <w:t>3</w:t>
      </w:r>
    </w:p>
    <w:p>
      <w:pPr>
        <w:keepNext w:val="0"/>
        <w:keepLines w:val="0"/>
        <w:pageBreakBefore w:val="0"/>
        <w:widowControl w:val="0"/>
        <w:kinsoku/>
        <w:wordWrap/>
        <w:overflowPunct w:val="0"/>
        <w:topLinePunct w:val="0"/>
        <w:autoSpaceDE/>
        <w:autoSpaceDN/>
        <w:bidi w:val="0"/>
        <w:adjustRightInd/>
        <w:snapToGrid/>
        <w:jc w:val="center"/>
        <w:rPr>
          <w:rFonts w:hint="eastAsia" w:ascii="宋体" w:hAnsi="宋体" w:eastAsia="宋体" w:cs="宋体"/>
          <w:b/>
          <w:bCs w:val="0"/>
          <w:i w:val="0"/>
          <w:color w:val="000000" w:themeColor="text1"/>
          <w:w w:val="95"/>
          <w:sz w:val="32"/>
          <w:szCs w:val="32"/>
          <w:u w:val="none"/>
          <w:lang w:val="en-US"/>
          <w14:textFill>
            <w14:solidFill>
              <w14:schemeClr w14:val="tx1"/>
            </w14:solidFill>
          </w14:textFill>
        </w:rPr>
      </w:pPr>
      <w:r>
        <w:rPr>
          <w:rFonts w:hint="eastAsia" w:ascii="宋体" w:hAnsi="宋体" w:eastAsia="宋体" w:cs="宋体"/>
          <w:b/>
          <w:bCs w:val="0"/>
          <w:i w:val="0"/>
          <w:color w:val="000000" w:themeColor="text1"/>
          <w:w w:val="95"/>
          <w:kern w:val="0"/>
          <w:sz w:val="32"/>
          <w:szCs w:val="32"/>
          <w:u w:val="none"/>
          <w:lang w:val="en-US" w:eastAsia="zh-CN" w:bidi="ar"/>
          <w14:textFill>
            <w14:solidFill>
              <w14:schemeClr w14:val="tx1"/>
            </w14:solidFill>
          </w14:textFill>
        </w:rPr>
        <w:t>2025年吐鲁番市本级一般公共预算收入表</w:t>
      </w:r>
    </w:p>
    <w:p>
      <w:pPr>
        <w:keepNext w:val="0"/>
        <w:keepLines w:val="0"/>
        <w:pageBreakBefore w:val="0"/>
        <w:widowControl w:val="0"/>
        <w:suppressLineNumbers w:val="0"/>
        <w:tabs>
          <w:tab w:val="left" w:pos="1164"/>
        </w:tabs>
        <w:kinsoku/>
        <w:wordWrap/>
        <w:overflowPunct w:val="0"/>
        <w:topLinePunct w:val="0"/>
        <w:autoSpaceDE/>
        <w:autoSpaceDN/>
        <w:bidi w:val="0"/>
        <w:adjustRightInd/>
        <w:snapToGrid/>
        <w:jc w:val="right"/>
        <w:textAlignment w:val="center"/>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b w:val="0"/>
          <w:bCs w:val="0"/>
          <w:i w:val="0"/>
          <w:color w:val="000000" w:themeColor="text1"/>
          <w:sz w:val="18"/>
          <w:szCs w:val="18"/>
          <w:u w:val="none"/>
          <w14:textFill>
            <w14:solidFill>
              <w14:schemeClr w14:val="tx1"/>
            </w14:solidFill>
          </w14:textFill>
        </w:rPr>
        <w:tab/>
      </w:r>
      <w: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t>单位：万元</w:t>
      </w:r>
    </w:p>
    <w:tbl>
      <w:tblPr>
        <w:tblStyle w:val="15"/>
        <w:tblW w:w="9354"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3"/>
        <w:gridCol w:w="1065"/>
        <w:gridCol w:w="132"/>
        <w:gridCol w:w="2992"/>
        <w:gridCol w:w="318"/>
        <w:gridCol w:w="1423"/>
        <w:gridCol w:w="1764"/>
        <w:gridCol w:w="1357"/>
        <w:gridCol w:w="300"/>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875"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2"/>
                <w:sz w:val="18"/>
                <w:szCs w:val="18"/>
                <w:u w:val="none"/>
                <w:lang w:val="en-US" w:eastAsia="zh-CN" w:bidi="ar-SA"/>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科目编码</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2"/>
                <w:sz w:val="18"/>
                <w:szCs w:val="18"/>
                <w:u w:val="none"/>
                <w:lang w:val="en-US" w:eastAsia="zh-CN" w:bidi="ar-SA"/>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项    目</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2"/>
                <w:sz w:val="18"/>
                <w:szCs w:val="18"/>
                <w:u w:val="none"/>
                <w:lang w:val="en-US" w:eastAsia="zh-CN" w:bidi="ar-SA"/>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2024年预算数</w:t>
            </w:r>
          </w:p>
        </w:tc>
        <w:tc>
          <w:tcPr>
            <w:tcW w:w="1764" w:type="dxa"/>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2"/>
                <w:sz w:val="18"/>
                <w:szCs w:val="18"/>
                <w:u w:val="none"/>
                <w:lang w:val="en-US" w:eastAsia="zh-CN" w:bidi="ar-SA"/>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2025预算数</w:t>
            </w:r>
          </w:p>
        </w:tc>
        <w:tc>
          <w:tcPr>
            <w:tcW w:w="1657" w:type="dxa"/>
            <w:gridSpan w:val="2"/>
            <w:tcBorders>
              <w:tl2br w:val="nil"/>
              <w:tr2bl w:val="nil"/>
            </w:tcBorders>
            <w:shd w:val="clear" w:color="auto" w:fill="auto"/>
            <w:tcMar>
              <w:top w:w="15" w:type="dxa"/>
              <w:left w:w="15" w:type="dxa"/>
              <w:right w:w="15" w:type="dxa"/>
            </w:tcMar>
            <w:vAlign w:val="bottom"/>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比上年预算数增（减）%</w:t>
            </w: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2"/>
                <w:sz w:val="18"/>
                <w:szCs w:val="18"/>
                <w:u w:val="none"/>
                <w:lang w:val="en-US" w:eastAsia="zh-CN" w:bidi="ar-SA"/>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9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101</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 xml:space="preserve">  一、税收收入</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3,786</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32,625</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761.73%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10101</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增值税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19,150</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10104</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企业所得税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8,109</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10105</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企业所得税退税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10106</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个人所得税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1,634</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10107</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资源税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10109</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城市维护建设税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10110</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房产税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10111</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印花税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10112</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城镇土地使用税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10113</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土地增值税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10114</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车船税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10118</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耕地占用税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10119</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契税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10120</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烟叶税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10121</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环境保护税</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3786</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3,732</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-1.43%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07"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10199</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其他税收收入</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val="0"/>
                <w:i w:val="0"/>
                <w:color w:val="000000" w:themeColor="text1"/>
                <w:kern w:val="0"/>
                <w:sz w:val="18"/>
                <w:szCs w:val="18"/>
                <w:u w:val="none"/>
                <w:lang w:val="en-US" w:eastAsia="zh-CN" w:bidi="ar"/>
                <w14:textFill>
                  <w14:solidFill>
                    <w14:schemeClr w14:val="tx1"/>
                  </w14:solidFill>
                </w14:textFill>
              </w:rPr>
              <w:t>103</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val="0"/>
                <w:i w:val="0"/>
                <w:color w:val="000000" w:themeColor="text1"/>
                <w:kern w:val="0"/>
                <w:sz w:val="18"/>
                <w:szCs w:val="18"/>
                <w:u w:val="none"/>
                <w:lang w:val="en-US" w:eastAsia="zh-CN" w:bidi="ar"/>
                <w14:textFill>
                  <w14:solidFill>
                    <w14:schemeClr w14:val="tx1"/>
                  </w14:solidFill>
                </w14:textFill>
              </w:rPr>
              <w:t xml:space="preserve">  二、非税收入</w:t>
            </w:r>
          </w:p>
        </w:tc>
        <w:tc>
          <w:tcPr>
            <w:tcW w:w="1741" w:type="dxa"/>
            <w:gridSpan w:val="2"/>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val="0"/>
                <w:i w:val="0"/>
                <w:color w:val="000000" w:themeColor="text1"/>
                <w:kern w:val="0"/>
                <w:sz w:val="18"/>
                <w:szCs w:val="18"/>
                <w:u w:val="none"/>
                <w:lang w:val="en-US" w:eastAsia="zh-CN" w:bidi="ar"/>
                <w14:textFill>
                  <w14:solidFill>
                    <w14:schemeClr w14:val="tx1"/>
                  </w14:solidFill>
                </w14:textFill>
              </w:rPr>
              <w:t>50301</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58,197</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15.70%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10302</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专项收入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1,480</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1,197</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-19.12%</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10304</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行政事业性收费收入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17131</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10,897</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-36.39%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10305</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罚没收入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7,983</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8,644</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8.28%</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10306</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国有资本经营收入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9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10307</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国有资源（资产）有偿使用收入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10,797</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29,525</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173.46%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10308</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捐赠收入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suppressLineNumbers w:val="0"/>
              <w:spacing w:before="0" w:beforeAutospacing="0" w:after="0" w:afterAutospacing="0"/>
              <w:ind w:left="0" w:leftChars="0" w:right="0" w:rightChars="0"/>
              <w:jc w:val="right"/>
              <w:rPr>
                <w:rFonts w:hint="eastAsia" w:ascii="宋体" w:hAnsi="宋体" w:eastAsia="宋体" w:cs="宋体"/>
                <w:i w:val="0"/>
                <w:color w:val="000000" w:themeColor="text1"/>
                <w:sz w:val="18"/>
                <w:szCs w:val="18"/>
                <w:u w:val="none"/>
                <w14:textFill>
                  <w14:solidFill>
                    <w14:schemeClr w14:val="tx1"/>
                  </w14:solidFill>
                </w14:textFill>
              </w:rPr>
            </w:pP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10309</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政府住房基金收入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11000</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5,331</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-51.54%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70" w:hRule="exact"/>
          <w:jc w:val="center"/>
        </w:trPr>
        <w:tc>
          <w:tcPr>
            <w:tcW w:w="1200" w:type="dxa"/>
            <w:gridSpan w:val="3"/>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10399</w:t>
            </w:r>
          </w:p>
        </w:tc>
        <w:tc>
          <w:tcPr>
            <w:tcW w:w="299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 xml:space="preserve">    其他收入</w:t>
            </w:r>
          </w:p>
        </w:tc>
        <w:tc>
          <w:tcPr>
            <w:tcW w:w="1741" w:type="dxa"/>
            <w:gridSpan w:val="2"/>
            <w:tcBorders>
              <w:tl2br w:val="nil"/>
              <w:tr2bl w:val="nil"/>
            </w:tcBorders>
            <w:shd w:val="clear" w:color="auto" w:fill="FFFFFF"/>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1,900</w:t>
            </w:r>
          </w:p>
        </w:tc>
        <w:tc>
          <w:tcPr>
            <w:tcW w:w="1764" w:type="dxa"/>
            <w:tcBorders>
              <w:tl2br w:val="nil"/>
              <w:tr2bl w:val="nil"/>
            </w:tcBorders>
            <w:shd w:val="clear" w:color="auto" w:fill="auto"/>
            <w:tcMar>
              <w:top w:w="15" w:type="dxa"/>
              <w:left w:w="15" w:type="dxa"/>
              <w:right w:w="15" w:type="dxa"/>
            </w:tcMar>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2,603</w:t>
            </w:r>
          </w:p>
        </w:tc>
        <w:tc>
          <w:tcPr>
            <w:tcW w:w="1657" w:type="dxa"/>
            <w:gridSpan w:val="2"/>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val="0"/>
                <w:bCs w:val="0"/>
                <w:i w:val="0"/>
                <w:iCs w:val="0"/>
                <w:color w:val="000000"/>
                <w:kern w:val="0"/>
                <w:sz w:val="18"/>
                <w:szCs w:val="18"/>
                <w:u w:val="none"/>
                <w:lang w:val="en-US" w:eastAsia="zh-CN" w:bidi="ar"/>
              </w:rPr>
              <w:t>37.00%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70" w:hRule="exact"/>
          <w:jc w:val="center"/>
        </w:trPr>
        <w:tc>
          <w:tcPr>
            <w:tcW w:w="1200" w:type="dxa"/>
            <w:gridSpan w:val="3"/>
            <w:tcBorders>
              <w:tl2br w:val="nil"/>
              <w:tr2bl w:val="nil"/>
            </w:tcBorders>
            <w:shd w:val="clear" w:color="auto" w:fill="auto"/>
            <w:tcMar>
              <w:top w:w="15" w:type="dxa"/>
              <w:left w:w="15" w:type="dxa"/>
              <w:right w:w="15" w:type="dxa"/>
            </w:tcMar>
            <w:vAlign w:val="bottom"/>
          </w:tcPr>
          <w:p>
            <w:pPr>
              <w:keepNext w:val="0"/>
              <w:keepLines w:val="0"/>
              <w:pageBreakBefore w:val="0"/>
              <w:widowControl w:val="0"/>
              <w:suppressLineNumbers w:val="0"/>
              <w:kinsoku/>
              <w:wordWrap/>
              <w:overflowPunct w:val="0"/>
              <w:topLinePunct w:val="0"/>
              <w:autoSpaceDE/>
              <w:autoSpaceDN/>
              <w:bidi w:val="0"/>
              <w:adjustRightInd/>
              <w:snapToGrid/>
              <w:spacing w:before="0" w:beforeLines="0" w:beforeAutospacing="0" w:after="0" w:afterLines="0" w:afterAutospacing="0"/>
              <w:ind w:left="0" w:right="0"/>
              <w:jc w:val="center"/>
              <w:rPr>
                <w:rFonts w:hint="eastAsia" w:ascii="宋体" w:hAnsi="宋体" w:eastAsia="宋体" w:cs="宋体"/>
                <w:i w:val="0"/>
                <w:color w:val="000000" w:themeColor="text1"/>
                <w:sz w:val="18"/>
                <w:szCs w:val="18"/>
                <w:u w:val="none"/>
                <w14:textFill>
                  <w14:solidFill>
                    <w14:schemeClr w14:val="tx1"/>
                  </w14:solidFill>
                </w14:textFill>
              </w:rPr>
            </w:pPr>
          </w:p>
        </w:tc>
        <w:tc>
          <w:tcPr>
            <w:tcW w:w="2992" w:type="dxa"/>
            <w:tcBorders>
              <w:tl2br w:val="nil"/>
              <w:tr2bl w:val="nil"/>
            </w:tcBorders>
            <w:shd w:val="clear" w:color="auto" w:fill="auto"/>
            <w:tcMar>
              <w:top w:w="15" w:type="dxa"/>
              <w:left w:w="15" w:type="dxa"/>
              <w:right w:w="15" w:type="dxa"/>
            </w:tcMar>
            <w:vAlign w:val="bottom"/>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i w:val="0"/>
                <w:color w:val="000000" w:themeColor="text1"/>
                <w:sz w:val="18"/>
                <w:szCs w:val="18"/>
                <w:u w:val="none"/>
                <w:lang w:val="en-US"/>
                <w14:textFill>
                  <w14:solidFill>
                    <w14:schemeClr w14:val="tx1"/>
                  </w14:solidFill>
                </w14:textFill>
              </w:rPr>
            </w:pPr>
            <w:r>
              <w:rPr>
                <w:rFonts w:hint="eastAsia" w:ascii="宋体" w:hAnsi="宋体" w:eastAsia="宋体" w:cs="宋体"/>
                <w:b/>
                <w:i w:val="0"/>
                <w:color w:val="000000" w:themeColor="text1"/>
                <w:kern w:val="0"/>
                <w:sz w:val="18"/>
                <w:szCs w:val="18"/>
                <w:u w:val="none"/>
                <w:lang w:val="en-US" w:eastAsia="zh-CN" w:bidi="ar"/>
                <w14:textFill>
                  <w14:solidFill>
                    <w14:schemeClr w14:val="tx1"/>
                  </w14:solidFill>
                </w14:textFill>
              </w:rPr>
              <w:t>一般公共预算收入合计</w:t>
            </w:r>
          </w:p>
        </w:tc>
        <w:tc>
          <w:tcPr>
            <w:tcW w:w="1741" w:type="dxa"/>
            <w:gridSpan w:val="2"/>
            <w:tcBorders>
              <w:tl2br w:val="nil"/>
              <w:tr2bl w:val="nil"/>
            </w:tcBorders>
            <w:shd w:val="clear" w:color="auto" w:fill="auto"/>
            <w:tcMar>
              <w:top w:w="15" w:type="dxa"/>
              <w:left w:w="15" w:type="dxa"/>
              <w:right w:w="15" w:type="dxa"/>
            </w:tcMar>
            <w:vAlign w:val="bottom"/>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leftChars="0" w:right="0" w:rightChars="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b/>
                <w:i w:val="0"/>
                <w:color w:val="000000" w:themeColor="text1"/>
                <w:kern w:val="0"/>
                <w:sz w:val="18"/>
                <w:szCs w:val="18"/>
                <w:u w:val="none"/>
                <w:lang w:val="en-US" w:eastAsia="zh-CN" w:bidi="ar"/>
                <w14:textFill>
                  <w14:solidFill>
                    <w14:schemeClr w14:val="tx1"/>
                  </w14:solidFill>
                </w14:textFill>
              </w:rPr>
              <w:t>54,087</w:t>
            </w:r>
          </w:p>
        </w:tc>
        <w:tc>
          <w:tcPr>
            <w:tcW w:w="1764" w:type="dxa"/>
            <w:tcBorders>
              <w:tl2br w:val="nil"/>
              <w:tr2bl w:val="nil"/>
            </w:tcBorders>
            <w:shd w:val="clear" w:color="auto" w:fill="auto"/>
            <w:tcMar>
              <w:top w:w="15" w:type="dxa"/>
              <w:left w:w="15" w:type="dxa"/>
              <w:right w:w="15" w:type="dxa"/>
            </w:tcMar>
            <w:vAlign w:val="bottom"/>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908</w:t>
            </w:r>
            <w:r>
              <w:rPr>
                <w:rFonts w:hint="eastAsia" w:ascii="宋体" w:hAnsi="宋体" w:cs="宋体"/>
                <w:b/>
                <w:bCs/>
                <w:i w:val="0"/>
                <w:color w:val="000000" w:themeColor="text1"/>
                <w:kern w:val="0"/>
                <w:sz w:val="18"/>
                <w:szCs w:val="18"/>
                <w:u w:val="none"/>
                <w:lang w:val="en-US" w:eastAsia="zh-CN" w:bidi="ar"/>
                <w14:textFill>
                  <w14:solidFill>
                    <w14:schemeClr w14:val="tx1"/>
                  </w14:solidFill>
                </w14:textFill>
              </w:rPr>
              <w:t>2</w:t>
            </w:r>
            <w: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t>2</w:t>
            </w:r>
          </w:p>
        </w:tc>
        <w:tc>
          <w:tcPr>
            <w:tcW w:w="1657" w:type="dxa"/>
            <w:gridSpan w:val="2"/>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cs="宋体"/>
                <w:b/>
                <w:bCs/>
                <w:i w:val="0"/>
                <w:iCs w:val="0"/>
                <w:color w:val="000000"/>
                <w:kern w:val="0"/>
                <w:sz w:val="18"/>
                <w:szCs w:val="18"/>
                <w:u w:val="none"/>
                <w:lang w:val="en-US" w:eastAsia="zh-CN" w:bidi="ar"/>
              </w:rPr>
              <w:t>67.92</w:t>
            </w:r>
            <w:r>
              <w:rPr>
                <w:rFonts w:hint="eastAsia" w:ascii="宋体" w:hAnsi="宋体" w:eastAsia="宋体" w:cs="宋体"/>
                <w:b/>
                <w:bCs/>
                <w:i w:val="0"/>
                <w:iCs w:val="0"/>
                <w:color w:val="000000"/>
                <w:kern w:val="0"/>
                <w:sz w:val="18"/>
                <w:szCs w:val="18"/>
                <w:u w:val="none"/>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gridAfter w:val="1"/>
          <w:wBefore w:w="3" w:type="dxa"/>
          <w:wAfter w:w="300" w:type="dxa"/>
          <w:trHeight w:val="300" w:hRule="atLeast"/>
          <w:jc w:val="center"/>
        </w:trPr>
        <w:tc>
          <w:tcPr>
            <w:tcW w:w="1065" w:type="dxa"/>
            <w:tcBorders>
              <w:top w:val="nil"/>
              <w:left w:val="nil"/>
              <w:bottom w:val="nil"/>
              <w:right w:val="nil"/>
            </w:tcBorders>
            <w:shd w:val="clear" w:color="auto" w:fill="auto"/>
            <w:noWrap/>
            <w:tcMar>
              <w:top w:w="12" w:type="dxa"/>
              <w:left w:w="12" w:type="dxa"/>
              <w:right w:w="12" w:type="dxa"/>
            </w:tcMar>
            <w:vAlign w:val="bottom"/>
          </w:tcPr>
          <w:p>
            <w:pPr>
              <w:keepNext w:val="0"/>
              <w:keepLines w:val="0"/>
              <w:widowControl/>
              <w:suppressLineNumbers w:val="0"/>
              <w:spacing w:before="0" w:beforeAutospacing="0" w:after="0" w:afterAutospacing="0"/>
              <w:ind w:left="0" w:right="0" w:firstLine="240" w:firstLineChars="100"/>
              <w:jc w:val="both"/>
              <w:textAlignment w:val="bottom"/>
              <w:rPr>
                <w:rFonts w:hint="eastAsia" w:ascii="宋体" w:hAnsi="宋体" w:eastAsia="宋体" w:cs="宋体"/>
                <w:i w:val="0"/>
                <w:color w:val="FF0000"/>
                <w:sz w:val="32"/>
                <w:szCs w:val="32"/>
                <w:u w:val="none"/>
              </w:rPr>
            </w:pPr>
            <w:r>
              <w:rPr>
                <w:rFonts w:hint="eastAsia" w:ascii="宋体" w:hAnsi="宋体" w:eastAsia="宋体" w:cs="宋体"/>
                <w:i w:val="0"/>
                <w:color w:val="000000" w:themeColor="text1"/>
                <w:kern w:val="0"/>
                <w:sz w:val="24"/>
                <w:szCs w:val="24"/>
                <w:u w:val="none"/>
                <w:lang w:val="en-US" w:eastAsia="zh-CN" w:bidi="ar"/>
                <w14:textFill>
                  <w14:solidFill>
                    <w14:schemeClr w14:val="tx1"/>
                  </w14:solidFill>
                </w14:textFill>
              </w:rPr>
              <w:t>表4</w:t>
            </w:r>
          </w:p>
        </w:tc>
        <w:tc>
          <w:tcPr>
            <w:tcW w:w="3442" w:type="dxa"/>
            <w:gridSpan w:val="3"/>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FF0000"/>
                <w:sz w:val="32"/>
                <w:szCs w:val="32"/>
                <w:u w:val="none"/>
                <w:lang w:eastAsia="zh-CN"/>
              </w:rPr>
            </w:pPr>
            <w:r>
              <w:rPr>
                <w:rFonts w:hint="eastAsia" w:ascii="宋体" w:hAnsi="宋体" w:eastAsia="宋体" w:cs="宋体"/>
                <w:i w:val="0"/>
                <w:color w:val="FF0000"/>
                <w:sz w:val="32"/>
                <w:szCs w:val="32"/>
                <w:u w:val="none"/>
                <w:lang w:val="en-US" w:eastAsia="zh-CN"/>
              </w:rPr>
              <w:t xml:space="preserve"> </w:t>
            </w:r>
          </w:p>
        </w:tc>
        <w:tc>
          <w:tcPr>
            <w:tcW w:w="1423" w:type="dxa"/>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32"/>
                <w:szCs w:val="32"/>
                <w:u w:val="none"/>
              </w:rPr>
            </w:pPr>
          </w:p>
        </w:tc>
        <w:tc>
          <w:tcPr>
            <w:tcW w:w="1764" w:type="dxa"/>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32"/>
                <w:szCs w:val="32"/>
                <w:u w:val="none"/>
              </w:rPr>
            </w:pPr>
          </w:p>
        </w:tc>
        <w:tc>
          <w:tcPr>
            <w:tcW w:w="1357" w:type="dxa"/>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32"/>
                <w:szCs w:val="32"/>
                <w:u w:val="none"/>
              </w:rPr>
            </w:pPr>
          </w:p>
        </w:tc>
      </w:tr>
    </w:tbl>
    <w:tbl>
      <w:tblPr>
        <w:tblStyle w:val="15"/>
        <w:tblpPr w:leftFromText="180" w:rightFromText="180" w:vertAnchor="text" w:horzAnchor="page" w:tblpX="1525" w:tblpY="280"/>
        <w:tblOverlap w:val="never"/>
        <w:tblW w:w="174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139"/>
        <w:gridCol w:w="3648"/>
        <w:gridCol w:w="1417"/>
        <w:gridCol w:w="1325"/>
        <w:gridCol w:w="1215"/>
        <w:gridCol w:w="87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270" w:hRule="atLeast"/>
        </w:trPr>
        <w:tc>
          <w:tcPr>
            <w:tcW w:w="8744" w:type="dxa"/>
            <w:gridSpan w:val="5"/>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32"/>
                <w:szCs w:val="32"/>
                <w:u w:val="none"/>
              </w:rPr>
            </w:pPr>
            <w:r>
              <w:rPr>
                <w:rFonts w:hint="eastAsia" w:ascii="宋体" w:hAnsi="宋体" w:cs="宋体"/>
                <w:b/>
                <w:i w:val="0"/>
                <w:color w:val="000000"/>
                <w:kern w:val="0"/>
                <w:sz w:val="32"/>
                <w:szCs w:val="32"/>
                <w:u w:val="none"/>
                <w:lang w:val="en-US" w:eastAsia="zh-CN" w:bidi="ar"/>
              </w:rPr>
              <w:t xml:space="preserve">  </w:t>
            </w:r>
            <w:r>
              <w:rPr>
                <w:rFonts w:hint="eastAsia" w:ascii="宋体" w:hAnsi="宋体" w:eastAsia="宋体" w:cs="宋体"/>
                <w:b/>
                <w:i w:val="0"/>
                <w:color w:val="000000"/>
                <w:kern w:val="0"/>
                <w:sz w:val="32"/>
                <w:szCs w:val="32"/>
                <w:u w:val="none"/>
                <w:lang w:val="en-US" w:eastAsia="zh-CN" w:bidi="ar"/>
              </w:rPr>
              <w:t>202</w:t>
            </w:r>
            <w:r>
              <w:rPr>
                <w:rFonts w:hint="eastAsia" w:ascii="宋体" w:hAnsi="宋体" w:cs="宋体"/>
                <w:b/>
                <w:i w:val="0"/>
                <w:color w:val="000000"/>
                <w:kern w:val="0"/>
                <w:sz w:val="32"/>
                <w:szCs w:val="32"/>
                <w:u w:val="none"/>
                <w:lang w:val="en-US" w:eastAsia="zh-CN" w:bidi="ar"/>
              </w:rPr>
              <w:t>5</w:t>
            </w:r>
            <w:r>
              <w:rPr>
                <w:rFonts w:hint="eastAsia" w:ascii="宋体" w:hAnsi="宋体" w:eastAsia="宋体" w:cs="宋体"/>
                <w:b/>
                <w:i w:val="0"/>
                <w:color w:val="000000"/>
                <w:kern w:val="0"/>
                <w:sz w:val="32"/>
                <w:szCs w:val="32"/>
                <w:u w:val="none"/>
                <w:lang w:val="en-US" w:eastAsia="zh-CN" w:bidi="ar"/>
              </w:rPr>
              <w:t>年吐鲁番市本级一般公共预算支出表</w:t>
            </w:r>
          </w:p>
        </w:tc>
        <w:tc>
          <w:tcPr>
            <w:tcW w:w="8744"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i w:val="0"/>
                <w:color w:val="000000"/>
                <w:kern w:val="0"/>
                <w:sz w:val="32"/>
                <w:szCs w:val="32"/>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1139" w:type="dxa"/>
            <w:tcBorders>
              <w:top w:val="nil"/>
              <w:left w:val="nil"/>
              <w:bottom w:val="nil"/>
              <w:right w:val="nil"/>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18"/>
                <w:szCs w:val="18"/>
                <w:u w:val="none"/>
              </w:rPr>
            </w:pPr>
          </w:p>
        </w:tc>
        <w:tc>
          <w:tcPr>
            <w:tcW w:w="3648" w:type="dxa"/>
            <w:tcBorders>
              <w:top w:val="nil"/>
              <w:left w:val="nil"/>
              <w:bottom w:val="nil"/>
              <w:right w:val="nil"/>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18"/>
                <w:szCs w:val="18"/>
                <w:u w:val="none"/>
              </w:rPr>
            </w:pPr>
          </w:p>
        </w:tc>
        <w:tc>
          <w:tcPr>
            <w:tcW w:w="1417" w:type="dxa"/>
            <w:tcBorders>
              <w:top w:val="nil"/>
              <w:left w:val="nil"/>
              <w:bottom w:val="nil"/>
              <w:right w:val="nil"/>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18"/>
                <w:szCs w:val="18"/>
                <w:u w:val="none"/>
              </w:rPr>
            </w:pPr>
          </w:p>
        </w:tc>
        <w:tc>
          <w:tcPr>
            <w:tcW w:w="1325" w:type="dxa"/>
            <w:tcBorders>
              <w:top w:val="nil"/>
              <w:left w:val="nil"/>
              <w:bottom w:val="nil"/>
              <w:right w:val="nil"/>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color w:val="000000"/>
                <w:sz w:val="18"/>
                <w:szCs w:val="18"/>
                <w:u w:val="none"/>
              </w:rPr>
            </w:pPr>
          </w:p>
        </w:tc>
        <w:tc>
          <w:tcPr>
            <w:tcW w:w="1215"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单位：万元</w:t>
            </w:r>
          </w:p>
        </w:tc>
        <w:tc>
          <w:tcPr>
            <w:tcW w:w="8744"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kern w:val="0"/>
                <w:sz w:val="18"/>
                <w:szCs w:val="18"/>
                <w:u w:val="none"/>
                <w:lang w:val="en-US" w:eastAsia="zh-CN" w:bidi="ar"/>
              </w:rPr>
            </w:pPr>
          </w:p>
        </w:tc>
      </w:tr>
    </w:tbl>
    <w:tbl>
      <w:tblPr>
        <w:tblStyle w:val="15"/>
        <w:tblpPr w:leftFromText="180" w:rightFromText="180" w:vertAnchor="text" w:horzAnchor="page" w:tblpX="1646" w:tblpY="311"/>
        <w:tblOverlap w:val="never"/>
        <w:tblW w:w="923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97"/>
        <w:gridCol w:w="3759"/>
        <w:gridCol w:w="1470"/>
        <w:gridCol w:w="1503"/>
        <w:gridCol w:w="13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科目编码</w:t>
            </w:r>
          </w:p>
        </w:tc>
        <w:tc>
          <w:tcPr>
            <w:tcW w:w="375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    目</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2024年预算数</w:t>
            </w:r>
          </w:p>
        </w:tc>
        <w:tc>
          <w:tcPr>
            <w:tcW w:w="1503"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2025年预算数</w:t>
            </w:r>
          </w:p>
        </w:tc>
        <w:tc>
          <w:tcPr>
            <w:tcW w:w="130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比上年预算数增 (减)%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119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75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503"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0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一、一般公共服务支出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34,229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34,289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人大事务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981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665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374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人大会议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sz w:val="18"/>
                <w:szCs w:val="18"/>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人大立法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人大监督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人大代表履职能力提升</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代表工作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其他人大事务支出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政协事务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644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政协会议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其他政协事务支出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政府办公厅（室）及相关机构事务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6,897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4,663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-32.39%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1,426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378.79%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2010305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专项业务及机关事务管理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2010350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其他政府办公厅（室）及相关机构事务支出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689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-85.07%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发展与改革事务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1,238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175.77%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593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577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1642.05%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2010406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社会事业发展规划</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2010450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其他发展与改革事务支出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1,304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134.11%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统计信息事务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413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1,026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148.43%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专项统计业务</w:t>
            </w:r>
          </w:p>
        </w:tc>
        <w:tc>
          <w:tcPr>
            <w:tcW w:w="147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专项普查活动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统计抽样调查</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其他统计信息事务支出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财政事务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1,231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32.51%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247.25%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2010607</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信息化建设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2010699</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其他财政事务支出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 </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税收事务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2010710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税收业务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其他税收事务支出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审计事务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476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672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2010804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审计业务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其他审计管理事务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海关事务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2010905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缉私办案</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纪检监察事务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3,386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2,966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1,853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1,857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1,364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巡视工作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其他纪检监察事务支出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商贸事务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64.80%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对外贸易管理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招商引资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其他商贸事务支出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知识产权事务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2011409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知识产权宏观管理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20123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民族事务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291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20126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档案事务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2012604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档案馆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其他档案事务支出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20128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民主党派及工商联事务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其他民主党派及工商联事务支出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20129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群众团体事务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747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707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2012902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43.41%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2012906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工会事务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2012950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47.92%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2012999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其他群众团体事务支出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党委办公厅（室）及相关机构事务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2,941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72.49%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1,438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1,136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195.06%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2013150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其他党委办公厅（室）及相关机构事务支出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组织事务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8,633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3,092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-64.18%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756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1,975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115.38%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公务员事务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其他组织事务支出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6,874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-95.40%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宣传事务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-15.51%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2013350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其他宣传事务支出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统战事务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1,240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-34.27%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655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宗教事务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华侨事务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其他统战事务支出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其他共产党事务支出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890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1,073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767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46.34%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其他共产党事务支出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网信事务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490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其他网信事务支出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市场监督管理事务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3,117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2,874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1,207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1,081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市场主体管理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市场秩序执法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质量基础</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597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药品事务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2013815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质量安全监管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2013816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食品安全监管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991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其他市场监督管理事务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20139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社会工作事务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专项业务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2013999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其他社会工作事务支出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20140</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信访事务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2014004</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信访业务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2014050</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2014099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其他信访事务支出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20141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2,860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2,803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2014150</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2014199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其他数据事务支出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其他一般公共服务支出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2019999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其他一般公共服务支出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二、外交支出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其他外交支出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2029999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其他外交支出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三、国防支出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2,571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20306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国防动员</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2,571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兵役征集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2030603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人民防空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2030607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民兵</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2,571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其他国防支出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2030699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其他国防动员支出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其他国防支出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四、公共安全支出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37,588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35,466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武装警察部队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其他武装警察部队支出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公安</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23,818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21,390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8,832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8,950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9,611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8114.53%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2040219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信息化建设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2040220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执法办案</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633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2040221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特别业务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其他公安支出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14,136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-85.05%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国家安全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其他国家安全支出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检察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3,682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3,849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2,515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2,688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其他检察支出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856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法院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9,066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9,305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6,286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6,456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2040506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“两庭”建设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其他法院支出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司法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583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2040604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基层司法业务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其他司法支出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强制隔离戒毒</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其他强制隔离戒毒支出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其他公共安全支出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其他公共安全支出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26,150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20,023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教育管理事务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1,908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1,053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-44.81%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768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其他教育管理事务支出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1,082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普通教育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8,236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6,026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学前教育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1,241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小学教育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832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877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初中教育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2,467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高中教育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3,695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3,668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其他普通教育支出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职业教育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10,452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10,102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中等职业教育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7,482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2050303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技校教育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-89.53%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2050305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高等职业教育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2,085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其他职业教育支出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广播电视教育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广播电视学校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其他广播电视教育支出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特殊教育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739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783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特殊学校教育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其他特殊教育支出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进修及培训</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4,723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-58.37%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干部教育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4,723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-58.37%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教育费附加安排的支出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2050999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其他教育费附加安排的支出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2059999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其他教育支出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六、科学技术支出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1,170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科学技术管理事务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799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-66.83%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其他科学技术管理事务支出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基础研究</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自然科学基金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2060208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科技人才队伍建设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应用研究</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机构运行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2060304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专项科研试制</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技术研究与开发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336.36%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科技成果转化与扩散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336.36%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其他技术研究与开发支出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科技条件与服务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2060503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科技条件专项</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其他科技条件与服务支出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科学技术普及</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科普活动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2060703</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青少年科技活动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2060705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科技馆站</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其他科学技术普及支出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科技交流与合作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2060801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国际交流与合作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其他科学技术支出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2069999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其他科学技术支出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七、文化旅游体育与传媒支出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22,684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26,714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文化和旅游</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7,641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8,508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662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2,668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3,832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43.63%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图书馆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艺术表演团体</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1,788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-70.25%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文化活动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280.39%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群众文化</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文化和旅游交流与合作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文化创作与保护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文化和旅游市场管理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旅游宣传</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文化和旅游管理事务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其他文化和旅游支出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1,453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107.50%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文物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12,303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15,579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文物保护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11,986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9,549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博物馆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2,437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668.77%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2070206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历史名城与古迹</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体育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2070307</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体育场馆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2070308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群众体育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其他体育支出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新闻出版电影</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2,183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2,401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2070605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出版发行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1,998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1,969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其他新闻出版电影支出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432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广播电视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359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-79.94%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2070808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广播电视事务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其他广播电视支出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-71.98%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其他文化旅游体育与传媒支出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其他文化旅游体育与传媒支出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八、社会保障和就业支出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25,476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26,378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人力资源和社会保障管理事务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1,408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1,117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734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749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劳动保障监察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就业管理事务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社会保险业务管理事务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社会保险经办机构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公共就业服务和职业技能鉴定机构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劳动人事争议调解仲裁</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其他人力资源和社会保障管理事务支出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民政管理事务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社会组织管理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行政区划和地名管理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老龄事务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其他民政管理事务支出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行政事业单位养老支出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13,706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18,622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35.87%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行政单位离退休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2,040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1,562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事业单位离退休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1,294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2080505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机关事业单位基本养老保险缴费支出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9,072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8,416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2080506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机关事业单位职业年金缴费支出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69.23%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2080507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对机关事业单位基本养老保险基金的补助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企业改革补助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709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企业关闭破产补助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709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就业补助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247.83%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就业创业服务补贴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247.83%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职业培训补贴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社会保险补贴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公益性岗位补贴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职业技能评价补贴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就业见习补贴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求职和创业补贴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其他就业补助支出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抚恤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死亡抚恤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伤残抚恤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FF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义务兵优待</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2080806</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农村籍退役士兵老年生活补助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光荣院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褒扬纪念</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其他优抚支出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退役安置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432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退役士兵安置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军队移交政府的离退休人员安置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u w:val="none"/>
                <w:lang w:val="en-US" w:eastAsia="zh-CN" w:bidi="ar"/>
                <w14:textFill>
                  <w14:solidFill>
                    <w14:schemeClr w14:val="tx1"/>
                  </w14:solidFill>
                </w14:textFill>
              </w:rPr>
              <w:t>军队移交政府离退休干部管理机构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1376.92%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退役士兵管理教育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军队转业干部安置</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2080999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其他退役安置支出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-93.75%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社会福利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2,340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231.91%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儿童福利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老年福利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殡葬</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社会福利事业单位</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养老服务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2081099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其他社会福利支出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残疾人事业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189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-73.75%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残疾人康复</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残疾人就业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残疾人生活和护理补贴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其他残疾人事业支出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20816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红十字事业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2081650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其他红十字事业支出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20819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最低生活保障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城市最低生活保障金支出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2081902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农村最低生活保障金支出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20820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临时救助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临时救助支出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2082002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流浪乞讨人员救助支出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20821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特困人员救助供养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城市特困人员救助供养支出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农村特困人员救助供养支出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20826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财政对基本养老保险基金的补助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109.41%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财政对企业职工基本养老保险基金的补助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109.41%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财政对城乡居民基本养老保险基金的补助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20827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财政对其他社会保险基金的补助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其他财政对社会保险基金的补助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20828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退役军人管理事务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654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43.11%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2082801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2082802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-54.55%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2082804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拥军优属</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96.25%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2082805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军供保障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其他退役军人事务管理支出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20830</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财政代缴社会保险费支出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2083001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财政代缴城乡居民基本养老保险费支出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其他社会保障和就业支出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6,087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其他社会保障和就业支出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6,087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九、卫生健康支出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40,875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41,809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卫生健康管理事务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669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769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14.95%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141.82%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其他卫生健康管理事务支出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公立医院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4,132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4,813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16.48%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综合医院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2,355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2,172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中医（民族）医院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1,574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2,171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精神病医院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其他公立医院支出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470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131.53%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基层医疗卫生机构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-65.33%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城市社区卫生机构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乡镇卫生院</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其他基层医疗卫生机构支出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公共卫生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1,867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疾病预防控制机构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716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卫生监督机构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妇幼保健机构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采供血机构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49.61%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基本公共卫生服务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重大公共卫生服务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770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突发公共卫生事件应急处理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其他公共卫生支出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计划生育事务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273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2100716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计划生育机构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2100717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计划生育服务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其他计划生育事务支出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行政事业单位医疗</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4,486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4,397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行政单位医疗</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事业单位医疗</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公务员医疗补助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988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其他行政事业单位医疗支出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财政对基本医疗保险基金的补助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26,076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26,831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财政对城乡居民基本医疗保险基金的补助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26,076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26,831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医疗救助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2,478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2,707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城乡医疗救助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2,059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疾病应急救助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其他医疗救助支出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优抚对象医疗</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优抚对象医疗补助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其他优抚对象医疗支出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医疗保障管理事务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494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信息化建设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-58.74%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医疗保障经办事务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其他医疗保障管理事务支出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中医药事务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2101704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中医（民族医）药专项</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其他卫生健康支出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2109999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其他卫生健康支出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十、节能环保支出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6,087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-44.14%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环境保护管理事务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887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824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727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689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生态环境保护行政许可</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环境监测与监察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519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-75.92%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建设项目环评审查与监督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其他环境监测与监察支出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-82.66%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污染防治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1,787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大气</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2,093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1,727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水体</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1,326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-98.49%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2110304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固体废弃物与化学品</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2110307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自然生态保护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286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-31.47%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生态保护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农村环境保护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生物及物种资源保护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草原生态修复治理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自然保护地</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其他自然生态保护支出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森林保护修复</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森林管护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风沙荒漠治理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其他风沙荒漠治理支出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能源节约利用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358.33%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2111001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能源节约利用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358.33%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污染减排</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288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39.24%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2111101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生态环境监测与信息</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256.52%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2111102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生态环境执法监察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2111103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减排专项支出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其他节能环保支出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其他节能环保支出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十一、城乡社区支出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2,180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4,616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111.74%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城乡社区管理事务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1,691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1,343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其他城乡社区管理事务支出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城乡社区规划与管理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城乡社区规划与管理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城乡社区公共设施</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449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3,250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623.83%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2120303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小城镇基础设施建设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其他城乡社区公共设施支出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449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623.83%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城乡社区环境卫生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城乡社区环境卫生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建设市场管理与监督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建设市场管理与监督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其他城乡社区支出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其他城乡社区支出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十二、农林水支出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53,432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20,410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-61.80%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农业农村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14,745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3,425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-76.77%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731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943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机关服务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1,671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1,187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科技转化与推广服务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病虫害控制</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农产品质量安全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执法监管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行业业务管理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2130119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防灾救灾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2130122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农业生产发展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2130124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农村合作经济</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-72.73%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2130125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农产品加工与促销</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476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1260.00%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2130135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农业生态资源保护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2130148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渔业发展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2130153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耕地建设与利用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11,261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其他农业农村支出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林业和草原</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5,909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1,784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-69.81%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298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509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70.81%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880.00%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370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森林资源培育</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-97.08%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技术推广与转化</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2130209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森林生态效益补偿</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动植物保护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执法与监督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防沙治沙</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2130221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产业化管理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2130234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林业草原防灾减灾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2130236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草原管理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2130238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退耕还林还草</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其他林业和草原支出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3,312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水利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22,424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10,342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水利行业业务管理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430.00%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水利工程建设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5,814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9,371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水利工程运行与维护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水利前期工作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-69.70%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水土保持</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水资源节约管理与保护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-73.44%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水文测报</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防汛</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2130315</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抗旱</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农村水利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15,325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水利技术推广</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2130319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江河湖库水系综合整治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2130321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大中型水库移民后期扶持专项支出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2130322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水利安全监督</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2130335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农村供水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其他水利支出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巩固脱贫攻坚成果衔接乡村振兴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1,918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1,653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2130501</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268 </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2130502</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2130504</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农村基础设施建设</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1,620 </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-98.58%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2130505</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生产发展</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2130599</w:t>
            </w:r>
          </w:p>
        </w:tc>
        <w:tc>
          <w:tcPr>
            <w:tcW w:w="375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其他巩固脱贫攻坚成果衔接乡村振兴</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21307</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农村综合改革</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2130701</w:t>
            </w:r>
          </w:p>
        </w:tc>
        <w:tc>
          <w:tcPr>
            <w:tcW w:w="3759"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对村级公益事业建设的补助</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2130704</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国有农场办社会职能改革补助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其他农村综合改革支出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普惠金融发展支出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2130803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农业保险保费补贴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2130804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创业担保贷款贴息及奖补</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2130899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其他普惠金融发展支出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目标价格补贴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3,206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2130901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棉花目标价格补贴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3,206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其他农林水支出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8,436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其他农林水支出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8,436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十三、交通运输支出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8,106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6,955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-14.20%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公路水路运输</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2,116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-29.11%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公路建设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1,265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公路养护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1,181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2140112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公路运输管理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其他公路水路运输支出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21403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民用航空运输</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5,400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5,400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其他民用航空运输支出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邮政业支出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129.17%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2140504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行业监管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140.91%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其他邮政业支出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其他交通运输支出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566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2149901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公共交通运营补助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566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2149999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其他交通运输支出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十四、资源勘探工业信息等支出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9,185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9,817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资源勘探开发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8,105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其他资源勘探业支出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8,105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制造业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纺织业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工业和信息产业</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278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2150517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产业发展</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2150599</w:t>
            </w:r>
          </w:p>
        </w:tc>
        <w:tc>
          <w:tcPr>
            <w:tcW w:w="375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其他工业和信息产业监管支出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国有资产监管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769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9,113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1085.05%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2150701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2150799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其他国有资产监管支出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8,920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1684.00%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支持中小企业发展和管理支出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2150805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中小企业发展专项</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其他资源勘探工业信息等支出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2159904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技术改造支出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2159906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重点产业振兴和技术改造</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其他资源勘探工业信息等支出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十五、商业服务业等支出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1,162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1,745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商业流通事务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614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-73.78%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2160219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民贸民品贷款贴息</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2160250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2160299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其他商业流通事务支出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-97.80%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21606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涉外发展服务支出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2160699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其他涉外发展服务支出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126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21699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其他商业服务业等支出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1,584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275.36%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2169901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服务业基础设施建设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2169999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其他商业服务业等支出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1,584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275.36%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十六、金融支出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21702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金融部门监管支出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2170202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21703</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金融发展支出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2170302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利息费用补贴支出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十七、自然资源海洋气象等支出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1,249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13,699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996.80%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22001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自然资源事务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1,005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13,567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1249.95%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517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自然资源规划及管理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自然资源利用与保护</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10,080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自然资源行业业务管理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自然资源调查与确权登记</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2200114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地质勘查与矿产资源管理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1,795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2200129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基础测绘与地理信息监管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156.00%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其他自然资源事务支出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22005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气象事务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244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-45.90%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2200504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气象事业机构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2200509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气象服务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2200599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其他气象事务支出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其他自然资源海洋气象等支出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其他自然资源海洋气象等支出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十八、住房保障支出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17,445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10,601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-39.23%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保障性安居工程支出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11,000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4,135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-62.41%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棚户区改造</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少数民族地区游牧民定居工程</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农村危房改造</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公共租赁住房 </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11,000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老旧小区改造</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2210110</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保障性租赁住房</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配租型住房保障</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其他保障性安居工程支出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住房改革支出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6,445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6,466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住房公积金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6,466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2210111</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配租型住房保障 </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22103</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城乡社区住宅</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公有住房建设和维修改造支出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2210399</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其他城乡社区住宅支出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十九、粮油物资储备支出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粮油物资事务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2220115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粮食风险基金</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2220199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其他粮油物资</w:t>
            </w:r>
            <w:r>
              <w:rPr>
                <w:rFonts w:hint="eastAsia" w:ascii="宋体" w:hAnsi="宋体" w:cs="宋体"/>
                <w:i w:val="0"/>
                <w:iCs w:val="0"/>
                <w:color w:val="000000"/>
                <w:kern w:val="0"/>
                <w:sz w:val="18"/>
                <w:szCs w:val="18"/>
                <w:u w:val="none"/>
                <w:lang w:val="en-US" w:eastAsia="zh-CN" w:bidi="ar"/>
              </w:rPr>
              <w:t>事务</w:t>
            </w:r>
            <w:r>
              <w:rPr>
                <w:rFonts w:hint="eastAsia" w:ascii="宋体" w:hAnsi="宋体" w:eastAsia="宋体" w:cs="宋体"/>
                <w:i w:val="0"/>
                <w:iCs w:val="0"/>
                <w:color w:val="000000"/>
                <w:kern w:val="0"/>
                <w:sz w:val="18"/>
                <w:szCs w:val="18"/>
                <w:u w:val="none"/>
                <w:lang w:val="en-US" w:eastAsia="zh-CN" w:bidi="ar"/>
              </w:rPr>
              <w:t>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粮油储备</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2220499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其他粮油储备支出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重要商品储备</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2220511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应急物资储备</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二十、灾害防治及应急管理支出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4,968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2,079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-58.15%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应急管理事务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2,663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701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-73.68%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灾害风险防治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安全监管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2240108</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应急救援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2240109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应急管理</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2240199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其他应急管理支出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2,115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消防救援事务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1,883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850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-54.86%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2240204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消防应急救援</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1,739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717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-58.77%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矿山安全</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2240404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矿山安全监察事务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矿山应急救援事务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78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2240450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事业运行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260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286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其他矿山安全支出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地震事务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2240501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行政运行</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2240502</w:t>
            </w: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一般行政管理事务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2240504</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地震监测</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2240505</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地震预测预报</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2240550</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地震事业机构</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22406</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自然灾害防治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2240601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地质灾害防治</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2240602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森林草原防灾减灾</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22407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自然灾害救灾及恢复重建支出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2240703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自然灾害救灾补助</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22499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其他灾害防治及应急管理支出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2249999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其他灾害防治及应急管理支出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227</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二十一、预备费</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3,428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3,000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二十二、其他支出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19,920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9,233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年初预留</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2290201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年初预留</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19,920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9,233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2299999</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19,920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9,233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-53.65%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二十三、债务付息支出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3,229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3,194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23202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中央政府国外债务付息支出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中央政府向国际金融组织借款付息支出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23203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地方政府一般债务付息支出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3,229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3,194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地方政府一般债券付息支出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3,229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3,194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2320302</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地方政府向外国政府借款付息支出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2320303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地方政府向国际组织借款付息支出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二十四、债务发行费用支出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23303</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地方政府一般债务发行费用支出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2330301</w:t>
            </w:r>
          </w:p>
        </w:tc>
        <w:tc>
          <w:tcPr>
            <w:tcW w:w="375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地方政府一般债务发行费用支出</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97"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375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一般公共预算支出合计</w:t>
            </w:r>
          </w:p>
        </w:tc>
        <w:tc>
          <w:tcPr>
            <w:tcW w:w="14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321,134 </w:t>
            </w:r>
          </w:p>
        </w:tc>
        <w:tc>
          <w:tcPr>
            <w:tcW w:w="1503" w:type="dxa"/>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276,291 </w:t>
            </w:r>
          </w:p>
        </w:tc>
        <w:tc>
          <w:tcPr>
            <w:tcW w:w="130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-13.96%</w:t>
            </w:r>
          </w:p>
        </w:tc>
      </w:tr>
    </w:tbl>
    <w:p>
      <w:pPr>
        <w:pStyle w:val="8"/>
        <w:rPr>
          <w:rFonts w:hint="eastAsia" w:ascii="宋体" w:hAnsi="宋体" w:eastAsia="宋体" w:cs="宋体"/>
          <w:b/>
          <w:i w:val="0"/>
          <w:color w:val="000000"/>
          <w:kern w:val="0"/>
          <w:sz w:val="18"/>
          <w:szCs w:val="18"/>
          <w:u w:val="none"/>
          <w:lang w:val="en-US" w:eastAsia="zh-CN" w:bidi="ar"/>
        </w:rPr>
      </w:pPr>
    </w:p>
    <w:p>
      <w:pPr>
        <w:pStyle w:val="8"/>
        <w:rPr>
          <w:rFonts w:hint="eastAsia" w:ascii="宋体" w:hAnsi="宋体" w:eastAsia="宋体" w:cs="宋体"/>
          <w:b/>
          <w:i w:val="0"/>
          <w:color w:val="000000"/>
          <w:kern w:val="0"/>
          <w:sz w:val="18"/>
          <w:szCs w:val="18"/>
          <w:u w:val="none"/>
          <w:lang w:val="en-US" w:eastAsia="zh-Hans" w:bidi="ar"/>
        </w:rPr>
      </w:pPr>
    </w:p>
    <w:tbl>
      <w:tblPr>
        <w:tblStyle w:val="15"/>
        <w:tblW w:w="920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428"/>
        <w:gridCol w:w="3489"/>
        <w:gridCol w:w="1440"/>
        <w:gridCol w:w="1515"/>
        <w:gridCol w:w="13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90" w:hRule="atLeast"/>
        </w:trPr>
        <w:tc>
          <w:tcPr>
            <w:tcW w:w="1428"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表5</w:t>
            </w:r>
          </w:p>
        </w:tc>
        <w:tc>
          <w:tcPr>
            <w:tcW w:w="3489" w:type="dxa"/>
            <w:tcBorders>
              <w:top w:val="nil"/>
              <w:left w:val="nil"/>
              <w:bottom w:val="nil"/>
              <w:right w:val="nil"/>
            </w:tcBorders>
            <w:shd w:val="clear" w:color="auto" w:fill="auto"/>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000000"/>
                <w:sz w:val="18"/>
                <w:szCs w:val="18"/>
                <w:u w:val="none"/>
                <w:lang w:eastAsia="zh-CN"/>
              </w:rPr>
            </w:pPr>
            <w:r>
              <w:rPr>
                <w:rFonts w:hint="eastAsia" w:ascii="宋体" w:hAnsi="宋体" w:eastAsia="宋体" w:cs="宋体"/>
                <w:i w:val="0"/>
                <w:color w:val="FF0000"/>
                <w:sz w:val="18"/>
                <w:szCs w:val="18"/>
                <w:u w:val="none"/>
                <w:lang w:val="en-US" w:eastAsia="zh-CN"/>
              </w:rPr>
              <w:t xml:space="preserve"> </w:t>
            </w:r>
          </w:p>
        </w:tc>
        <w:tc>
          <w:tcPr>
            <w:tcW w:w="1440" w:type="dxa"/>
            <w:tcBorders>
              <w:top w:val="nil"/>
              <w:left w:val="nil"/>
              <w:bottom w:val="nil"/>
              <w:right w:val="nil"/>
            </w:tcBorders>
            <w:shd w:val="clear" w:color="auto" w:fill="auto"/>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000000"/>
                <w:sz w:val="18"/>
                <w:szCs w:val="18"/>
                <w:u w:val="none"/>
              </w:rPr>
            </w:pPr>
          </w:p>
        </w:tc>
        <w:tc>
          <w:tcPr>
            <w:tcW w:w="1515" w:type="dxa"/>
            <w:tcBorders>
              <w:top w:val="nil"/>
              <w:left w:val="nil"/>
              <w:bottom w:val="nil"/>
              <w:right w:val="nil"/>
            </w:tcBorders>
            <w:shd w:val="clear" w:color="auto" w:fill="auto"/>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000000"/>
                <w:sz w:val="18"/>
                <w:szCs w:val="18"/>
                <w:u w:val="none"/>
              </w:rPr>
            </w:pPr>
          </w:p>
        </w:tc>
        <w:tc>
          <w:tcPr>
            <w:tcW w:w="1335" w:type="dxa"/>
            <w:tcBorders>
              <w:top w:val="nil"/>
              <w:left w:val="nil"/>
              <w:bottom w:val="nil"/>
              <w:right w:val="nil"/>
            </w:tcBorders>
            <w:shd w:val="clear" w:color="auto" w:fill="auto"/>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867" w:hRule="atLeast"/>
        </w:trPr>
        <w:tc>
          <w:tcPr>
            <w:tcW w:w="9207" w:type="dxa"/>
            <w:gridSpan w:val="5"/>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285" w:firstLineChars="400"/>
              <w:jc w:val="both"/>
              <w:textAlignment w:val="center"/>
              <w:rPr>
                <w:rFonts w:hint="eastAsia" w:ascii="宋体" w:hAnsi="宋体" w:eastAsia="宋体" w:cs="宋体"/>
                <w:b/>
                <w:i w:val="0"/>
                <w:color w:val="000000"/>
                <w:sz w:val="18"/>
                <w:szCs w:val="18"/>
                <w:u w:val="none"/>
              </w:rPr>
            </w:pPr>
            <w:r>
              <w:rPr>
                <w:rFonts w:hint="eastAsia" w:ascii="宋体" w:hAnsi="宋体" w:eastAsia="宋体" w:cs="宋体"/>
                <w:b/>
                <w:bCs w:val="0"/>
                <w:i w:val="0"/>
                <w:color w:val="000000"/>
                <w:kern w:val="0"/>
                <w:sz w:val="32"/>
                <w:szCs w:val="32"/>
                <w:u w:val="none"/>
                <w:lang w:val="en-US" w:eastAsia="zh-CN" w:bidi="ar"/>
              </w:rPr>
              <w:t>2025吐鲁番市本级一般公共预算基本支出预算表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12" w:hRule="atLeast"/>
        </w:trPr>
        <w:tc>
          <w:tcPr>
            <w:tcW w:w="9207" w:type="dxa"/>
            <w:gridSpan w:val="5"/>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53"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科目编码</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项 目</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2024年预算数</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2025年预算数</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18"/>
                <w:szCs w:val="18"/>
                <w:u w:val="none"/>
                <w:lang w:val="en-US" w:eastAsia="zh-CN" w:bidi="ar"/>
              </w:rPr>
              <w:t>比上年预算数增（减）%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52"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501</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1" w:firstLineChars="10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75,868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61,856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工资奖金津补贴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44,960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38,835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社会保障缴费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19,223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10,864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-43.48%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4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50103</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住房公积金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5,592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4,347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4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6,093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 xml:space="preserve">7,810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28.18%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9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502</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1" w:firstLineChars="10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36,384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61,021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67.71%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7"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50201</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办公经费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13,688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15,272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50202</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165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165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50203</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培训费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426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1,319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209.62%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0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50204</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val="0"/>
                <w:bCs w:val="0"/>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专用材料购置费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337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645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val="0"/>
                <w:bCs w:val="0"/>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91.39%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50205</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委托业务费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5,391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38,333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611.06%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50206</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公务接待费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 xml:space="preserve">336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50"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50207</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因公出国（境）费用</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50208</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公务用车运行维护费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 xml:space="preserve">1,209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1,209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lang w:val="en-US"/>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0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维修（护）费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981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1,889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92.56%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50299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13,847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1,853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-86.62%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505</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1" w:firstLineChars="10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对事业单位经常性补助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51,738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38,975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50501</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40,348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31,039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0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50502</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11,390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7,936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2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50599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其他对事业单位补助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18"/>
                <w:szCs w:val="18"/>
                <w:u w:val="none"/>
              </w:rPr>
            </w:pP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18"/>
                <w:szCs w:val="18"/>
                <w:u w:val="none"/>
              </w:rPr>
            </w:pP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18"/>
                <w:szCs w:val="18"/>
                <w:u w:val="none"/>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69"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1" w:firstLineChars="100"/>
              <w:jc w:val="lef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对个人和家庭的补助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13,790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12,559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05"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50901</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社会福利和救助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6,748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3,973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-41.12%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7"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50902</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助学金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3,697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2,292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44"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50903</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个人农业生产补贴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3,206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18"/>
                <w:szCs w:val="18"/>
                <w:u w:val="none"/>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50905</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离退休费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1,836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2,452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67"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50999</w:t>
            </w: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其他对个人和家庭补助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1,509 </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636 </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-57.85%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26" w:hRule="atLeast"/>
        </w:trPr>
        <w:tc>
          <w:tcPr>
            <w:tcW w:w="1428" w:type="dxa"/>
            <w:tcBorders>
              <w:top w:val="single" w:color="000000" w:sz="4" w:space="0"/>
              <w:left w:val="single" w:color="000000" w:sz="4" w:space="0"/>
              <w:bottom w:val="single" w:color="000000" w:sz="4" w:space="0"/>
              <w:right w:val="single" w:color="000000" w:sz="4" w:space="0"/>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jc w:val="both"/>
              <w:rPr>
                <w:rFonts w:hint="eastAsia" w:ascii="宋体" w:hAnsi="宋体" w:eastAsia="宋体" w:cs="宋体"/>
                <w:i w:val="0"/>
                <w:color w:val="000000"/>
                <w:sz w:val="18"/>
                <w:szCs w:val="18"/>
                <w:u w:val="none"/>
              </w:rPr>
            </w:pPr>
          </w:p>
        </w:tc>
        <w:tc>
          <w:tcPr>
            <w:tcW w:w="3489"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一般公共预算支出合计</w:t>
            </w:r>
          </w:p>
        </w:tc>
        <w:tc>
          <w:tcPr>
            <w:tcW w:w="1440"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177,780</w:t>
            </w:r>
          </w:p>
        </w:tc>
        <w:tc>
          <w:tcPr>
            <w:tcW w:w="151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174,411</w:t>
            </w:r>
          </w:p>
        </w:tc>
        <w:tc>
          <w:tcPr>
            <w:tcW w:w="1335" w:type="dxa"/>
            <w:tcBorders>
              <w:top w:val="single" w:color="000000"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-1.90%</w:t>
            </w:r>
          </w:p>
        </w:tc>
      </w:tr>
    </w:tbl>
    <w:p>
      <w:pPr>
        <w:pStyle w:val="8"/>
        <w:rPr>
          <w:rFonts w:hint="eastAsia" w:ascii="宋体" w:hAnsi="宋体" w:eastAsia="宋体" w:cs="宋体"/>
          <w:i w:val="0"/>
          <w:color w:val="000000"/>
          <w:kern w:val="0"/>
          <w:sz w:val="18"/>
          <w:szCs w:val="18"/>
          <w:u w:val="none"/>
          <w:lang w:val="en-US" w:eastAsia="zh-CN" w:bidi="ar"/>
        </w:rPr>
      </w:pPr>
    </w:p>
    <w:p>
      <w:pPr>
        <w:jc w:val="both"/>
        <w:rPr>
          <w:rFonts w:hint="eastAsia" w:ascii="宋体" w:hAnsi="宋体" w:eastAsia="宋体" w:cs="宋体"/>
          <w:i w:val="0"/>
          <w:color w:val="000000"/>
          <w:kern w:val="0"/>
          <w:sz w:val="18"/>
          <w:szCs w:val="18"/>
          <w:u w:val="none"/>
          <w:lang w:val="en-US" w:eastAsia="zh-CN" w:bidi="ar"/>
        </w:rPr>
      </w:pPr>
    </w:p>
    <w:tbl>
      <w:tblPr>
        <w:tblStyle w:val="15"/>
        <w:tblW w:w="912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560"/>
        <w:gridCol w:w="3345"/>
        <w:gridCol w:w="1440"/>
        <w:gridCol w:w="1500"/>
        <w:gridCol w:w="12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trPr>
        <w:tc>
          <w:tcPr>
            <w:tcW w:w="1560"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表6</w:t>
            </w:r>
          </w:p>
        </w:tc>
        <w:tc>
          <w:tcPr>
            <w:tcW w:w="3345"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44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50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279"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9124" w:type="dxa"/>
            <w:gridSpan w:val="5"/>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32"/>
                <w:szCs w:val="32"/>
                <w:u w:val="none"/>
                <w:lang w:val="en-US" w:eastAsia="zh-CN" w:bidi="ar"/>
              </w:rPr>
              <w:t>2025年吐鲁番市本级政府预算支出经济分类明细表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p>
        </w:tc>
        <w:tc>
          <w:tcPr>
            <w:tcW w:w="3345"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44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2779" w:type="dxa"/>
            <w:gridSpan w:val="2"/>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firstLine="1800" w:firstLineChars="1000"/>
              <w:rPr>
                <w:rFonts w:hint="eastAsia" w:ascii="宋体" w:hAnsi="宋体" w:eastAsia="宋体" w:cs="宋体"/>
                <w:i w:val="0"/>
                <w:iCs w:val="0"/>
                <w:color w:val="000000"/>
                <w:kern w:val="0"/>
                <w:sz w:val="18"/>
                <w:szCs w:val="18"/>
                <w:u w:val="none"/>
                <w:lang w:val="en-US" w:eastAsia="zh-CN" w:bidi="ar"/>
              </w:rPr>
            </w:pPr>
          </w:p>
          <w:p>
            <w:pPr>
              <w:keepNext w:val="0"/>
              <w:keepLines w:val="0"/>
              <w:suppressLineNumbers w:val="0"/>
              <w:spacing w:before="0" w:beforeAutospacing="0" w:after="0" w:afterAutospacing="0"/>
              <w:ind w:left="0" w:right="0" w:firstLine="1800" w:firstLineChars="1000"/>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3"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科目编码</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    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2024年       预算数</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2025年       预算数</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比上年预算数增（减）%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75,868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61,856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工资奖金津补贴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44,960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38,835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社会保障缴费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19,223</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10,864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-43.48%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住房公积金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5,592</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4,347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50199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6,093</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7,810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28.18%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36,384</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61,021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67.71%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办公经费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13,688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15,272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会议费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165</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培训费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209.62%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专用材料购置费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91.39%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委托业务费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5,391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38,333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611.06%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50206</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公务接待费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340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50207</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因公出国（境）费用</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50208</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公务用车运行维护费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1209</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1,209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50209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维修（护）费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981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1,889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92.56%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50299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13,847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1,853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-86.62%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机关资本性支出（一）</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52,129</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25,024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-52.00%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房屋建筑物购建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1983</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74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-96.27%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基础设施建设</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36436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13,795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-62.14%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公务用车购置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土地征迁补偿和安置支出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415</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3,190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668.67%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50306</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设备购置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12,280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3,238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-73.63%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50307</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大型修缮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4,697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1809.35%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其他资本性支出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769</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-96.10%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机关资本性支出（二）</w:t>
            </w:r>
            <w:r>
              <w:rPr>
                <w:rFonts w:hint="eastAsia" w:ascii="宋体" w:hAnsi="宋体" w:eastAsia="宋体" w:cs="宋体"/>
                <w:i w:val="0"/>
                <w:iCs w:val="0"/>
                <w:color w:val="000000"/>
                <w:kern w:val="0"/>
                <w:sz w:val="18"/>
                <w:szCs w:val="18"/>
                <w:u w:val="none"/>
                <w:lang w:val="en-US" w:eastAsia="zh-CN" w:bidi="ar"/>
              </w:rPr>
              <w:t>(基本建设)</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13162</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6,683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-49.23%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房屋建筑物购建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3732</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158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-95.77%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基础设施建设</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6725</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6,166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设备购置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58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-97.27%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大型修缮</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493</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-99.80%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50499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其他资本性支出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248.84%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对事业单位经常性补助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51,738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38,975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-24.67%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工资福利支出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40,348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31,039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商品和服务支出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11,390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7,936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50599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其他对事业单位补助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506</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对事业单位资本性补助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12487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7,447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-40.36%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50601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资本性支出（一）</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7886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3,488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-55.77%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50602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资本性支出（二）</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4601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3,959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507</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对企业补助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5753</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21,103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266.82%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50701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费用补贴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5328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4,058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50702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利息补贴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886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50799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其他对企业补助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425</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16,159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3702.12%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508</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对企业资本性支出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1911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822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-56.99%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50803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资本金注入（一）</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1911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50804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资本性注入（二）</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50805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政府投资基金股权投资</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50899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其他对企业资本性支出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822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509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对个人和家庭的补助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13,790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12,559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社会福利和救助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6,748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3,973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-41.12%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助学金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3,697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2,292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个人农业生产补贴</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3,206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离退休费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1,836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2,452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50999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其他对个人和家庭补助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1,509</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636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-57.85%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510</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对社会保障基金补助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42036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34,571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51002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对社会保险基金补助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42036</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34,571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51003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补充全国社会保障基金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51004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对机关事业单位职业年金的补助</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9"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债务利息及费用支出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3,261</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3,229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-0.98%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51101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国内债务付息</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3,239</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3,194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51102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国外债务付息</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51103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国内债务发行费用</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105.88%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51104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国外债务发行费用</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债务还本支出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7,500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lang w:val="en-US"/>
              </w:rPr>
            </w:pPr>
            <w:r>
              <w:rPr>
                <w:rFonts w:hint="eastAsia" w:ascii="宋体" w:hAnsi="宋体" w:eastAsia="宋体" w:cs="宋体"/>
                <w:b/>
                <w:bCs/>
                <w:i w:val="0"/>
                <w:iCs w:val="0"/>
                <w:color w:val="000000"/>
                <w:kern w:val="0"/>
                <w:sz w:val="18"/>
                <w:szCs w:val="18"/>
                <w:u w:val="none"/>
                <w:lang w:val="en-US" w:eastAsia="zh-CN" w:bidi="ar"/>
              </w:rPr>
              <w:t xml:space="preserve">3,330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51201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国内债务还本</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7,500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 xml:space="preserve">3,330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-55.60%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51202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国外债务还本</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转移性支出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2,410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82,755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3333.82%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上下级政府间转移性支出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2,410</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82,755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3333.82%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援助其他地区支出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51303</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债务转贷</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调出资金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51305</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安排预算稳定调节基金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2"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51306</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补充预算周转金</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514</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预备费及预留</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3,428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3,000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51401</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预备费</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3,428</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3,000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-12.49%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51402</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预留</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其他支出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9,187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0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59999</w:t>
            </w: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firstLine="180" w:firstLineChars="1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其他支出</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9,187</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lang w:val="en-US"/>
              </w:rPr>
            </w:pP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2" w:hRule="atLeast"/>
        </w:trPr>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p>
        </w:tc>
        <w:tc>
          <w:tcPr>
            <w:tcW w:w="3345"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一般公共预算支出合计</w:t>
            </w:r>
          </w:p>
        </w:tc>
        <w:tc>
          <w:tcPr>
            <w:tcW w:w="144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331,044</w:t>
            </w:r>
          </w:p>
        </w:tc>
        <w:tc>
          <w:tcPr>
            <w:tcW w:w="15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cs="宋体"/>
                <w:b/>
                <w:bCs/>
                <w:i w:val="0"/>
                <w:iCs w:val="0"/>
                <w:color w:val="000000"/>
                <w:kern w:val="0"/>
                <w:sz w:val="18"/>
                <w:szCs w:val="18"/>
                <w:u w:val="none"/>
                <w:lang w:val="en-US" w:eastAsia="zh-CN" w:bidi="ar"/>
              </w:rPr>
              <w:t xml:space="preserve"> </w:t>
            </w:r>
            <w:r>
              <w:rPr>
                <w:rFonts w:hint="eastAsia" w:ascii="宋体" w:hAnsi="宋体" w:eastAsia="宋体" w:cs="宋体"/>
                <w:b/>
                <w:bCs/>
                <w:i w:val="0"/>
                <w:iCs w:val="0"/>
                <w:color w:val="000000"/>
                <w:kern w:val="0"/>
                <w:sz w:val="18"/>
                <w:szCs w:val="18"/>
                <w:u w:val="none"/>
                <w:lang w:val="en-US" w:eastAsia="zh-CN" w:bidi="ar"/>
              </w:rPr>
              <w:t xml:space="preserve">362,375 </w:t>
            </w:r>
          </w:p>
        </w:tc>
        <w:tc>
          <w:tcPr>
            <w:tcW w:w="1279"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9.46%</w:t>
            </w:r>
          </w:p>
        </w:tc>
      </w:tr>
    </w:tbl>
    <w:p>
      <w:pPr>
        <w:pStyle w:val="2"/>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pStyle w:val="2"/>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18"/>
          <w:szCs w:val="18"/>
          <w:u w:val="none"/>
          <w:lang w:val="en-US" w:eastAsia="zh-CN" w:bidi="ar"/>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kern w:val="0"/>
          <w:sz w:val="28"/>
          <w:szCs w:val="28"/>
          <w:u w:val="none"/>
          <w:lang w:val="en-US" w:eastAsia="zh-CN" w:bidi="ar"/>
        </w:rPr>
      </w:pPr>
      <w:r>
        <w:rPr>
          <w:rFonts w:hint="eastAsia" w:ascii="宋体" w:hAnsi="宋体" w:eastAsia="宋体" w:cs="宋体"/>
          <w:b w:val="0"/>
          <w:bCs w:val="0"/>
          <w:i w:val="0"/>
          <w:color w:val="000000"/>
          <w:kern w:val="0"/>
          <w:sz w:val="18"/>
          <w:szCs w:val="18"/>
          <w:u w:val="none"/>
          <w:lang w:val="en-US" w:eastAsia="zh-CN" w:bidi="ar"/>
        </w:rPr>
        <w:t>表7</w:t>
      </w:r>
    </w:p>
    <w:p>
      <w:pPr>
        <w:keepNext w:val="0"/>
        <w:keepLines w:val="0"/>
        <w:pageBreakBefore w:val="0"/>
        <w:widowControl w:val="0"/>
        <w:suppressLineNumbers w:val="0"/>
        <w:kinsoku/>
        <w:wordWrap/>
        <w:overflowPunct w:val="0"/>
        <w:topLinePunct w:val="0"/>
        <w:autoSpaceDE/>
        <w:autoSpaceDN/>
        <w:bidi w:val="0"/>
        <w:adjustRightInd/>
        <w:snapToGrid/>
        <w:jc w:val="center"/>
        <w:textAlignment w:val="bottom"/>
        <w:rPr>
          <w:rFonts w:hint="eastAsia" w:ascii="宋体" w:hAnsi="宋体" w:eastAsia="宋体" w:cs="宋体"/>
          <w:b/>
          <w:bCs/>
          <w:i w:val="0"/>
          <w:color w:val="000000" w:themeColor="text1"/>
          <w:sz w:val="32"/>
          <w:szCs w:val="32"/>
          <w:u w:val="none"/>
          <w14:textFill>
            <w14:solidFill>
              <w14:schemeClr w14:val="tx1"/>
            </w14:solidFill>
          </w14:textFill>
        </w:rPr>
      </w:pPr>
      <w:r>
        <w:rPr>
          <w:rFonts w:hint="eastAsia" w:ascii="宋体" w:hAnsi="宋体" w:eastAsia="宋体" w:cs="宋体"/>
          <w:b/>
          <w:bCs/>
          <w:i w:val="0"/>
          <w:color w:val="000000"/>
          <w:kern w:val="0"/>
          <w:sz w:val="32"/>
          <w:szCs w:val="32"/>
          <w:u w:val="none"/>
          <w:lang w:val="en-US" w:eastAsia="zh-CN" w:bidi="ar"/>
        </w:rPr>
        <w:t>2025年吐鲁番市一般公共预算对下</w:t>
      </w:r>
      <w:r>
        <w:rPr>
          <w:rFonts w:hint="eastAsia" w:ascii="宋体" w:hAnsi="宋体" w:eastAsia="宋体" w:cs="宋体"/>
          <w:b/>
          <w:bCs/>
          <w:i w:val="0"/>
          <w:color w:val="000000"/>
          <w:kern w:val="0"/>
          <w:sz w:val="32"/>
          <w:szCs w:val="32"/>
          <w:u w:val="none"/>
          <w:lang w:val="en-US" w:eastAsia="zh-Hans" w:bidi="ar"/>
        </w:rPr>
        <w:t>转移支付</w:t>
      </w:r>
      <w:r>
        <w:rPr>
          <w:rFonts w:hint="eastAsia" w:ascii="宋体" w:hAnsi="宋体" w:eastAsia="宋体" w:cs="宋体"/>
          <w:b/>
          <w:bCs/>
          <w:i w:val="0"/>
          <w:color w:val="000000"/>
          <w:kern w:val="0"/>
          <w:sz w:val="32"/>
          <w:szCs w:val="32"/>
          <w:u w:val="none"/>
          <w:lang w:val="en-US" w:eastAsia="zh-CN" w:bidi="ar"/>
        </w:rPr>
        <w:t>安排情况表</w:t>
      </w:r>
    </w:p>
    <w:p>
      <w:pPr>
        <w:keepNext w:val="0"/>
        <w:keepLines w:val="0"/>
        <w:pageBreakBefore w:val="0"/>
        <w:widowControl w:val="0"/>
        <w:suppressLineNumbers w:val="0"/>
        <w:kinsoku/>
        <w:wordWrap/>
        <w:overflowPunct w:val="0"/>
        <w:topLinePunct w:val="0"/>
        <w:autoSpaceDE/>
        <w:autoSpaceDN/>
        <w:bidi w:val="0"/>
        <w:adjustRightInd/>
        <w:snapToGrid/>
        <w:jc w:val="right"/>
        <w:textAlignment w:val="center"/>
        <w:rPr>
          <w:rFonts w:hint="eastAsia" w:ascii="宋体" w:hAnsi="宋体" w:eastAsia="宋体" w:cs="宋体"/>
          <w:b w:val="0"/>
          <w:bCs/>
          <w:i w:val="0"/>
          <w:color w:val="000000" w:themeColor="text1"/>
          <w:kern w:val="0"/>
          <w:sz w:val="18"/>
          <w:szCs w:val="18"/>
          <w:u w:val="none"/>
          <w:lang w:val="en-US" w:eastAsia="zh-CN" w:bidi="ar"/>
          <w14:textFill>
            <w14:solidFill>
              <w14:schemeClr w14:val="tx1"/>
            </w14:solidFill>
          </w14:textFill>
        </w:rPr>
      </w:pPr>
    </w:p>
    <w:p>
      <w:pPr>
        <w:keepNext w:val="0"/>
        <w:keepLines w:val="0"/>
        <w:pageBreakBefore w:val="0"/>
        <w:widowControl w:val="0"/>
        <w:suppressLineNumbers w:val="0"/>
        <w:kinsoku/>
        <w:wordWrap/>
        <w:overflowPunct w:val="0"/>
        <w:topLinePunct w:val="0"/>
        <w:autoSpaceDE/>
        <w:autoSpaceDN/>
        <w:bidi w:val="0"/>
        <w:adjustRightInd/>
        <w:snapToGrid/>
        <w:jc w:val="right"/>
        <w:textAlignment w:val="center"/>
        <w:rPr>
          <w:rFonts w:hint="eastAsia" w:ascii="宋体" w:hAnsi="宋体" w:eastAsia="宋体" w:cs="宋体"/>
          <w:b w:val="0"/>
          <w:bCs/>
          <w:i w:val="0"/>
          <w:color w:val="000000" w:themeColor="text1"/>
          <w:sz w:val="18"/>
          <w:szCs w:val="18"/>
          <w:u w:val="none"/>
          <w14:textFill>
            <w14:solidFill>
              <w14:schemeClr w14:val="tx1"/>
            </w14:solidFill>
          </w14:textFill>
        </w:rPr>
      </w:pPr>
      <w:r>
        <w:rPr>
          <w:rFonts w:hint="eastAsia" w:ascii="宋体" w:hAnsi="宋体" w:eastAsia="宋体" w:cs="宋体"/>
          <w:b w:val="0"/>
          <w:bCs/>
          <w:i w:val="0"/>
          <w:color w:val="000000" w:themeColor="text1"/>
          <w:kern w:val="0"/>
          <w:sz w:val="18"/>
          <w:szCs w:val="18"/>
          <w:u w:val="none"/>
          <w:lang w:val="en-US" w:eastAsia="zh-CN" w:bidi="ar"/>
          <w14:textFill>
            <w14:solidFill>
              <w14:schemeClr w14:val="tx1"/>
            </w14:solidFill>
          </w14:textFill>
        </w:rPr>
        <w:t xml:space="preserve"> </w:t>
      </w:r>
      <w:r>
        <w:rPr>
          <w:rStyle w:val="46"/>
          <w:rFonts w:hint="eastAsia" w:ascii="宋体" w:hAnsi="宋体" w:eastAsia="宋体" w:cs="宋体"/>
          <w:b w:val="0"/>
          <w:bCs/>
          <w:color w:val="000000" w:themeColor="text1"/>
          <w:sz w:val="18"/>
          <w:szCs w:val="18"/>
          <w:lang w:val="en-US" w:eastAsia="zh-CN" w:bidi="ar"/>
          <w14:textFill>
            <w14:solidFill>
              <w14:schemeClr w14:val="tx1"/>
            </w14:solidFill>
          </w14:textFill>
        </w:rPr>
        <w:t>单位：万元</w:t>
      </w:r>
    </w:p>
    <w:tbl>
      <w:tblPr>
        <w:tblStyle w:val="15"/>
        <w:tblW w:w="9104"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182"/>
        <w:gridCol w:w="4032"/>
        <w:gridCol w:w="1276"/>
        <w:gridCol w:w="1264"/>
        <w:gridCol w:w="1350"/>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813" w:hRule="atLeast"/>
          <w:tblHeader/>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科目编码</w:t>
            </w:r>
          </w:p>
        </w:tc>
        <w:tc>
          <w:tcPr>
            <w:tcW w:w="403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项    目</w:t>
            </w:r>
          </w:p>
        </w:tc>
        <w:tc>
          <w:tcPr>
            <w:tcW w:w="1276"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2024年预算数</w:t>
            </w:r>
          </w:p>
        </w:tc>
        <w:tc>
          <w:tcPr>
            <w:tcW w:w="1264"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2025年预算数</w:t>
            </w:r>
          </w:p>
        </w:tc>
        <w:tc>
          <w:tcPr>
            <w:tcW w:w="1350"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center"/>
              <w:rPr>
                <w:rFonts w:hint="eastAsia" w:ascii="宋体" w:hAnsi="宋体" w:eastAsia="宋体" w:cs="宋体"/>
                <w:b/>
                <w:bCs/>
                <w:i w:val="0"/>
                <w:color w:val="000000" w:themeColor="text1"/>
                <w:kern w:val="0"/>
                <w:sz w:val="18"/>
                <w:szCs w:val="18"/>
                <w:u w:val="none"/>
                <w:lang w:val="en-US" w:eastAsia="zh-CN" w:bidi="ar"/>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 xml:space="preserve"> </w:t>
            </w:r>
            <w:r>
              <w:rPr>
                <w:rFonts w:hint="eastAsia" w:ascii="宋体" w:hAnsi="宋体" w:eastAsia="宋体" w:cs="宋体"/>
                <w:b/>
                <w:bCs/>
                <w:i w:val="0"/>
                <w:color w:val="000000"/>
                <w:kern w:val="0"/>
                <w:sz w:val="18"/>
                <w:szCs w:val="18"/>
                <w:highlight w:val="none"/>
                <w:u w:val="none"/>
                <w:lang w:val="en-US" w:eastAsia="zh-CN" w:bidi="ar"/>
              </w:rPr>
              <w:t>比上年预算数增 (减)%</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48"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23001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一、返还性支出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8,981</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8,981</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2300102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所得税基数返还支出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3,281</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3,281</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2300104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增值税税收返还支出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5,153</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5,153</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2300105</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消费税税收返还支出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420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420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2300106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增值税“五五分享”税收返还收入</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2300199</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其他返还性支出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127</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127</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23002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二、一般性转移支付</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lang w:val="en-US"/>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390,015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560,452</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43.70%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2300201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体制补助支出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6,569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130,813</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1891.37%</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2300202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均衡性转移支付支出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51,483</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66,800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29.75%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2300207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县级基本财力保障机制奖补资金支出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37,223</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42,464</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14.08%</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2300208</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结算补助支出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2300214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企事业单位划转补助支出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909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909</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2300226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重点生态功能区转移支付支出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2300227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固定数额补助支出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112,629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130,050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15.47%</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2300230</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边境地区转移支付支出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449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13</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-97.10%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07"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2300231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巩固脱贫攻坚成果衔接乡村振兴转移支付</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31,905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35,381</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10.89%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一般公共服务共同财政事权转移支付支出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1,547</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1,700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9.89%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2300243</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国防共同财政事权转移支付支出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174</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186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6.90%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公共安全共同财政事权转移支付支出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10,994</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11,523</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4.81%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2300245</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教育共同财政事权转移支付支出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28,560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29,336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2.72%</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科学技术共同财政事权转移支付支出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210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267</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27.14%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37"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文化旅游体育与传媒共同财政事权转移支付支出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5,855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6,279</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7.24%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2300248</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社会保障和就业共同财政事权转移支付支出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24,044</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highlight w:val="none"/>
                <w:u w:val="none"/>
                <w:lang w:val="en-US"/>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18,672</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highlight w:val="none"/>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-22.34%</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2300249</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医疗卫生共同财政事权转移支付支出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39,218</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highlight w:val="none"/>
                <w:u w:val="none"/>
                <w:lang w:val="en-US"/>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40,667</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highlight w:val="none"/>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3.69%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2300250</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节能环保共同财政事权转移支付支出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1,569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1,419</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-9.56%</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城乡社区共同财政事权转移支付支出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2,517</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农林水共同财政事权转移支付支出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19,832</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26,109</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31.65%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2300253</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交通运输共同财政事权转移支付支出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9,789</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1,078</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-88.99%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资源勘探信息等共同财政事权转移支付支出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71"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自然资源海洋气象等共同财政事权转移支付支出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95"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2300258</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住房保障共同财政事权转移支付支出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4,514</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14,260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215.91%</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36" w:hRule="atLeas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2300260</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灾害防治及应急管理共同财政事权转移支付支出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2,526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50420.00%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2300296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增值税留抵退税转移支付支出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2300297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其他退税减税降费转移支付收入</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t>23003</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三、专项转移支付</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17,006</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30,063</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76.78%</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一般公共服务</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6</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41</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583.33%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外交</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2300303</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国防</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公共安全</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2300305</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教育</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科学技术</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eastAsia="zh-CN"/>
                <w14:textFill>
                  <w14:solidFill>
                    <w14:schemeClr w14:val="tx1"/>
                  </w14:solidFill>
                </w14:textFill>
              </w:rPr>
            </w:pPr>
            <w:r>
              <w:rPr>
                <w:rFonts w:hint="eastAsia" w:ascii="宋体" w:hAnsi="宋体" w:eastAsia="宋体" w:cs="宋体"/>
                <w:i w:val="0"/>
                <w:color w:val="000000" w:themeColor="text1"/>
                <w:sz w:val="18"/>
                <w:szCs w:val="18"/>
                <w:u w:val="none"/>
                <w:lang w:val="en-US" w:eastAsia="zh-CN"/>
                <w14:textFill>
                  <w14:solidFill>
                    <w14:schemeClr w14:val="tx1"/>
                  </w14:solidFill>
                </w14:textFill>
              </w:rPr>
              <w:t>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文化旅游与传媒</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2300308</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社会保障和就业</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2300310</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卫生健康</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1,138</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1,136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-0.18%</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节能环保</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4,556</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8,516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86.92%</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2300312</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城乡社区</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9,600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eastAsia="zh-CN"/>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2300313</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农林水</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1,375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2,937</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113.60%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交通运输</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eastAsia="zh-CN"/>
                <w14:textFill>
                  <w14:solidFill>
                    <w14:schemeClr w14:val="tx1"/>
                  </w14:solidFill>
                </w14:textFill>
              </w:rPr>
            </w:pPr>
            <w:r>
              <w:rPr>
                <w:rFonts w:hint="eastAsia" w:ascii="宋体" w:hAnsi="宋体" w:eastAsia="宋体" w:cs="宋体"/>
                <w:i w:val="0"/>
                <w:color w:val="000000" w:themeColor="text1"/>
                <w:sz w:val="18"/>
                <w:szCs w:val="18"/>
                <w:u w:val="none"/>
                <w:lang w:val="en-US" w:eastAsia="zh-CN"/>
                <w14:textFill>
                  <w14:solidFill>
                    <w14:schemeClr w14:val="tx1"/>
                  </w14:solidFill>
                </w14:textFill>
              </w:rPr>
              <w:t>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5,685</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eastAsia="zh-CN"/>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2300315</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资源勘探工业信息等</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5</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154</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2980.00%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2300316</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商业服务业等</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326</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1,584</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385.89%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2300317</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金融</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2300320</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自然资源海洋气象等</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lang w:val="en-US" w:eastAsia="zh-CN"/>
                <w14:textFill>
                  <w14:solidFill>
                    <w14:schemeClr w14:val="tx1"/>
                  </w14:solidFill>
                </w14:textFill>
              </w:rPr>
            </w:pPr>
            <w:r>
              <w:rPr>
                <w:rFonts w:hint="eastAsia" w:ascii="宋体" w:hAnsi="宋体" w:eastAsia="宋体" w:cs="宋体"/>
                <w:i w:val="0"/>
                <w:color w:val="000000" w:themeColor="text1"/>
                <w:sz w:val="18"/>
                <w:szCs w:val="18"/>
                <w:u w:val="none"/>
                <w:lang w:val="en-US" w:eastAsia="zh-CN"/>
                <w14:textFill>
                  <w14:solidFill>
                    <w14:schemeClr w14:val="tx1"/>
                  </w14:solidFill>
                </w14:textFill>
              </w:rPr>
              <w:t>0</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100.00%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07"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2300321</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住房保障</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2300324</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灾害防治及应急管理</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386"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hd w:val="clear"/>
              <w:spacing w:before="0" w:beforeAutospacing="0" w:after="0" w:afterAutospacing="0"/>
              <w:ind w:left="0" w:leftChars="0" w:right="0" w:rightChars="0"/>
              <w:jc w:val="center"/>
              <w:textAlignment w:val="bottom"/>
              <w:rPr>
                <w:rFonts w:hint="eastAsia" w:ascii="宋体" w:hAnsi="宋体" w:eastAsia="宋体" w:cs="宋体"/>
                <w:b/>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2300399</w:t>
            </w: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left"/>
              <w:textAlignment w:val="center"/>
              <w:rPr>
                <w:rFonts w:hint="eastAsia" w:ascii="宋体" w:hAnsi="宋体" w:eastAsia="宋体" w:cs="宋体"/>
                <w:b/>
                <w:i w:val="0"/>
                <w:color w:val="000000" w:themeColor="text1"/>
                <w:sz w:val="18"/>
                <w:szCs w:val="18"/>
                <w:u w:val="none"/>
                <w14:textFill>
                  <w14:solidFill>
                    <w14:schemeClr w14:val="tx1"/>
                  </w14:solidFill>
                </w14:textFill>
              </w:rPr>
            </w:pPr>
            <w:r>
              <w:rPr>
                <w:rFonts w:hint="eastAsia" w:ascii="宋体" w:hAnsi="宋体" w:eastAsia="宋体" w:cs="宋体"/>
                <w:i w:val="0"/>
                <w:color w:val="000000" w:themeColor="text1"/>
                <w:kern w:val="0"/>
                <w:sz w:val="18"/>
                <w:szCs w:val="18"/>
                <w:highlight w:val="none"/>
                <w:u w:val="none"/>
                <w:lang w:val="en-US" w:eastAsia="zh-CN" w:bidi="ar"/>
                <w14:textFill>
                  <w14:solidFill>
                    <w14:schemeClr w14:val="tx1"/>
                  </w14:solidFill>
                </w14:textFill>
              </w:rPr>
              <w:t>其他收入</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i w:val="0"/>
                <w:color w:val="000000" w:themeColor="text1"/>
                <w:sz w:val="18"/>
                <w:szCs w:val="18"/>
                <w:u w:val="none"/>
                <w14:textFill>
                  <w14:solidFill>
                    <w14:schemeClr w14:val="tx1"/>
                  </w14:solidFill>
                </w14:textFill>
              </w:rPr>
            </w:pP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sz w:val="18"/>
                <w:szCs w:val="18"/>
                <w:lang w:val="en-US" w:eastAsia="zh-CN"/>
              </w:rPr>
            </w:pP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宋体" w:hAnsi="宋体" w:eastAsia="宋体" w:cs="宋体"/>
                <w:b/>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488" w:hRule="exact"/>
          <w:jc w:val="center"/>
        </w:trPr>
        <w:tc>
          <w:tcPr>
            <w:tcW w:w="1182" w:type="dxa"/>
            <w:tcBorders>
              <w:tl2br w:val="nil"/>
              <w:tr2bl w:val="nil"/>
            </w:tcBorders>
            <w:shd w:val="clear" w:color="auto" w:fill="auto"/>
            <w:tcMar>
              <w:top w:w="15" w:type="dxa"/>
              <w:left w:w="15" w:type="dxa"/>
              <w:right w:w="15" w:type="dxa"/>
            </w:tcMar>
            <w:vAlign w:val="center"/>
          </w:tcPr>
          <w:p>
            <w:pPr>
              <w:keepNext w:val="0"/>
              <w:keepLines w:val="0"/>
              <w:suppressLineNumbers w:val="0"/>
              <w:shd w:val="clear"/>
              <w:spacing w:before="0" w:beforeAutospacing="0" w:after="0" w:afterAutospacing="0"/>
              <w:ind w:left="0" w:leftChars="0" w:right="0" w:rightChars="0"/>
              <w:jc w:val="center"/>
              <w:rPr>
                <w:rFonts w:hint="eastAsia" w:ascii="宋体" w:hAnsi="宋体" w:eastAsia="宋体" w:cs="宋体"/>
                <w:b/>
                <w:bCs/>
                <w:i w:val="0"/>
                <w:iCs w:val="0"/>
                <w:color w:val="000000" w:themeColor="text1"/>
                <w:kern w:val="0"/>
                <w:sz w:val="18"/>
                <w:szCs w:val="18"/>
                <w:highlight w:val="none"/>
                <w:u w:val="none"/>
                <w:lang w:val="en-US" w:eastAsia="zh-CN" w:bidi="ar"/>
                <w14:textFill>
                  <w14:solidFill>
                    <w14:schemeClr w14:val="tx1"/>
                  </w14:solidFill>
                </w14:textFill>
              </w:rPr>
            </w:pPr>
          </w:p>
        </w:tc>
        <w:tc>
          <w:tcPr>
            <w:tcW w:w="4032"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center"/>
              <w:textAlignment w:val="cente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cs="宋体"/>
                <w:b/>
                <w:bCs/>
                <w:i w:val="0"/>
                <w:color w:val="000000" w:themeColor="text1"/>
                <w:kern w:val="0"/>
                <w:sz w:val="18"/>
                <w:szCs w:val="18"/>
                <w:highlight w:val="none"/>
                <w:u w:val="none"/>
                <w:lang w:val="en-US" w:eastAsia="zh-CN" w:bidi="ar"/>
                <w14:textFill>
                  <w14:solidFill>
                    <w14:schemeClr w14:val="tx1"/>
                  </w14:solidFill>
                </w14:textFill>
              </w:rPr>
              <w:t>吐鲁番市</w:t>
            </w: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对全市税收返还和转移支付合计</w:t>
            </w:r>
          </w:p>
        </w:tc>
        <w:tc>
          <w:tcPr>
            <w:tcW w:w="1276"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right"/>
              <w:textAlignment w:val="cente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416,002</w:t>
            </w:r>
          </w:p>
        </w:tc>
        <w:tc>
          <w:tcPr>
            <w:tcW w:w="1264"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right"/>
              <w:textAlignment w:val="cente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599,496</w:t>
            </w:r>
          </w:p>
        </w:tc>
        <w:tc>
          <w:tcPr>
            <w:tcW w:w="1350"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0" w:rightChars="0"/>
              <w:jc w:val="right"/>
              <w:textAlignment w:val="cente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18"/>
                <w:szCs w:val="18"/>
                <w:highlight w:val="none"/>
                <w:u w:val="none"/>
                <w:lang w:val="en-US" w:eastAsia="zh-CN" w:bidi="ar"/>
                <w14:textFill>
                  <w14:solidFill>
                    <w14:schemeClr w14:val="tx1"/>
                  </w14:solidFill>
                </w14:textFill>
              </w:rPr>
              <w:t>44.11%</w:t>
            </w:r>
          </w:p>
        </w:tc>
      </w:tr>
    </w:tbl>
    <w:p>
      <w:pPr>
        <w:pStyle w:val="2"/>
        <w:rPr>
          <w:rFonts w:hint="eastAsia" w:ascii="宋体" w:hAnsi="宋体" w:eastAsia="宋体" w:cs="宋体"/>
          <w:b/>
          <w:bCs w:val="0"/>
          <w:kern w:val="0"/>
          <w:sz w:val="18"/>
          <w:szCs w:val="18"/>
          <w:lang w:val="en-US" w:eastAsia="zh-CN"/>
        </w:rPr>
      </w:pPr>
    </w:p>
    <w:tbl>
      <w:tblPr>
        <w:tblStyle w:val="15"/>
        <w:tblW w:w="9735" w:type="dxa"/>
        <w:tblInd w:w="-3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03"/>
        <w:gridCol w:w="3360"/>
        <w:gridCol w:w="567"/>
        <w:gridCol w:w="933"/>
        <w:gridCol w:w="432"/>
        <w:gridCol w:w="1080"/>
        <w:gridCol w:w="300"/>
        <w:gridCol w:w="1296"/>
        <w:gridCol w:w="114"/>
        <w:gridCol w:w="1291"/>
        <w:gridCol w:w="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gridAfter w:val="1"/>
          <w:wBefore w:w="303" w:type="dxa"/>
          <w:wAfter w:w="59" w:type="dxa"/>
          <w:trHeight w:val="312" w:hRule="atLeast"/>
        </w:trPr>
        <w:tc>
          <w:tcPr>
            <w:tcW w:w="3360" w:type="dxa"/>
            <w:tcBorders>
              <w:top w:val="nil"/>
              <w:left w:val="nil"/>
              <w:bottom w:val="nil"/>
              <w:right w:val="nil"/>
            </w:tcBorders>
            <w:shd w:val="clear" w:color="auto" w:fill="auto"/>
            <w:noWrap/>
            <w:tcMar>
              <w:top w:w="12" w:type="dxa"/>
              <w:left w:w="12" w:type="dxa"/>
              <w:right w:w="12" w:type="dxa"/>
            </w:tcMar>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color w:val="000000"/>
                <w:sz w:val="18"/>
                <w:szCs w:val="18"/>
                <w:u w:val="none"/>
              </w:rPr>
            </w:pPr>
          </w:p>
        </w:tc>
        <w:tc>
          <w:tcPr>
            <w:tcW w:w="1500"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rPr>
                <w:rFonts w:hint="eastAsia" w:ascii="宋体" w:hAnsi="宋体" w:eastAsia="宋体" w:cs="宋体"/>
                <w:i w:val="0"/>
                <w:color w:val="000000"/>
                <w:sz w:val="18"/>
                <w:szCs w:val="18"/>
                <w:u w:val="none"/>
              </w:rPr>
            </w:pPr>
          </w:p>
        </w:tc>
        <w:tc>
          <w:tcPr>
            <w:tcW w:w="1512"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rPr>
                <w:rFonts w:hint="eastAsia" w:ascii="宋体" w:hAnsi="宋体" w:eastAsia="宋体" w:cs="宋体"/>
                <w:i w:val="0"/>
                <w:color w:val="000000"/>
                <w:sz w:val="18"/>
                <w:szCs w:val="18"/>
                <w:u w:val="none"/>
              </w:rPr>
            </w:pPr>
          </w:p>
        </w:tc>
        <w:tc>
          <w:tcPr>
            <w:tcW w:w="1596"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rPr>
                <w:rFonts w:hint="eastAsia" w:ascii="宋体" w:hAnsi="宋体" w:eastAsia="宋体" w:cs="宋体"/>
                <w:i w:val="0"/>
                <w:color w:val="000000"/>
                <w:sz w:val="18"/>
                <w:szCs w:val="18"/>
                <w:u w:val="none"/>
              </w:rPr>
            </w:pPr>
          </w:p>
        </w:tc>
        <w:tc>
          <w:tcPr>
            <w:tcW w:w="1405"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suppressLineNumbers w:val="0"/>
              <w:spacing w:before="0" w:beforeAutospacing="0" w:after="0" w:afterAutospacing="0"/>
              <w:ind w:left="0" w:right="0"/>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gridAfter w:val="1"/>
          <w:wBefore w:w="303" w:type="dxa"/>
          <w:wAfter w:w="59" w:type="dxa"/>
          <w:trHeight w:val="480" w:hRule="atLeast"/>
        </w:trPr>
        <w:tc>
          <w:tcPr>
            <w:tcW w:w="9373" w:type="dxa"/>
            <w:gridSpan w:val="9"/>
            <w:tcBorders>
              <w:top w:val="nil"/>
              <w:left w:val="nil"/>
              <w:bottom w:val="nil"/>
              <w:right w:val="nil"/>
            </w:tcBorders>
            <w:shd w:val="clear" w:color="auto" w:fill="FFFFFF"/>
            <w:tcMar>
              <w:top w:w="12" w:type="dxa"/>
              <w:left w:w="12" w:type="dxa"/>
              <w:right w:w="12"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i w:val="0"/>
                <w:color w:val="000000"/>
                <w:kern w:val="0"/>
                <w:sz w:val="30"/>
                <w:szCs w:val="30"/>
                <w:u w:val="none"/>
                <w:lang w:val="en-US" w:eastAsia="zh-CN" w:bidi="ar"/>
              </w:rPr>
            </w:pPr>
            <w:r>
              <w:rPr>
                <w:rFonts w:hint="eastAsia" w:ascii="宋体" w:hAnsi="宋体" w:eastAsia="宋体" w:cs="宋体"/>
                <w:i w:val="0"/>
                <w:color w:val="000000" w:themeColor="text1"/>
                <w:kern w:val="0"/>
                <w:sz w:val="18"/>
                <w:szCs w:val="18"/>
                <w:u w:val="none"/>
                <w:lang w:val="en-US" w:eastAsia="zh-CN" w:bidi="ar"/>
                <w14:textFill>
                  <w14:solidFill>
                    <w14:schemeClr w14:val="tx1"/>
                  </w14:solidFill>
                </w14:textFill>
              </w:rPr>
              <w:t>表8</w:t>
            </w:r>
          </w:p>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i w:val="0"/>
                <w:color w:val="000000"/>
                <w:sz w:val="30"/>
                <w:szCs w:val="30"/>
                <w:u w:val="none"/>
              </w:rPr>
            </w:pPr>
            <w:r>
              <w:rPr>
                <w:rFonts w:hint="eastAsia" w:ascii="宋体" w:hAnsi="宋体" w:eastAsia="宋体" w:cs="宋体"/>
                <w:b/>
                <w:i w:val="0"/>
                <w:color w:val="000000"/>
                <w:kern w:val="0"/>
                <w:sz w:val="30"/>
                <w:szCs w:val="30"/>
                <w:u w:val="none"/>
                <w:lang w:val="en-US" w:eastAsia="zh-CN" w:bidi="ar"/>
              </w:rPr>
              <w:t>2025年吐鲁番市一般公共预算对下转移支付情况表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gridAfter w:val="1"/>
          <w:wBefore w:w="303" w:type="dxa"/>
          <w:wAfter w:w="59" w:type="dxa"/>
          <w:trHeight w:val="480" w:hRule="atLeast"/>
        </w:trPr>
        <w:tc>
          <w:tcPr>
            <w:tcW w:w="9373" w:type="dxa"/>
            <w:gridSpan w:val="9"/>
            <w:tcBorders>
              <w:top w:val="nil"/>
              <w:left w:val="nil"/>
              <w:bottom w:val="nil"/>
              <w:right w:val="nil"/>
            </w:tcBorders>
            <w:shd w:val="clear" w:color="auto" w:fill="FFFFFF"/>
            <w:tcMar>
              <w:top w:w="12" w:type="dxa"/>
              <w:left w:w="12" w:type="dxa"/>
              <w:right w:w="12"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i w:val="0"/>
                <w:color w:val="000000"/>
                <w:sz w:val="30"/>
                <w:szCs w:val="30"/>
                <w:u w:val="none"/>
              </w:rPr>
            </w:pPr>
            <w:r>
              <w:rPr>
                <w:rFonts w:hint="eastAsia" w:ascii="宋体" w:hAnsi="宋体" w:eastAsia="宋体" w:cs="宋体"/>
                <w:b/>
                <w:i w:val="0"/>
                <w:color w:val="000000"/>
                <w:kern w:val="0"/>
                <w:sz w:val="30"/>
                <w:szCs w:val="30"/>
                <w:u w:val="none"/>
                <w:lang w:val="en-US" w:eastAsia="zh-CN" w:bidi="ar"/>
              </w:rPr>
              <w:t xml:space="preserve">  （分地区、分项目）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gridAfter w:val="1"/>
          <w:wBefore w:w="303" w:type="dxa"/>
          <w:wAfter w:w="59" w:type="dxa"/>
          <w:trHeight w:val="269" w:hRule="atLeast"/>
        </w:trPr>
        <w:tc>
          <w:tcPr>
            <w:tcW w:w="9373" w:type="dxa"/>
            <w:gridSpan w:val="9"/>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 xml:space="preserve">                                                                                            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    目</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高昌区</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鄯善县</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托克逊县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合 计</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501,699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190,544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165,022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146,133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返还性支出</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8,634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3,694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2,678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2,262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所得税基数返还收入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2,934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1,116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1,669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增值税税收返还收入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5,153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2,113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963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2,077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消费税税收返还收入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420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338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其他返还性收入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一般性转移支付支出</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476,114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178,211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157,696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140,208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体制补助收入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123,582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24,606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41,079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57,897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均衡性转移支付收入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58,743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25,235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19,944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13,563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县级基本财力保障机制奖补资金收入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42,385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20,284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13,434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固定数额补助收入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111,197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41,572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37,510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32,116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巩固脱贫攻坚成果衔接乡村振兴转移支付收入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35,381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20,964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9,566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4,851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一般公共服务共同财政事权转移支付收入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1,432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623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488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国防共同财政事权转移支付收入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公共安全共同财政事权转移支付收入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6,007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2,847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1,915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1,246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教育共同财政事权转移支付收入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25,315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9,915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8,914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6,486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科学技术共同财政事权转移支付收入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183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78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文化旅游体育与传媒共同财政事权转移支付收入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1,912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925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659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社会保障和就业共同财政事权转移支付收入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17,999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8,693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5,041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4,265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医疗卫生共同财政事权转移支付收入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10,732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4,599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3,676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2,457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节能环保共同财政事权转移支付收入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1,319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619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农林水共同财政事权转移支付收入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22,065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8,592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8,560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交通运输共同财政事权转移支付收入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1,077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194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住房保障共同财政事权转移支付收入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14,260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8,344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3,497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2,419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灾害防治及应急管理共同财政事权转移支付收入</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2,526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2,522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专项转移支付</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16,951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8,640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4,648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3,664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一般公共服务</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5"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卫生健康</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549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239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179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节能环保 </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7,610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5,571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1,972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农林水</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2,937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537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1,912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交通运输</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5,684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2,284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578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2,823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4230"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资源勘探工业信息等</w:t>
            </w:r>
          </w:p>
        </w:tc>
        <w:tc>
          <w:tcPr>
            <w:tcW w:w="136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c>
          <w:tcPr>
            <w:tcW w:w="138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4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5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r>
    </w:tbl>
    <w:p>
      <w:pPr>
        <w:numPr>
          <w:ilvl w:val="0"/>
          <w:numId w:val="0"/>
        </w:numPr>
        <w:tabs>
          <w:tab w:val="left" w:pos="2148"/>
          <w:tab w:val="left" w:pos="6940"/>
          <w:tab w:val="left" w:pos="7360"/>
        </w:tabs>
        <w:spacing w:before="190" w:line="350" w:lineRule="auto"/>
        <w:ind w:right="1704" w:rightChars="0" w:firstLine="723" w:firstLineChars="400"/>
        <w:jc w:val="both"/>
        <w:rPr>
          <w:rFonts w:hint="eastAsia" w:ascii="宋体" w:hAnsi="宋体" w:eastAsia="宋体" w:cs="宋体"/>
          <w:b/>
          <w:bCs w:val="0"/>
          <w:kern w:val="0"/>
          <w:sz w:val="18"/>
          <w:szCs w:val="18"/>
          <w:lang w:val="en-US" w:eastAsia="zh-Hans"/>
        </w:rPr>
      </w:pPr>
    </w:p>
    <w:tbl>
      <w:tblPr>
        <w:tblStyle w:val="15"/>
        <w:tblW w:w="1143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8"/>
        <w:gridCol w:w="4311"/>
        <w:gridCol w:w="1321"/>
        <w:gridCol w:w="1200"/>
        <w:gridCol w:w="1254"/>
        <w:gridCol w:w="19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9" w:hRule="atLeast"/>
        </w:trPr>
        <w:tc>
          <w:tcPr>
            <w:tcW w:w="11430" w:type="dxa"/>
            <w:gridSpan w:val="6"/>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bCs/>
                <w:i w:val="0"/>
                <w:iCs w:val="0"/>
                <w:color w:val="000000"/>
                <w:sz w:val="18"/>
                <w:szCs w:val="18"/>
                <w:u w:val="none"/>
              </w:rPr>
            </w:pPr>
            <w:r>
              <w:rPr>
                <w:rFonts w:hint="eastAsia" w:ascii="楷体" w:hAnsi="楷体" w:eastAsia="楷体" w:cs="楷体"/>
                <w:b/>
                <w:bCs/>
                <w:i w:val="0"/>
                <w:iCs w:val="0"/>
                <w:color w:val="000000"/>
                <w:kern w:val="0"/>
                <w:sz w:val="44"/>
                <w:szCs w:val="44"/>
                <w:u w:val="none"/>
                <w:lang w:val="en-US" w:eastAsia="zh-CN" w:bidi="ar"/>
              </w:rPr>
              <w:t>二、政府性基金预算公开表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0" w:hRule="atLeast"/>
        </w:trPr>
        <w:tc>
          <w:tcPr>
            <w:tcW w:w="1418"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21"/>
                <w:szCs w:val="21"/>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21"/>
                <w:szCs w:val="21"/>
                <w:u w:val="none"/>
                <w:lang w:val="en-US" w:eastAsia="zh-CN" w:bidi="ar"/>
              </w:rPr>
              <w:t>表9</w:t>
            </w:r>
          </w:p>
        </w:tc>
        <w:tc>
          <w:tcPr>
            <w:tcW w:w="4311"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21"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20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254"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9504" w:type="dxa"/>
            <w:gridSpan w:val="5"/>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b/>
                <w:bCs/>
                <w:i w:val="0"/>
                <w:iCs w:val="0"/>
                <w:color w:val="000000"/>
                <w:kern w:val="0"/>
                <w:sz w:val="32"/>
                <w:szCs w:val="32"/>
                <w:u w:val="none"/>
                <w:lang w:val="en-US" w:eastAsia="zh-CN" w:bidi="ar"/>
              </w:rPr>
              <w:t>2025年吐鲁番市政府性基金收入表</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18"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4311"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321"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20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c>
          <w:tcPr>
            <w:tcW w:w="1254" w:type="dxa"/>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单位：万元</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1" w:hRule="atLeast"/>
        </w:trPr>
        <w:tc>
          <w:tcPr>
            <w:tcW w:w="141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科目编码</w:t>
            </w:r>
          </w:p>
        </w:tc>
        <w:tc>
          <w:tcPr>
            <w:tcW w:w="431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    目</w:t>
            </w:r>
          </w:p>
        </w:tc>
        <w:tc>
          <w:tcPr>
            <w:tcW w:w="1321"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2024年完成数</w:t>
            </w:r>
          </w:p>
        </w:tc>
        <w:tc>
          <w:tcPr>
            <w:tcW w:w="120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lang w:val="en-US" w:eastAsia="zh-CN"/>
              </w:rPr>
            </w:pPr>
            <w:r>
              <w:rPr>
                <w:rFonts w:hint="eastAsia" w:ascii="宋体" w:hAnsi="宋体" w:eastAsia="宋体" w:cs="宋体"/>
                <w:b/>
                <w:bCs/>
                <w:i w:val="0"/>
                <w:iCs w:val="0"/>
                <w:color w:val="000000"/>
                <w:kern w:val="0"/>
                <w:sz w:val="21"/>
                <w:szCs w:val="21"/>
                <w:u w:val="none"/>
                <w:lang w:val="en-US" w:eastAsia="zh-CN" w:bidi="ar"/>
              </w:rPr>
              <w:t>2025年预算数</w:t>
            </w:r>
          </w:p>
        </w:tc>
        <w:tc>
          <w:tcPr>
            <w:tcW w:w="12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预算数为上年完成数的%</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431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321"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20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2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9"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一、农网还贷资金收入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8"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1030112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二、海南省高等级公路车辆通行附加费收入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1030129</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三、国家电影事业发展专项资金收入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1030146</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四、国有土地收益基金收入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1030147</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五、农业土地开发资金收入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1"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1030148</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六、国有土地使用权出让收入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39,137</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83,018</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212.12%</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1030149</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七、大中型水库库区基金收入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1030155</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八、彩票公益金收入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2,455</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2,796</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113.89%</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103015501</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福利彩票公益金收入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1,624</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1,620</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99.75%</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103015502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体育彩票公益金收入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831</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1,176</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141.52%</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1030156</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九、城市基础设施配套费收入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2,118</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2,200</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103.87%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1030157</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十、小型水库移民扶助基金收入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1030158</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十一、国家重大水利工程建设基金收入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1030159</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十二、车辆通行费</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1030178</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十三、污水处理费收入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十四、彩票发行机构和彩票销售机构的业务费用</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272</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260</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95.59%</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103018001</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福利彩票销售机构的业务费用</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272</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260</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95.59%</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103018003</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体育彩票销售机构的业务费用</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103018004</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彩票兑奖周转金</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103018006</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彩票发行销售风险基金</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103018007</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彩票市场调控资金收入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10310</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十五、专项债券对应项目专项收入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42,671</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50,084</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117.37%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2"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1031006</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国有土地使用权出让金专项债务对应项目专项收入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 xml:space="preserve"> </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lang w:val="en-US"/>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103100602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棚户区改造专项债券对应项目专项收入  </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1031014</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污水处理费专项债务对应项目专项收入  </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1031099</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其他政府性基金专项债券对应项目专项收入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42,671</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50,084</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117.37%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政府性基金收入小计</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86,653</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138,358</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159.67%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11004</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政府性基金转移支付收入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49994</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5033</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1100802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政府性基金预算上年结余收入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33784</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55766</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165.07%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1100902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调入政府性基金预算资金</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36</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1050402</w:t>
            </w: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地方政府专项债务收入</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461000</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4" w:hRule="atLeast"/>
        </w:trPr>
        <w:tc>
          <w:tcPr>
            <w:tcW w:w="1418"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431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政府性基金收入合计</w:t>
            </w:r>
          </w:p>
        </w:tc>
        <w:tc>
          <w:tcPr>
            <w:tcW w:w="1321"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631,467</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249,241</w:t>
            </w:r>
          </w:p>
        </w:tc>
        <w:tc>
          <w:tcPr>
            <w:tcW w:w="125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39.47%</w:t>
            </w:r>
          </w:p>
        </w:tc>
        <w:tc>
          <w:tcPr>
            <w:tcW w:w="1926"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18"/>
                <w:szCs w:val="18"/>
                <w:u w:val="none"/>
              </w:rPr>
            </w:pPr>
          </w:p>
        </w:tc>
      </w:tr>
    </w:tbl>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tbl>
      <w:tblPr>
        <w:tblStyle w:val="15"/>
        <w:tblW w:w="971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25"/>
        <w:gridCol w:w="5190"/>
        <w:gridCol w:w="1086"/>
        <w:gridCol w:w="1139"/>
        <w:gridCol w:w="11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5" w:hRule="atLeast"/>
        </w:trPr>
        <w:tc>
          <w:tcPr>
            <w:tcW w:w="1125" w:type="dxa"/>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表10</w:t>
            </w:r>
          </w:p>
        </w:tc>
        <w:tc>
          <w:tcPr>
            <w:tcW w:w="5190" w:type="dxa"/>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FF0000"/>
                <w:sz w:val="18"/>
                <w:szCs w:val="18"/>
                <w:u w:val="none"/>
              </w:rPr>
            </w:pPr>
            <w:r>
              <w:rPr>
                <w:rFonts w:hint="eastAsia" w:ascii="宋体" w:hAnsi="宋体" w:eastAsia="宋体" w:cs="宋体"/>
                <w:i w:val="0"/>
                <w:iCs w:val="0"/>
                <w:color w:val="FF0000"/>
                <w:kern w:val="0"/>
                <w:sz w:val="18"/>
                <w:szCs w:val="18"/>
                <w:u w:val="none"/>
                <w:lang w:val="en-US" w:eastAsia="zh-CN" w:bidi="ar"/>
              </w:rPr>
              <w:t xml:space="preserve"> </w:t>
            </w:r>
          </w:p>
        </w:tc>
        <w:tc>
          <w:tcPr>
            <w:tcW w:w="1086"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74"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5" w:hRule="atLeast"/>
        </w:trPr>
        <w:tc>
          <w:tcPr>
            <w:tcW w:w="9714" w:type="dxa"/>
            <w:gridSpan w:val="5"/>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32"/>
                <w:szCs w:val="32"/>
                <w:u w:val="none"/>
                <w:lang w:val="en-US" w:eastAsia="zh-CN" w:bidi="ar"/>
              </w:rPr>
              <w:t xml:space="preserve">   202</w:t>
            </w:r>
            <w:r>
              <w:rPr>
                <w:rFonts w:hint="eastAsia" w:ascii="宋体" w:hAnsi="宋体" w:cs="宋体"/>
                <w:b/>
                <w:bCs/>
                <w:i w:val="0"/>
                <w:iCs w:val="0"/>
                <w:color w:val="000000"/>
                <w:kern w:val="0"/>
                <w:sz w:val="32"/>
                <w:szCs w:val="32"/>
                <w:u w:val="none"/>
                <w:lang w:val="en-US" w:eastAsia="zh-CN" w:bidi="ar"/>
              </w:rPr>
              <w:t>5</w:t>
            </w:r>
            <w:r>
              <w:rPr>
                <w:rStyle w:val="59"/>
                <w:rFonts w:hint="eastAsia" w:ascii="宋体" w:hAnsi="宋体" w:eastAsia="宋体" w:cs="宋体"/>
                <w:sz w:val="32"/>
                <w:szCs w:val="32"/>
                <w:lang w:val="en-US" w:eastAsia="zh-CN" w:bidi="ar"/>
              </w:rPr>
              <w:t>年吐鲁番市政府性基金支出表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5190"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1086"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74" w:type="dxa"/>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12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科目编码</w:t>
            </w:r>
          </w:p>
        </w:tc>
        <w:tc>
          <w:tcPr>
            <w:tcW w:w="5190"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项      目</w:t>
            </w:r>
          </w:p>
        </w:tc>
        <w:tc>
          <w:tcPr>
            <w:tcW w:w="108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2024年完成数</w:t>
            </w:r>
          </w:p>
        </w:tc>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2025年预算数</w:t>
            </w:r>
          </w:p>
        </w:tc>
        <w:tc>
          <w:tcPr>
            <w:tcW w:w="117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预算数为上年完成数的%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5190"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08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17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bCs/>
                <w:i w:val="0"/>
                <w:iCs w:val="0"/>
                <w:color w:val="000000"/>
                <w:sz w:val="18"/>
                <w:szCs w:val="18"/>
                <w:u w:val="none"/>
                <w:lang w:val="en-US"/>
              </w:rPr>
            </w:pPr>
            <w:r>
              <w:rPr>
                <w:rFonts w:hint="eastAsia" w:ascii="宋体" w:hAnsi="宋体" w:eastAsia="宋体" w:cs="宋体"/>
                <w:b/>
                <w:bCs/>
                <w:i w:val="0"/>
                <w:iCs w:val="0"/>
                <w:color w:val="000000"/>
                <w:kern w:val="0"/>
                <w:sz w:val="18"/>
                <w:szCs w:val="18"/>
                <w:u w:val="none"/>
                <w:lang w:val="en-US" w:eastAsia="zh-CN" w:bidi="ar"/>
              </w:rPr>
              <w:t>一、文化旅游体育与传媒支出</w:t>
            </w:r>
            <w:r>
              <w:rPr>
                <w:rFonts w:hint="eastAsia" w:ascii="宋体" w:hAnsi="宋体" w:cs="宋体"/>
                <w:b/>
                <w:bCs/>
                <w:i w:val="0"/>
                <w:iCs w:val="0"/>
                <w:color w:val="000000"/>
                <w:kern w:val="0"/>
                <w:sz w:val="18"/>
                <w:szCs w:val="18"/>
                <w:u w:val="none"/>
                <w:lang w:val="en-US" w:eastAsia="zh-CN" w:bidi="ar"/>
              </w:rPr>
              <w:t>w</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旅游发展基金支出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383.33%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2070903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旅游事业补助</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81</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2070904</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地方旅游开发项目补助</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126</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节能环保支出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636</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318.00%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21198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超长期特别国债安排的支出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636</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2119802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应对气候变化</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636</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二、城乡社区支出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454,420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57,635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12.68%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国有土地使用权出让收入安排的支出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35,174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23,947</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68.08%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征地和拆迁补偿支出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18,559</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4,865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26.21%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2120804</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农村基础设施建设支出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1,477</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2120815</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农村社会事业支出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2120816</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农业农村生态环境支出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其他国有土地使用权出让收入安排的支出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15,094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19,082</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126.42%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城市基础设施配套费安排的支出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1,985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1,825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91.94%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2121301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城市公共设施</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1,017</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500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2121302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城市环境卫生</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786</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2121399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其他城市基础设施配套费安排的支出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182</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1,325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728.02%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21216</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棚户区改造专项债券收入安排的支出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3,575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2121699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其他棚户区改造专项债券收入安排的支出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3,575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400" w:right="0" w:hanging="360" w:hanging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国有土地使用权出让收入对应专项债务收入安排的支出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413,000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31,863</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征地和拆迁补偿支出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187,200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2121903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城市建设支出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2121906</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137,000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2129801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城乡社区公共设施</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16,963</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2129899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其他城乡社区支出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14,900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400" w:right="0" w:hanging="360" w:hangingChars="20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其他国有土地使用权出让收入对应专项债务收入安排的支出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88,800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三、农林水支出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1,084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922</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85.06%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21372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大中型水库移民后期扶持基金支出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1,084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922</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85.06%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2137201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移民补助</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291</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694</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238.49%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2137202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基础设施建设和经济发展</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793</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228</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28.75%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四、资源勘探工业信息等支出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4,031</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4,184</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103.80%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超长期特别国债安排的支出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4,184</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2159802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制造业</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4,184</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五、其他支出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16,734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20,060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119.88%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22904</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其他政府性基金及对应专项债务收入安排的支出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10,740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6,705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62.43%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2290401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其他政府性基金安排的支出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2290402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其他地方自行试点项目收益专项债券收入安排的支出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10,740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6,705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62.43%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彩票发行销售机构业务费安排的支出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409</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352</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86.06%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2290804</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福利彩票销售机构的业务费支出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133.33%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2290808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彩票市场调控资金支出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51.06%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其他彩票发行销售机构业务费安排的支出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2290901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抗疫特别国债财务基金支出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彩票公益金安排的支出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5,585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10,603</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189.85%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2290602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用于社会福利的彩票公益金支出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2,922</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5,737</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196.34%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2290603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用于体育事业的彩票公益金支出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1,970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2,027</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102.89%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2290604</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用于教育事业的彩票公益金支出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204</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703.45%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2290606</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用于残疾人事业的彩票公益金支出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257</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373</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145.14%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2290610</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用于文化事业的彩票公益金支出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93</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46</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2290613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用于城乡医疗救助的彩票公益金支出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310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2290699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用于其他社会公益事业的彩票公益金支出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1,981</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49525.00%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22998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超长期特别国债安排的支出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2,400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2299899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2,400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12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六、债务付息支出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53,113</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64,195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地方政府专项债务付息支出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53,113</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64,195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2320411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国有土地使用权出让金债务付息支出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6,718</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11,468</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2320432</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政府收费公路专项债券付息支出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2320433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棚户区改造专项债券付息支出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14,309</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7,775</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54.34%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2320498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其他地方自行试点项目收益专项债券付息支出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32,011</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18,989</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59.32%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其他政府性基金债务付息支出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25,888</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七、债务发行费用支出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486</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47.33%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w:t>
            </w:r>
          </w:p>
        </w:tc>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地方政府专项债务发行费用支出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486</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47.33%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2330411</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国有土地使用权出让金债务发行费用支出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2330433</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棚户区改造专项债券发行费用支出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2330498</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其他地方自行试点项目收益专项债券发行费用支出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56</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410.71%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2330499</w:t>
            </w: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其他政府性基金债务发行费用支出</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140</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0" w:type="auto"/>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p>
        </w:tc>
        <w:tc>
          <w:tcPr>
            <w:tcW w:w="5190"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Chars="20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政府性基金支出合计</w:t>
            </w:r>
          </w:p>
        </w:tc>
        <w:tc>
          <w:tcPr>
            <w:tcW w:w="108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530,122</w:t>
            </w:r>
          </w:p>
        </w:tc>
        <w:tc>
          <w:tcPr>
            <w:tcW w:w="1139"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148,070</w:t>
            </w:r>
          </w:p>
        </w:tc>
        <w:tc>
          <w:tcPr>
            <w:tcW w:w="117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27.93%</w:t>
            </w:r>
          </w:p>
        </w:tc>
      </w:tr>
    </w:tbl>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pStyle w:val="2"/>
        <w:rPr>
          <w:rFonts w:hint="eastAsia" w:ascii="宋体" w:hAnsi="宋体" w:eastAsia="宋体" w:cs="宋体"/>
          <w:b w:val="0"/>
          <w:bCs w:val="0"/>
          <w:color w:val="000000" w:themeColor="text1"/>
          <w:sz w:val="18"/>
          <w:szCs w:val="18"/>
          <w14:textFill>
            <w14:solidFill>
              <w14:schemeClr w14:val="tx1"/>
            </w14:solidFill>
          </w14:textFill>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pPr>
      <w:r>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t>表11</w:t>
      </w:r>
    </w:p>
    <w:p>
      <w:pPr>
        <w:keepNext w:val="0"/>
        <w:keepLines w:val="0"/>
        <w:pageBreakBefore w:val="0"/>
        <w:widowControl w:val="0"/>
        <w:suppressLineNumbers w:val="0"/>
        <w:kinsoku/>
        <w:wordWrap/>
        <w:overflowPunct w:val="0"/>
        <w:topLinePunct w:val="0"/>
        <w:autoSpaceDE/>
        <w:autoSpaceDN/>
        <w:bidi w:val="0"/>
        <w:adjustRightInd/>
        <w:snapToGrid/>
        <w:jc w:val="center"/>
        <w:textAlignment w:val="bottom"/>
        <w:rPr>
          <w:rFonts w:hint="eastAsia" w:ascii="宋体" w:hAnsi="宋体" w:eastAsia="宋体" w:cs="宋体"/>
          <w:b/>
          <w:bCs/>
          <w:i w:val="0"/>
          <w:color w:val="000000" w:themeColor="text1"/>
          <w:sz w:val="32"/>
          <w:szCs w:val="32"/>
          <w:u w:val="none"/>
          <w:lang w:val="en-US"/>
          <w14:textFill>
            <w14:solidFill>
              <w14:schemeClr w14:val="tx1"/>
            </w14:solidFill>
          </w14:textFill>
        </w:rPr>
      </w:pPr>
      <w:r>
        <w:rPr>
          <w:rFonts w:hint="eastAsia" w:ascii="宋体" w:hAnsi="宋体" w:eastAsia="宋体" w:cs="宋体"/>
          <w:b/>
          <w:bCs/>
          <w:i w:val="0"/>
          <w:color w:val="000000" w:themeColor="text1"/>
          <w:w w:val="90"/>
          <w:kern w:val="0"/>
          <w:sz w:val="32"/>
          <w:szCs w:val="32"/>
          <w:u w:val="none"/>
          <w:lang w:val="en-US" w:eastAsia="zh-CN" w:bidi="ar"/>
          <w14:textFill>
            <w14:solidFill>
              <w14:schemeClr w14:val="tx1"/>
            </w14:solidFill>
          </w14:textFill>
        </w:rPr>
        <w:t xml:space="preserve">   2025年吐鲁番市本级政府性基金收入表</w:t>
      </w:r>
    </w:p>
    <w:p>
      <w:pPr>
        <w:keepNext w:val="0"/>
        <w:keepLines w:val="0"/>
        <w:pageBreakBefore w:val="0"/>
        <w:widowControl w:val="0"/>
        <w:suppressLineNumbers w:val="0"/>
        <w:kinsoku/>
        <w:wordWrap/>
        <w:overflowPunct w:val="0"/>
        <w:topLinePunct w:val="0"/>
        <w:autoSpaceDE/>
        <w:autoSpaceDN/>
        <w:bidi w:val="0"/>
        <w:adjustRightInd/>
        <w:snapToGrid/>
        <w:jc w:val="right"/>
        <w:textAlignment w:val="center"/>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cs="宋体"/>
          <w:b w:val="0"/>
          <w:bCs w:val="0"/>
          <w:i w:val="0"/>
          <w:color w:val="000000" w:themeColor="text1"/>
          <w:kern w:val="0"/>
          <w:sz w:val="18"/>
          <w:szCs w:val="18"/>
          <w:u w:val="none"/>
          <w:lang w:val="en-US" w:eastAsia="zh-CN" w:bidi="ar"/>
          <w14:textFill>
            <w14:solidFill>
              <w14:schemeClr w14:val="tx1"/>
            </w14:solidFill>
          </w14:textFill>
        </w:rPr>
        <w:t xml:space="preserve">  </w:t>
      </w:r>
      <w:r>
        <w:rPr>
          <w:rFonts w:hint="eastAsia" w:ascii="宋体" w:hAnsi="宋体" w:eastAsia="宋体" w:cs="宋体"/>
          <w:b w:val="0"/>
          <w:bCs w:val="0"/>
          <w:i w:val="0"/>
          <w:color w:val="000000" w:themeColor="text1"/>
          <w:kern w:val="0"/>
          <w:sz w:val="18"/>
          <w:szCs w:val="18"/>
          <w:u w:val="none"/>
          <w:lang w:val="en-US" w:eastAsia="zh-CN" w:bidi="ar"/>
          <w14:textFill>
            <w14:solidFill>
              <w14:schemeClr w14:val="tx1"/>
            </w14:solidFill>
          </w14:textFill>
        </w:rPr>
        <w:t>单位：万元</w:t>
      </w:r>
    </w:p>
    <w:tbl>
      <w:tblPr>
        <w:tblStyle w:val="15"/>
        <w:tblW w:w="9664"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Layout w:type="fixed"/>
        <w:tblCellMar>
          <w:top w:w="0" w:type="dxa"/>
          <w:left w:w="0" w:type="dxa"/>
          <w:bottom w:w="0" w:type="dxa"/>
          <w:right w:w="0" w:type="dxa"/>
        </w:tblCellMar>
      </w:tblPr>
      <w:tblGrid>
        <w:gridCol w:w="1145"/>
        <w:gridCol w:w="3963"/>
        <w:gridCol w:w="1599"/>
        <w:gridCol w:w="1559"/>
        <w:gridCol w:w="1398"/>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PrEx>
        <w:trPr>
          <w:trHeight w:val="786" w:hRule="atLeast"/>
          <w:tblHeader/>
          <w:jc w:val="center"/>
        </w:trPr>
        <w:tc>
          <w:tcPr>
            <w:tcW w:w="1145"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科目编码</w:t>
            </w:r>
          </w:p>
        </w:tc>
        <w:tc>
          <w:tcPr>
            <w:tcW w:w="3963"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项    目</w:t>
            </w:r>
          </w:p>
        </w:tc>
        <w:tc>
          <w:tcPr>
            <w:tcW w:w="1599"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2024年</w:t>
            </w: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完成数</w:t>
            </w:r>
          </w:p>
        </w:tc>
        <w:tc>
          <w:tcPr>
            <w:tcW w:w="1559" w:type="dxa"/>
            <w:tcBorders>
              <w:tl2br w:val="nil"/>
              <w:tr2bl w:val="nil"/>
            </w:tcBorders>
            <w:shd w:val="clear" w:color="auto" w:fill="auto"/>
            <w:tcMar>
              <w:top w:w="15" w:type="dxa"/>
              <w:left w:w="15" w:type="dxa"/>
              <w:right w:w="15" w:type="dxa"/>
            </w:tcMar>
            <w:vAlign w:val="center"/>
          </w:tcPr>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2025年</w:t>
            </w: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预算数</w:t>
            </w:r>
          </w:p>
        </w:tc>
        <w:tc>
          <w:tcPr>
            <w:tcW w:w="1398" w:type="dxa"/>
            <w:tcBorders>
              <w:tl2br w:val="nil"/>
              <w:tr2bl w:val="nil"/>
            </w:tcBorders>
            <w:shd w:val="clear" w:color="auto" w:fill="auto"/>
            <w:tcMar>
              <w:top w:w="15" w:type="dxa"/>
              <w:left w:w="15" w:type="dxa"/>
              <w:right w:w="15" w:type="dxa"/>
            </w:tcMar>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21"/>
                <w:szCs w:val="21"/>
                <w:u w:val="none"/>
                <w:lang w:val="en-US" w:eastAsia="zh-CN" w:bidi="ar"/>
              </w:rPr>
            </w:pPr>
            <w:r>
              <w:rPr>
                <w:rFonts w:hint="eastAsia" w:ascii="宋体" w:hAnsi="宋体" w:eastAsia="宋体" w:cs="宋体"/>
                <w:b/>
                <w:bCs/>
                <w:i w:val="0"/>
                <w:color w:val="000000"/>
                <w:kern w:val="0"/>
                <w:sz w:val="21"/>
                <w:szCs w:val="21"/>
                <w:u w:val="none"/>
                <w:lang w:val="en-US" w:eastAsia="zh-CN" w:bidi="ar"/>
              </w:rPr>
              <w:t>预算数为上年</w:t>
            </w:r>
          </w:p>
          <w:p>
            <w:pPr>
              <w:keepNext w:val="0"/>
              <w:keepLines w:val="0"/>
              <w:pageBreakBefore w:val="0"/>
              <w:widowControl w:val="0"/>
              <w:suppressLineNumbers w:val="0"/>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宋体" w:hAnsi="宋体" w:eastAsia="宋体" w:cs="宋体"/>
                <w:b/>
                <w:bCs/>
                <w:i w:val="0"/>
                <w:color w:val="000000" w:themeColor="text1"/>
                <w:sz w:val="21"/>
                <w:szCs w:val="21"/>
                <w:u w:val="none"/>
                <w14:textFill>
                  <w14:solidFill>
                    <w14:schemeClr w14:val="tx1"/>
                  </w14:solidFill>
                </w14:textFill>
              </w:rPr>
            </w:pPr>
            <w:r>
              <w:rPr>
                <w:rFonts w:hint="eastAsia" w:ascii="宋体" w:hAnsi="宋体" w:eastAsia="宋体" w:cs="宋体"/>
                <w:b/>
                <w:bCs/>
                <w:i w:val="0"/>
                <w:color w:val="000000"/>
                <w:kern w:val="0"/>
                <w:sz w:val="21"/>
                <w:szCs w:val="21"/>
                <w:u w:val="none"/>
                <w:lang w:val="en-US" w:eastAsia="zh-Hans" w:bidi="ar"/>
              </w:rPr>
              <w:t>完成</w:t>
            </w:r>
            <w:r>
              <w:rPr>
                <w:rFonts w:hint="eastAsia" w:ascii="宋体" w:hAnsi="宋体" w:eastAsia="宋体" w:cs="宋体"/>
                <w:b/>
                <w:bCs/>
                <w:i w:val="0"/>
                <w:color w:val="000000"/>
                <w:kern w:val="0"/>
                <w:sz w:val="21"/>
                <w:szCs w:val="21"/>
                <w:u w:val="none"/>
                <w:lang w:val="en-US" w:eastAsia="zh-CN" w:bidi="ar"/>
              </w:rPr>
              <w:t>数的%</w:t>
            </w:r>
            <w:r>
              <w:rPr>
                <w:rFonts w:hint="eastAsia" w:ascii="宋体" w:hAnsi="宋体" w:eastAsia="宋体" w:cs="宋体"/>
                <w:b/>
                <w:bCs/>
                <w:i w:val="0"/>
                <w:color w:val="000000" w:themeColor="text1"/>
                <w:kern w:val="0"/>
                <w:sz w:val="21"/>
                <w:szCs w:val="21"/>
                <w:u w:val="none"/>
                <w:lang w:val="en-US" w:eastAsia="zh-CN" w:bidi="ar"/>
                <w14:textFill>
                  <w14:solidFill>
                    <w14:schemeClr w14:val="tx1"/>
                  </w14:solidFill>
                </w14:textFill>
              </w:rPr>
              <w:t xml:space="preserve"> </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49"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1030102</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一、农网还贷资金收入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41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1030112</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二、海南省高等级公路车辆通行附加费收入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1030129</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三、国家电影事业发展专项资金收入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1030146</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四、国有土地收益基金收入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1030147</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五、农业土地开发资金收入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1030148</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六、国有土地使用权出让收入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1030149</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七、大中型水库库区基金收入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1030155</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八、彩票公益金收入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2,455</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2,796</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113.89%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103015501</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福利彩票公益金收入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1,624</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1,620</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99.75%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103015502</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体育彩票公益金收入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831</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1,176</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141.52%</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1030156</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九、城市基础设施配套费收入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1030157</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十、小型水库移民扶助基金收入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1030158</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十一、国家重大水利工程建设基金收入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1030159</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十二、车辆通行费</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1030178</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十三、污水处理费收入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1030180</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十四、彩票发行机构和彩票销售机构的业务费用</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272</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260</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95.59%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103018001</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福利彩票销售机构的业务费用</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272</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260</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95.59%</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103018003</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体育彩票销售机构的业务费用</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103018006</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彩票发行销售风险基金</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103018007</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彩票市场调控资金收入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10310</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十五、专项债券对应项目专项收入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1,193</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1,802</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151.05%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1031006</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国有土地使用权出让金专项债务对应项目专项收入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103100602</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棚户区改造专项债券对应项目专项收入  </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1031014</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污水处理费专项债务对应项目专项收入  </w:t>
            </w:r>
          </w:p>
        </w:tc>
        <w:tc>
          <w:tcPr>
            <w:tcW w:w="159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559"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c>
          <w:tcPr>
            <w:tcW w:w="1398" w:type="dxa"/>
            <w:tcBorders>
              <w:tl2br w:val="nil"/>
              <w:tr2bl w:val="nil"/>
            </w:tcBorders>
            <w:shd w:val="clear" w:color="auto" w:fill="auto"/>
            <w:tcMar>
              <w:top w:w="15" w:type="dxa"/>
              <w:left w:w="15" w:type="dxa"/>
              <w:right w:w="15" w:type="dxa"/>
            </w:tcMar>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themeColor="text1"/>
                <w:sz w:val="18"/>
                <w:szCs w:val="18"/>
                <w:u w:val="none"/>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1031099</w:t>
            </w: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 xml:space="preserve">  其他政府性基金专项债券对应项目专项收入</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1,193</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1,802</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color w:val="000000" w:themeColor="text1"/>
                <w:sz w:val="18"/>
                <w:szCs w:val="18"/>
                <w:u w:val="none"/>
                <w14:textFill>
                  <w14:solidFill>
                    <w14:schemeClr w14:val="tx1"/>
                  </w14:solidFill>
                </w14:textFill>
              </w:rPr>
            </w:pPr>
            <w:r>
              <w:rPr>
                <w:rFonts w:hint="eastAsia" w:ascii="宋体" w:hAnsi="宋体" w:eastAsia="宋体" w:cs="宋体"/>
                <w:i w:val="0"/>
                <w:iCs w:val="0"/>
                <w:color w:val="000000"/>
                <w:kern w:val="0"/>
                <w:sz w:val="18"/>
                <w:szCs w:val="18"/>
                <w:u w:val="none"/>
                <w:lang w:val="en-US" w:eastAsia="zh-CN" w:bidi="ar"/>
              </w:rPr>
              <w:t>151.05%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0" w:type="dxa"/>
            <w:bottom w:w="0" w:type="dxa"/>
            <w:right w:w="0" w:type="dxa"/>
          </w:tblCellMar>
        </w:tblPrEx>
        <w:trPr>
          <w:trHeight w:val="600" w:hRule="atLeast"/>
          <w:jc w:val="center"/>
        </w:trPr>
        <w:tc>
          <w:tcPr>
            <w:tcW w:w="1145" w:type="dxa"/>
            <w:tcBorders>
              <w:tl2br w:val="nil"/>
              <w:tr2bl w:val="nil"/>
            </w:tcBorders>
            <w:shd w:val="clear" w:color="auto" w:fill="auto"/>
            <w:tcMar>
              <w:top w:w="15" w:type="dxa"/>
              <w:left w:w="15" w:type="dxa"/>
              <w:right w:w="15" w:type="dxa"/>
            </w:tcMar>
            <w:vAlign w:val="center"/>
          </w:tcPr>
          <w:p>
            <w:pPr>
              <w:keepNext w:val="0"/>
              <w:keepLines w:val="0"/>
              <w:suppressLineNumbers w:val="0"/>
              <w:spacing w:before="0" w:beforeAutospacing="0" w:after="0" w:afterAutospacing="0"/>
              <w:ind w:left="0" w:right="0"/>
              <w:jc w:val="center"/>
              <w:rPr>
                <w:rFonts w:hint="eastAsia" w:ascii="宋体" w:hAnsi="宋体" w:eastAsia="宋体" w:cs="宋体"/>
                <w:b/>
                <w:i w:val="0"/>
                <w:color w:val="000000" w:themeColor="text1"/>
                <w:sz w:val="18"/>
                <w:szCs w:val="18"/>
                <w:u w:val="none"/>
                <w14:textFill>
                  <w14:solidFill>
                    <w14:schemeClr w14:val="tx1"/>
                  </w14:solidFill>
                </w14:textFill>
              </w:rPr>
            </w:pPr>
          </w:p>
        </w:tc>
        <w:tc>
          <w:tcPr>
            <w:tcW w:w="3963"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政府性基金收入合计</w:t>
            </w:r>
          </w:p>
        </w:tc>
        <w:tc>
          <w:tcPr>
            <w:tcW w:w="159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3,920</w:t>
            </w:r>
          </w:p>
        </w:tc>
        <w:tc>
          <w:tcPr>
            <w:tcW w:w="1559"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4,858</w:t>
            </w:r>
          </w:p>
        </w:tc>
        <w:tc>
          <w:tcPr>
            <w:tcW w:w="1398" w:type="dxa"/>
            <w:tcBorders>
              <w:tl2br w:val="nil"/>
              <w:tr2bl w:val="nil"/>
            </w:tcBorders>
            <w:shd w:val="clear" w:color="auto" w:fill="auto"/>
            <w:tcMar>
              <w:top w:w="15" w:type="dxa"/>
              <w:left w:w="15" w:type="dxa"/>
              <w:right w:w="15" w:type="dxa"/>
            </w:tcMar>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val="0"/>
                <w:i w:val="0"/>
                <w:color w:val="000000" w:themeColor="text1"/>
                <w:sz w:val="18"/>
                <w:szCs w:val="18"/>
                <w:u w:val="none"/>
                <w14:textFill>
                  <w14:solidFill>
                    <w14:schemeClr w14:val="tx1"/>
                  </w14:solidFill>
                </w14:textFill>
              </w:rPr>
            </w:pPr>
            <w:r>
              <w:rPr>
                <w:rFonts w:hint="eastAsia" w:ascii="宋体" w:hAnsi="宋体" w:eastAsia="宋体" w:cs="宋体"/>
                <w:b/>
                <w:bCs/>
                <w:i w:val="0"/>
                <w:iCs w:val="0"/>
                <w:color w:val="000000"/>
                <w:kern w:val="0"/>
                <w:sz w:val="18"/>
                <w:szCs w:val="18"/>
                <w:u w:val="none"/>
                <w:lang w:val="en-US" w:eastAsia="zh-CN" w:bidi="ar"/>
              </w:rPr>
              <w:t>123.93%</w:t>
            </w:r>
          </w:p>
        </w:tc>
      </w:tr>
    </w:tbl>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pPr>
    </w:p>
    <w:p>
      <w:pPr>
        <w:keepNext w:val="0"/>
        <w:keepLines w:val="0"/>
        <w:pageBreakBefore w:val="0"/>
        <w:widowControl w:val="0"/>
        <w:suppressLineNumbers w:val="0"/>
        <w:kinsoku/>
        <w:wordWrap/>
        <w:overflowPunct w:val="0"/>
        <w:topLinePunct w:val="0"/>
        <w:autoSpaceDE/>
        <w:autoSpaceDN/>
        <w:bidi w:val="0"/>
        <w:adjustRightInd/>
        <w:snapToGrid/>
        <w:jc w:val="left"/>
        <w:textAlignment w:val="bottom"/>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pPr>
      <w:r>
        <w:rPr>
          <w:rFonts w:hint="eastAsia" w:ascii="宋体" w:hAnsi="宋体" w:eastAsia="宋体" w:cs="宋体"/>
          <w:b w:val="0"/>
          <w:bCs w:val="0"/>
          <w:i w:val="0"/>
          <w:color w:val="000000" w:themeColor="text1"/>
          <w:w w:val="90"/>
          <w:kern w:val="0"/>
          <w:sz w:val="21"/>
          <w:szCs w:val="21"/>
          <w:u w:val="none"/>
          <w:lang w:val="en-US" w:eastAsia="zh-CN" w:bidi="ar"/>
          <w14:textFill>
            <w14:solidFill>
              <w14:schemeClr w14:val="tx1"/>
            </w14:solidFill>
          </w14:textFill>
        </w:rPr>
        <w:t>表12</w:t>
      </w:r>
    </w:p>
    <w:p>
      <w:pPr>
        <w:pStyle w:val="2"/>
        <w:rPr>
          <w:rFonts w:hint="eastAsia" w:ascii="宋体" w:hAnsi="宋体" w:eastAsia="宋体" w:cs="宋体"/>
          <w:color w:val="000000" w:themeColor="text1"/>
          <w:sz w:val="18"/>
          <w:szCs w:val="18"/>
          <w14:textFill>
            <w14:solidFill>
              <w14:schemeClr w14:val="tx1"/>
            </w14:solidFill>
          </w14:textFill>
        </w:rPr>
      </w:pPr>
      <w:r>
        <w:rPr>
          <w:rFonts w:hint="eastAsia" w:ascii="宋体" w:hAnsi="宋体" w:eastAsia="宋体" w:cs="宋体"/>
          <w:b/>
          <w:i w:val="0"/>
          <w:color w:val="000000"/>
          <w:kern w:val="0"/>
          <w:sz w:val="18"/>
          <w:szCs w:val="18"/>
          <w:u w:val="none"/>
          <w:lang w:val="en-US" w:eastAsia="zh-CN" w:bidi="ar"/>
        </w:rPr>
        <w:t xml:space="preserve"> </w:t>
      </w:r>
    </w:p>
    <w:tbl>
      <w:tblPr>
        <w:tblStyle w:val="15"/>
        <w:tblW w:w="964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80"/>
        <w:gridCol w:w="5220"/>
        <w:gridCol w:w="1080"/>
        <w:gridCol w:w="1163"/>
        <w:gridCol w:w="11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80" w:hRule="atLeast"/>
        </w:trPr>
        <w:tc>
          <w:tcPr>
            <w:tcW w:w="9649" w:type="dxa"/>
            <w:gridSpan w:val="5"/>
            <w:tcBorders>
              <w:top w:val="nil"/>
              <w:left w:val="nil"/>
              <w:bottom w:val="nil"/>
              <w:right w:val="nil"/>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32"/>
                <w:szCs w:val="32"/>
                <w:u w:val="none"/>
              </w:rPr>
            </w:pPr>
            <w:r>
              <w:rPr>
                <w:rFonts w:hint="eastAsia" w:ascii="宋体" w:hAnsi="宋体" w:eastAsia="宋体" w:cs="宋体"/>
                <w:b/>
                <w:bCs/>
                <w:i w:val="0"/>
                <w:iCs w:val="0"/>
                <w:color w:val="000000"/>
                <w:kern w:val="0"/>
                <w:sz w:val="32"/>
                <w:szCs w:val="32"/>
                <w:u w:val="none"/>
                <w:lang w:val="en-US" w:eastAsia="zh-CN" w:bidi="ar"/>
              </w:rPr>
              <w:t>2025年吐鲁番市本级政府性基金支出表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08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32"/>
                <w:szCs w:val="32"/>
                <w:u w:val="none"/>
              </w:rPr>
            </w:pPr>
          </w:p>
        </w:tc>
        <w:tc>
          <w:tcPr>
            <w:tcW w:w="522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32"/>
                <w:szCs w:val="32"/>
                <w:u w:val="none"/>
              </w:rPr>
            </w:pPr>
          </w:p>
        </w:tc>
        <w:tc>
          <w:tcPr>
            <w:tcW w:w="1080" w:type="dxa"/>
            <w:tcBorders>
              <w:top w:val="nil"/>
              <w:left w:val="nil"/>
              <w:bottom w:val="nil"/>
              <w:right w:val="nil"/>
            </w:tcBorders>
            <w:shd w:val="clear" w:color="auto" w:fill="auto"/>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32"/>
                <w:szCs w:val="32"/>
                <w:u w:val="none"/>
              </w:rPr>
            </w:pPr>
          </w:p>
        </w:tc>
        <w:tc>
          <w:tcPr>
            <w:tcW w:w="2269" w:type="dxa"/>
            <w:gridSpan w:val="2"/>
            <w:tcBorders>
              <w:top w:val="nil"/>
              <w:left w:val="nil"/>
              <w:bottom w:val="nil"/>
              <w:right w:val="nil"/>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32"/>
                <w:szCs w:val="32"/>
                <w:u w:val="none"/>
              </w:rPr>
            </w:pPr>
            <w:r>
              <w:rPr>
                <w:rFonts w:hint="eastAsia" w:ascii="宋体" w:hAnsi="宋体" w:eastAsia="宋体" w:cs="宋体"/>
                <w:i w:val="0"/>
                <w:iCs w:val="0"/>
                <w:color w:val="000000"/>
                <w:kern w:val="0"/>
                <w:sz w:val="18"/>
                <w:szCs w:val="18"/>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科目编码</w:t>
            </w:r>
          </w:p>
        </w:tc>
        <w:tc>
          <w:tcPr>
            <w:tcW w:w="52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    目</w:t>
            </w:r>
          </w:p>
        </w:tc>
        <w:tc>
          <w:tcPr>
            <w:tcW w:w="108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2024年完成数</w:t>
            </w:r>
          </w:p>
        </w:tc>
        <w:tc>
          <w:tcPr>
            <w:tcW w:w="116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2025年预算数</w:t>
            </w:r>
          </w:p>
        </w:tc>
        <w:tc>
          <w:tcPr>
            <w:tcW w:w="1106"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预算数为上年完成数的%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522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08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16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1106"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4"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207</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一、文化旅游体育与传媒支出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20709</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旅游发展基金支出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2070904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地方旅游开发项目补助</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二、社会保障和就业支出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20822</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大中型水库移民后期扶持基金支出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212</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三、城乡社区支出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国有土地使用权出让收入安排的支出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2120801</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征地和拆迁补偿支出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农村基础设施建设支出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2120816</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农业农村生态环境支出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21211</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农业土地开发资金安排的支出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21213</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城市基础设施配套费安排的支出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21216</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棚户区改造专项债券收入安排的支出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21217</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城市基础设施配套费及对应专项债务收入安排的支出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21219</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国有土地使用权出让收入及对应专项债务收入安排的支出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213</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四、农林水支出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21366</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大中型水库基金安排的支出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215</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五、资源勘探工业信息等支出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2,003</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211</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firstLine="360" w:firstLineChars="20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超长期特别国债安排的支出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2159802</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制造业</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211</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六、其他支出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2,515</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7,404</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firstLine="360" w:firstLineChars="20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其他政府性基金及对应专项债务收入安排的支出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firstLine="360" w:firstLineChars="20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彩票发行销售机构业务费安排的支出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409</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352</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福利彩票销售机构的业务费支出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174</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232</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2290808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彩票市场调控资金支出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235</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120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22960</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彩票公益金安排的支出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2,106</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4652</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2296002</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用于社会福利的彩票公益金支出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992</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3474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2"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2296003</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用于体育事业的彩票公益金支出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992</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1039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18"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用于教育事业的彩票公益金支出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29</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44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2296006</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用于残疾人事业的彩票公益金支出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2"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2296010</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用于文化事业的彩票公益金支出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93</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4"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2296013</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用于城乡医疗救助的彩票公益金支出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2296099</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用于其他社会公益事业的彩票公益金支出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 </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22998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超长期特别国债安排的支出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2,400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2299899</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2,400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18"/>
                <w:szCs w:val="18"/>
                <w:u w:val="none"/>
              </w:rPr>
            </w:pP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232</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七、债务付息支出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874</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1,477</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地方政府专项债务付息支出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874</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1,477</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2320411</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国有土地出金债务付息支出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42</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2320498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其他地方自行试点项目收益专项债券付息支出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832</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1,477</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8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233</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八、债务发行费用支出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lang w:val="en-US" w:eastAsia="zh-CN"/>
              </w:rPr>
            </w:pPr>
            <w:r>
              <w:rPr>
                <w:rFonts w:hint="eastAsia" w:ascii="宋体" w:hAnsi="宋体" w:eastAsia="宋体" w:cs="宋体"/>
                <w:b/>
                <w:bCs/>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30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地方政府专项债务发行费用支出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2330498</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其他地方自行试点项目收益专项债券发行费用支出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iCs w:val="0"/>
                <w:color w:val="000000"/>
                <w:sz w:val="18"/>
                <w:szCs w:val="18"/>
                <w:u w:val="none"/>
                <w:lang w:val="en-US" w:eastAsia="zh-CN"/>
              </w:rPr>
            </w:pPr>
            <w:r>
              <w:rPr>
                <w:rFonts w:hint="eastAsia" w:ascii="宋体" w:hAnsi="宋体" w:eastAsia="宋体" w:cs="宋体"/>
                <w:i w:val="0"/>
                <w:iCs w:val="0"/>
                <w:color w:val="000000"/>
                <w:sz w:val="18"/>
                <w:szCs w:val="18"/>
                <w:u w:val="none"/>
                <w:lang w:val="en-US" w:eastAsia="zh-CN"/>
              </w:rPr>
              <w:t>0</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30</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234</w:t>
            </w: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九、抗疫特别国债安排的支出</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right"/>
              <w:rPr>
                <w:rFonts w:hint="eastAsia" w:ascii="宋体" w:hAnsi="宋体" w:eastAsia="宋体" w:cs="宋体"/>
                <w:b/>
                <w:bCs/>
                <w:i w:val="0"/>
                <w:iCs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atLeast"/>
        </w:trPr>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p>
        </w:tc>
        <w:tc>
          <w:tcPr>
            <w:tcW w:w="522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政府性基金支出合计</w:t>
            </w:r>
          </w:p>
        </w:tc>
        <w:tc>
          <w:tcPr>
            <w:tcW w:w="108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5,392</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9,202</w:t>
            </w:r>
          </w:p>
        </w:tc>
        <w:tc>
          <w:tcPr>
            <w:tcW w:w="1106"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171%</w:t>
            </w:r>
          </w:p>
        </w:tc>
      </w:tr>
    </w:tbl>
    <w:p>
      <w:pPr>
        <w:pStyle w:val="2"/>
        <w:rPr>
          <w:rFonts w:hint="eastAsia" w:ascii="宋体" w:hAnsi="宋体" w:eastAsia="宋体" w:cs="宋体"/>
          <w:color w:val="000000" w:themeColor="text1"/>
          <w:sz w:val="18"/>
          <w:szCs w:val="18"/>
          <w14:textFill>
            <w14:solidFill>
              <w14:schemeClr w14:val="tx1"/>
            </w14:solidFill>
          </w14:textFill>
        </w:rPr>
      </w:pPr>
    </w:p>
    <w:p>
      <w:pPr>
        <w:pStyle w:val="2"/>
        <w:rPr>
          <w:rFonts w:hint="eastAsia" w:ascii="宋体" w:hAnsi="宋体" w:eastAsia="宋体" w:cs="宋体"/>
          <w:color w:val="000000" w:themeColor="text1"/>
          <w:sz w:val="18"/>
          <w:szCs w:val="18"/>
          <w14:textFill>
            <w14:solidFill>
              <w14:schemeClr w14:val="tx1"/>
            </w14:solidFill>
          </w14:textFill>
        </w:rPr>
      </w:pPr>
    </w:p>
    <w:tbl>
      <w:tblPr>
        <w:tblStyle w:val="15"/>
        <w:tblW w:w="892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89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504" w:hRule="atLeast"/>
          <w:jc w:val="center"/>
        </w:trPr>
        <w:tc>
          <w:tcPr>
            <w:tcW w:w="8926" w:type="dxa"/>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b w:val="0"/>
                <w:bCs/>
                <w:i w:val="0"/>
                <w:color w:val="000000"/>
                <w:kern w:val="0"/>
                <w:sz w:val="18"/>
                <w:szCs w:val="18"/>
                <w:u w:val="none"/>
                <w:lang w:val="en-US" w:eastAsia="zh-CN" w:bidi="ar"/>
              </w:rPr>
            </w:pPr>
            <w:r>
              <w:rPr>
                <w:rFonts w:hint="eastAsia" w:ascii="宋体" w:hAnsi="宋体" w:eastAsia="宋体" w:cs="宋体"/>
                <w:b w:val="0"/>
                <w:bCs/>
                <w:i w:val="0"/>
                <w:color w:val="000000"/>
                <w:kern w:val="0"/>
                <w:sz w:val="18"/>
                <w:szCs w:val="18"/>
                <w:u w:val="none"/>
                <w:lang w:val="en-US" w:eastAsia="zh-CN" w:bidi="ar"/>
              </w:rPr>
              <w:t>表13</w:t>
            </w:r>
          </w:p>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kern w:val="0"/>
                <w:sz w:val="32"/>
                <w:szCs w:val="32"/>
                <w:u w:val="none"/>
                <w:lang w:val="en-US" w:eastAsia="zh-CN" w:bidi="ar"/>
              </w:rPr>
            </w:pPr>
            <w:r>
              <w:rPr>
                <w:rFonts w:hint="eastAsia" w:ascii="宋体" w:hAnsi="宋体" w:eastAsia="宋体" w:cs="宋体"/>
                <w:b/>
                <w:i w:val="0"/>
                <w:color w:val="000000"/>
                <w:kern w:val="0"/>
                <w:sz w:val="32"/>
                <w:szCs w:val="32"/>
                <w:u w:val="none"/>
                <w:lang w:val="en-US" w:eastAsia="zh-CN" w:bidi="ar"/>
              </w:rPr>
              <w:t xml:space="preserve">     2025年吐鲁番市政府性基金预算对下转移支付安排情况表</w:t>
            </w:r>
          </w:p>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32"/>
                <w:szCs w:val="32"/>
                <w:u w:val="none"/>
                <w:lang w:val="en-US" w:eastAsia="zh-CN" w:bidi="ar"/>
              </w:rPr>
              <w:t xml:space="preserve">   </w:t>
            </w:r>
            <w:r>
              <w:rPr>
                <w:rFonts w:hint="eastAsia" w:ascii="宋体" w:hAnsi="宋体" w:cs="宋体"/>
                <w:b/>
                <w:i w:val="0"/>
                <w:color w:val="000000"/>
                <w:kern w:val="0"/>
                <w:sz w:val="32"/>
                <w:szCs w:val="32"/>
                <w:u w:val="none"/>
                <w:lang w:val="en-US" w:eastAsia="zh-CN" w:bidi="ar"/>
              </w:rPr>
              <w:t xml:space="preserve">     </w:t>
            </w:r>
            <w:r>
              <w:rPr>
                <w:rFonts w:hint="eastAsia" w:ascii="宋体" w:hAnsi="宋体" w:eastAsia="宋体" w:cs="宋体"/>
                <w:b/>
                <w:i w:val="0"/>
                <w:color w:val="000000"/>
                <w:kern w:val="0"/>
                <w:sz w:val="32"/>
                <w:szCs w:val="32"/>
                <w:u w:val="none"/>
                <w:lang w:val="en-US" w:eastAsia="zh-CN" w:bidi="ar"/>
              </w:rPr>
              <w:t>（分区县、项目）</w:t>
            </w:r>
          </w:p>
        </w:tc>
      </w:tr>
    </w:tbl>
    <w:p>
      <w:pPr>
        <w:keepNext w:val="0"/>
        <w:keepLines w:val="0"/>
        <w:pageBreakBefore w:val="0"/>
        <w:widowControl w:val="0"/>
        <w:suppressLineNumbers w:val="0"/>
        <w:kinsoku/>
        <w:wordWrap/>
        <w:overflowPunct w:val="0"/>
        <w:topLinePunct w:val="0"/>
        <w:autoSpaceDE/>
        <w:autoSpaceDN/>
        <w:bidi w:val="0"/>
        <w:adjustRightInd/>
        <w:snapToGrid/>
        <w:jc w:val="right"/>
        <w:textAlignment w:val="center"/>
        <w:rPr>
          <w:rFonts w:hint="eastAsia" w:ascii="宋体" w:hAnsi="宋体" w:eastAsia="宋体" w:cs="宋体"/>
          <w:b w:val="0"/>
          <w:bCs/>
          <w:i w:val="0"/>
          <w:color w:val="000000" w:themeColor="text1"/>
          <w:sz w:val="18"/>
          <w:szCs w:val="18"/>
          <w:u w:val="none"/>
          <w14:textFill>
            <w14:solidFill>
              <w14:schemeClr w14:val="tx1"/>
            </w14:solidFill>
          </w14:textFill>
        </w:rPr>
      </w:pPr>
      <w:r>
        <w:rPr>
          <w:rFonts w:hint="eastAsia" w:ascii="宋体" w:hAnsi="宋体" w:eastAsia="宋体" w:cs="宋体"/>
          <w:b w:val="0"/>
          <w:bCs/>
          <w:i w:val="0"/>
          <w:color w:val="000000" w:themeColor="text1"/>
          <w:kern w:val="0"/>
          <w:sz w:val="18"/>
          <w:szCs w:val="18"/>
          <w:u w:val="none"/>
          <w:lang w:val="en-US" w:eastAsia="zh-CN" w:bidi="ar"/>
          <w14:textFill>
            <w14:solidFill>
              <w14:schemeClr w14:val="tx1"/>
            </w14:solidFill>
          </w14:textFill>
        </w:rPr>
        <w:t>单位：万元</w:t>
      </w:r>
    </w:p>
    <w:tbl>
      <w:tblPr>
        <w:tblStyle w:val="15"/>
        <w:tblpPr w:leftFromText="180" w:rightFromText="180" w:vertAnchor="text" w:horzAnchor="page" w:tblpX="1604" w:tblpY="91"/>
        <w:tblOverlap w:val="never"/>
        <w:tblW w:w="965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870"/>
        <w:gridCol w:w="1193"/>
        <w:gridCol w:w="1245"/>
        <w:gridCol w:w="1170"/>
        <w:gridCol w:w="117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项目名称</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小计</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高昌区</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鄯善县</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托克逊县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tabs>
                <w:tab w:val="left" w:pos="1443"/>
              </w:tabs>
              <w:spacing w:before="0" w:beforeAutospacing="0" w:after="0" w:afterAutospacing="0"/>
              <w:ind w:left="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eastAsia="宋体" w:cs="宋体"/>
                <w:b w:val="0"/>
                <w:bCs w:val="0"/>
                <w:i w:val="0"/>
                <w:iCs w:val="0"/>
                <w:color w:val="000000"/>
                <w:kern w:val="0"/>
                <w:sz w:val="18"/>
                <w:szCs w:val="18"/>
                <w:u w:val="none"/>
                <w:lang w:val="en-US" w:eastAsia="zh-CN" w:bidi="ar"/>
              </w:rPr>
              <w:tab/>
            </w:r>
            <w:r>
              <w:rPr>
                <w:rFonts w:hint="eastAsia" w:ascii="宋体" w:hAnsi="宋体" w:eastAsia="宋体" w:cs="宋体"/>
                <w:b/>
                <w:i w:val="0"/>
                <w:color w:val="000000"/>
                <w:kern w:val="0"/>
                <w:sz w:val="18"/>
                <w:szCs w:val="18"/>
                <w:highlight w:val="none"/>
                <w:u w:val="none"/>
                <w:lang w:val="en-US" w:eastAsia="zh-CN" w:bidi="ar"/>
              </w:rPr>
              <w:t>政府性基金转移支付</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sz w:val="18"/>
                <w:szCs w:val="18"/>
                <w:lang w:val="en-US" w:eastAsia="zh-CN"/>
              </w:rPr>
            </w:pPr>
            <w:r>
              <w:rPr>
                <w:rFonts w:hint="eastAsia" w:ascii="宋体" w:hAnsi="宋体" w:eastAsia="宋体" w:cs="宋体"/>
                <w:b/>
                <w:bCs/>
                <w:i w:val="0"/>
                <w:iCs w:val="0"/>
                <w:color w:val="000000"/>
                <w:kern w:val="0"/>
                <w:sz w:val="18"/>
                <w:szCs w:val="18"/>
                <w:u w:val="none"/>
                <w:lang w:val="en-US" w:eastAsia="zh-CN" w:bidi="ar"/>
              </w:rPr>
              <w:t>2879</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1,167</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972</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leftChars="0" w:right="0" w:rightChars="0"/>
              <w:jc w:val="center"/>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740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中央水库移民扶持基金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300</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200</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中央水库移民扶持基金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248</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53</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153</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42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中央专项彩票公益金支持地方社会公益事业发展资金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450</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100</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9"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中央集中彩票公益金支持体育事业专项资金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22</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8</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8</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中央专项彩票公益金支持残疾人事业发展补助资金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214</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95</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59</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自治区彩票公益金项目</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提前下达自治区残疾人事业发展补助资金彩票公益金部分</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108</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45</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25</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6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2025年自治区彩票公益金支持“祖国情·中华行”新疆青少年研学活动补助经费</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141</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55</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45</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提前下达自治区彩票公益金资助80岁以上老年人基本生活津贴和免费体检项目资金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351</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160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118</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73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8"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自治区社会福利补助资金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600</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600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中央彩票公益金用于支持社会福利事业专项资金</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240</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240</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46"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专项业务工作经费</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6</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4"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专项业务工作经费</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24</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12</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suppressLineNumbers w:val="0"/>
              <w:spacing w:before="0" w:beforeAutospacing="0" w:after="0" w:afterAutospacing="0"/>
              <w:ind w:left="0" w:right="0"/>
              <w:jc w:val="center"/>
              <w:rPr>
                <w:rFonts w:hint="eastAsia" w:ascii="宋体" w:hAnsi="宋体" w:eastAsia="宋体" w:cs="宋体"/>
                <w:b w:val="0"/>
                <w:bCs w:val="0"/>
                <w:i w:val="0"/>
                <w:iCs w:val="0"/>
                <w:color w:val="000000"/>
                <w:sz w:val="18"/>
                <w:szCs w:val="18"/>
                <w:u w:val="none"/>
                <w:lang w:val="en-US" w:eastAsia="zh-CN"/>
              </w:rPr>
            </w:pPr>
            <w:r>
              <w:rPr>
                <w:rFonts w:hint="eastAsia" w:ascii="宋体" w:hAnsi="宋体" w:eastAsia="宋体" w:cs="宋体"/>
                <w:b w:val="0"/>
                <w:bCs w:val="0"/>
                <w:i w:val="0"/>
                <w:iCs w:val="0"/>
                <w:color w:val="000000"/>
                <w:sz w:val="18"/>
                <w:szCs w:val="18"/>
                <w:u w:val="none"/>
                <w:lang w:val="en-US" w:eastAsia="zh-CN"/>
              </w:rPr>
              <w:t>0</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5" w:hRule="atLeast"/>
        </w:trPr>
        <w:tc>
          <w:tcPr>
            <w:tcW w:w="4870"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自治区彩票公益金卫生健康领域项目资金预算</w:t>
            </w:r>
          </w:p>
        </w:tc>
        <w:tc>
          <w:tcPr>
            <w:tcW w:w="119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170</w:t>
            </w:r>
          </w:p>
        </w:tc>
        <w:tc>
          <w:tcPr>
            <w:tcW w:w="1245"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139</w:t>
            </w:r>
          </w:p>
        </w:tc>
        <w:tc>
          <w:tcPr>
            <w:tcW w:w="1170"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16</w:t>
            </w:r>
          </w:p>
        </w:tc>
        <w:tc>
          <w:tcPr>
            <w:tcW w:w="1173" w:type="dxa"/>
            <w:tcBorders>
              <w:top w:val="single" w:color="000000" w:sz="4" w:space="0"/>
              <w:left w:val="single" w:color="000000" w:sz="4" w:space="0"/>
              <w:bottom w:val="single" w:color="000000" w:sz="4" w:space="0"/>
              <w:right w:val="single" w:color="000000" w:sz="4" w:space="0"/>
            </w:tcBorders>
            <w:shd w:val="clear" w:color="auto" w:fill="auto"/>
            <w:noWrap/>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b w:val="0"/>
                <w:bCs w:val="0"/>
                <w:i w:val="0"/>
                <w:iCs w:val="0"/>
                <w:color w:val="000000"/>
                <w:kern w:val="0"/>
                <w:sz w:val="18"/>
                <w:szCs w:val="18"/>
                <w:u w:val="none"/>
                <w:lang w:val="en-US" w:eastAsia="zh-CN" w:bidi="ar"/>
              </w:rPr>
              <w:t>15</w:t>
            </w:r>
          </w:p>
        </w:tc>
      </w:tr>
    </w:tbl>
    <w:p>
      <w:pPr>
        <w:pStyle w:val="2"/>
        <w:rPr>
          <w:rFonts w:hint="eastAsia" w:ascii="宋体" w:hAnsi="宋体" w:eastAsia="宋体" w:cs="宋体"/>
          <w:color w:val="000000" w:themeColor="text1"/>
          <w:sz w:val="18"/>
          <w:szCs w:val="18"/>
          <w14:textFill>
            <w14:solidFill>
              <w14:schemeClr w14:val="tx1"/>
            </w14:solidFill>
          </w14:textFill>
        </w:rPr>
      </w:pPr>
    </w:p>
    <w:tbl>
      <w:tblPr>
        <w:tblStyle w:val="15"/>
        <w:tblpPr w:leftFromText="180" w:rightFromText="180" w:vertAnchor="text" w:horzAnchor="page" w:tblpX="1534" w:tblpY="118"/>
        <w:tblOverlap w:val="never"/>
        <w:tblW w:w="992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992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44" w:hRule="atLeast"/>
        </w:trPr>
        <w:tc>
          <w:tcPr>
            <w:tcW w:w="9925" w:type="dxa"/>
            <w:tcBorders>
              <w:top w:val="nil"/>
              <w:left w:val="nil"/>
              <w:bottom w:val="nil"/>
              <w:right w:val="nil"/>
            </w:tcBorders>
            <w:shd w:val="clear" w:color="auto" w:fill="auto"/>
            <w:tcMar>
              <w:top w:w="12" w:type="dxa"/>
              <w:left w:w="12" w:type="dxa"/>
              <w:right w:w="12" w:type="dxa"/>
            </w:tcMar>
            <w:vAlign w:val="bottom"/>
          </w:tcPr>
          <w:p>
            <w:pPr>
              <w:keepNext w:val="0"/>
              <w:keepLines w:val="0"/>
              <w:widowControl/>
              <w:suppressLineNumbers w:val="0"/>
              <w:spacing w:before="0" w:beforeAutospacing="0" w:after="0" w:afterAutospacing="0"/>
              <w:ind w:left="0" w:right="0"/>
              <w:jc w:val="both"/>
              <w:textAlignment w:val="bottom"/>
              <w:rPr>
                <w:rFonts w:hint="default" w:ascii="楷体_GB2312" w:hAnsi="宋体" w:eastAsia="楷体_GB2312" w:cs="楷体_GB2312"/>
                <w:b/>
                <w:i w:val="0"/>
                <w:color w:val="000000"/>
                <w:sz w:val="32"/>
                <w:szCs w:val="32"/>
                <w:u w:val="none"/>
              </w:rPr>
            </w:pPr>
            <w:r>
              <w:rPr>
                <w:rFonts w:hint="eastAsia" w:ascii="楷体_GB2312" w:hAnsi="宋体" w:eastAsia="楷体_GB2312" w:cs="楷体_GB2312"/>
                <w:b/>
                <w:i w:val="0"/>
                <w:color w:val="000000" w:themeColor="text1"/>
                <w:kern w:val="0"/>
                <w:sz w:val="44"/>
                <w:szCs w:val="44"/>
                <w:u w:val="none"/>
                <w:lang w:val="en-US" w:eastAsia="zh-CN" w:bidi="ar"/>
                <w14:textFill>
                  <w14:solidFill>
                    <w14:schemeClr w14:val="tx1"/>
                  </w14:solidFill>
                </w14:textFill>
              </w:rPr>
              <w:t>三、国有资本经营预算公开表</w:t>
            </w:r>
          </w:p>
        </w:tc>
      </w:tr>
    </w:tbl>
    <w:p>
      <w:pPr>
        <w:pStyle w:val="2"/>
        <w:rPr>
          <w:rFonts w:hint="eastAsia" w:ascii="宋体" w:hAnsi="宋体" w:eastAsia="宋体" w:cs="宋体"/>
          <w:color w:val="000000" w:themeColor="text1"/>
          <w:sz w:val="18"/>
          <w:szCs w:val="18"/>
          <w14:textFill>
            <w14:solidFill>
              <w14:schemeClr w14:val="tx1"/>
            </w14:solidFill>
          </w14:textFill>
        </w:rPr>
      </w:pPr>
    </w:p>
    <w:p>
      <w:pPr>
        <w:keepNext w:val="0"/>
        <w:keepLines w:val="0"/>
        <w:pageBreakBefore w:val="0"/>
        <w:widowControl w:val="0"/>
        <w:kinsoku/>
        <w:wordWrap/>
        <w:overflowPunct w:val="0"/>
        <w:topLinePunct w:val="0"/>
        <w:autoSpaceDE/>
        <w:autoSpaceDN/>
        <w:bidi w:val="0"/>
        <w:adjustRightInd/>
        <w:snapToGrid/>
        <w:rPr>
          <w:rFonts w:hint="default" w:ascii="Times New Roman" w:hAnsi="Times New Roman" w:eastAsia="宋体" w:cs="Times New Roman"/>
          <w:i w:val="0"/>
          <w:color w:val="000000"/>
          <w:kern w:val="0"/>
          <w:sz w:val="24"/>
          <w:szCs w:val="24"/>
          <w:u w:val="none"/>
          <w:lang w:val="en-US" w:eastAsia="zh-CN" w:bidi="ar"/>
        </w:rPr>
      </w:pPr>
      <w:bookmarkStart w:id="3" w:name="OLE_LINK1"/>
    </w:p>
    <w:bookmarkEnd w:id="3"/>
    <w:tbl>
      <w:tblPr>
        <w:tblStyle w:val="15"/>
        <w:tblpPr w:leftFromText="180" w:rightFromText="180" w:vertAnchor="text" w:horzAnchor="page" w:tblpX="824" w:tblpY="-148"/>
        <w:tblOverlap w:val="never"/>
        <w:tblW w:w="105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725"/>
        <w:gridCol w:w="540"/>
        <w:gridCol w:w="542"/>
        <w:gridCol w:w="554"/>
        <w:gridCol w:w="540"/>
        <w:gridCol w:w="647"/>
        <w:gridCol w:w="659"/>
        <w:gridCol w:w="1499"/>
        <w:gridCol w:w="615"/>
        <w:gridCol w:w="615"/>
        <w:gridCol w:w="630"/>
        <w:gridCol w:w="675"/>
        <w:gridCol w:w="675"/>
        <w:gridCol w:w="64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725" w:type="dxa"/>
            <w:noWrap w:val="0"/>
            <w:vAlign w:val="bottom"/>
          </w:tcPr>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14</w:t>
            </w:r>
          </w:p>
        </w:tc>
        <w:tc>
          <w:tcPr>
            <w:tcW w:w="54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542"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554"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54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47"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59"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1499"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1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1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3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7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7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4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0" w:hRule="atLeast"/>
        </w:trPr>
        <w:tc>
          <w:tcPr>
            <w:tcW w:w="10561" w:type="dxa"/>
            <w:gridSpan w:val="14"/>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ascii="宋体" w:hAnsi="宋体" w:cs="宋体"/>
                <w:b/>
                <w:i w:val="0"/>
                <w:color w:val="000000"/>
                <w:kern w:val="0"/>
                <w:sz w:val="32"/>
                <w:szCs w:val="32"/>
                <w:highlight w:val="none"/>
                <w:u w:val="none"/>
                <w:lang w:val="en-US" w:eastAsia="zh-CN" w:bidi="ar"/>
              </w:rPr>
              <w:t xml:space="preserve">    </w:t>
            </w:r>
            <w:r>
              <w:rPr>
                <w:rFonts w:hint="eastAsia" w:ascii="宋体" w:hAnsi="宋体" w:eastAsia="宋体" w:cs="宋体"/>
                <w:b/>
                <w:i w:val="0"/>
                <w:color w:val="000000"/>
                <w:kern w:val="0"/>
                <w:sz w:val="32"/>
                <w:szCs w:val="32"/>
                <w:highlight w:val="none"/>
                <w:u w:val="none"/>
                <w:lang w:val="en-US" w:eastAsia="zh-CN" w:bidi="ar"/>
              </w:rPr>
              <w:t>2025年吐鲁番市国有资本经营预算收支总表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0" w:hRule="atLeast"/>
        </w:trPr>
        <w:tc>
          <w:tcPr>
            <w:tcW w:w="172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54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542"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554"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54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647"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659"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99"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61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1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3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67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1320" w:type="dxa"/>
            <w:gridSpan w:val="2"/>
            <w:tcBorders>
              <w:bottom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5207" w:type="dxa"/>
            <w:gridSpan w:val="7"/>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收          入</w:t>
            </w:r>
          </w:p>
        </w:tc>
        <w:tc>
          <w:tcPr>
            <w:tcW w:w="5354" w:type="dxa"/>
            <w:gridSpan w:val="7"/>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支          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1725"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  目</w:t>
            </w:r>
          </w:p>
        </w:tc>
        <w:tc>
          <w:tcPr>
            <w:tcW w:w="1636"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20"/>
                <w:szCs w:val="20"/>
                <w:highlight w:val="none"/>
                <w:u w:val="none"/>
                <w:lang w:val="en-US" w:eastAsia="zh-CN" w:bidi="ar"/>
              </w:rPr>
              <w:t>2024</w:t>
            </w:r>
            <w:r>
              <w:rPr>
                <w:rFonts w:hint="default" w:ascii="Times New Roman" w:hAnsi="Times New Roman" w:eastAsia="宋体" w:cs="Times New Roman"/>
                <w:b/>
                <w:i w:val="0"/>
                <w:color w:val="000000"/>
                <w:kern w:val="0"/>
                <w:sz w:val="20"/>
                <w:szCs w:val="20"/>
                <w:highlight w:val="none"/>
                <w:u w:val="none"/>
                <w:lang w:val="en-US" w:eastAsia="zh-Hans" w:bidi="ar"/>
              </w:rPr>
              <w:t>完成</w:t>
            </w:r>
            <w:r>
              <w:rPr>
                <w:rFonts w:hint="default" w:ascii="Times New Roman" w:hAnsi="Times New Roman" w:eastAsia="宋体" w:cs="Times New Roman"/>
                <w:b/>
                <w:i w:val="0"/>
                <w:color w:val="000000"/>
                <w:kern w:val="0"/>
                <w:sz w:val="20"/>
                <w:szCs w:val="20"/>
                <w:highlight w:val="none"/>
                <w:u w:val="none"/>
                <w:lang w:val="en-US" w:eastAsia="zh-CN" w:bidi="ar"/>
              </w:rPr>
              <w:t>数</w:t>
            </w:r>
          </w:p>
        </w:tc>
        <w:tc>
          <w:tcPr>
            <w:tcW w:w="1846"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20"/>
                <w:szCs w:val="20"/>
                <w:highlight w:val="none"/>
                <w:u w:val="none"/>
                <w:lang w:val="en-US" w:eastAsia="zh-CN" w:bidi="ar"/>
              </w:rPr>
              <w:t>2025</w:t>
            </w:r>
            <w:r>
              <w:rPr>
                <w:rFonts w:hint="default" w:ascii="Times New Roman" w:hAnsi="Times New Roman" w:eastAsia="宋体" w:cs="Times New Roman"/>
                <w:b/>
                <w:i w:val="0"/>
                <w:color w:val="000000"/>
                <w:kern w:val="0"/>
                <w:sz w:val="20"/>
                <w:szCs w:val="20"/>
                <w:highlight w:val="none"/>
                <w:u w:val="none"/>
                <w:lang w:val="en-US" w:eastAsia="zh-CN" w:bidi="ar"/>
              </w:rPr>
              <w:t>预算数</w:t>
            </w:r>
          </w:p>
        </w:tc>
        <w:tc>
          <w:tcPr>
            <w:tcW w:w="1499"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  目</w:t>
            </w:r>
          </w:p>
        </w:tc>
        <w:tc>
          <w:tcPr>
            <w:tcW w:w="1860"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20"/>
                <w:szCs w:val="20"/>
                <w:highlight w:val="none"/>
                <w:u w:val="none"/>
                <w:lang w:val="en-US" w:eastAsia="zh-CN" w:bidi="ar"/>
              </w:rPr>
              <w:t>2024</w:t>
            </w:r>
            <w:r>
              <w:rPr>
                <w:rFonts w:hint="default" w:ascii="Times New Roman" w:hAnsi="Times New Roman" w:eastAsia="宋体" w:cs="Times New Roman"/>
                <w:b/>
                <w:i w:val="0"/>
                <w:color w:val="000000"/>
                <w:kern w:val="0"/>
                <w:sz w:val="20"/>
                <w:szCs w:val="20"/>
                <w:highlight w:val="none"/>
                <w:u w:val="none"/>
                <w:lang w:val="en-US" w:eastAsia="zh-Hans" w:bidi="ar"/>
              </w:rPr>
              <w:t>完成</w:t>
            </w:r>
            <w:r>
              <w:rPr>
                <w:rFonts w:hint="default" w:ascii="Times New Roman" w:hAnsi="Times New Roman" w:eastAsia="宋体" w:cs="Times New Roman"/>
                <w:b/>
                <w:i w:val="0"/>
                <w:color w:val="000000"/>
                <w:kern w:val="0"/>
                <w:sz w:val="20"/>
                <w:szCs w:val="20"/>
                <w:highlight w:val="none"/>
                <w:u w:val="none"/>
                <w:lang w:val="en-US" w:eastAsia="zh-CN" w:bidi="ar"/>
              </w:rPr>
              <w:t>数</w:t>
            </w:r>
          </w:p>
        </w:tc>
        <w:tc>
          <w:tcPr>
            <w:tcW w:w="1995"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20"/>
                <w:szCs w:val="20"/>
                <w:highlight w:val="none"/>
                <w:u w:val="none"/>
                <w:lang w:val="en-US" w:eastAsia="zh-CN" w:bidi="ar"/>
              </w:rPr>
              <w:t>2025</w:t>
            </w:r>
            <w:r>
              <w:rPr>
                <w:rFonts w:hint="default" w:ascii="Times New Roman" w:hAnsi="Times New Roman" w:eastAsia="宋体" w:cs="Times New Roman"/>
                <w:b/>
                <w:i w:val="0"/>
                <w:color w:val="000000"/>
                <w:kern w:val="0"/>
                <w:sz w:val="20"/>
                <w:szCs w:val="20"/>
                <w:highlight w:val="none"/>
                <w:u w:val="none"/>
                <w:lang w:val="en-US" w:eastAsia="zh-CN" w:bidi="ar"/>
              </w:rPr>
              <w:t>预算数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098" w:hRule="atLeast"/>
        </w:trPr>
        <w:tc>
          <w:tcPr>
            <w:tcW w:w="1725"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eastAsia" w:ascii="Times New Roman" w:hAnsi="Times New Roman" w:eastAsia="宋体" w:cs="Times New Roman"/>
                <w:b/>
                <w:i w:val="0"/>
                <w:color w:val="000000"/>
                <w:kern w:val="0"/>
                <w:sz w:val="20"/>
                <w:szCs w:val="20"/>
                <w:highlight w:val="none"/>
                <w:u w:val="none"/>
                <w:lang w:val="en-US" w:eastAsia="zh-CN" w:bidi="ar"/>
              </w:rPr>
              <w:t>吐鲁番市本级</w:t>
            </w: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b/>
                <w:i w:val="0"/>
                <w:color w:val="000000"/>
                <w:kern w:val="0"/>
                <w:sz w:val="20"/>
                <w:szCs w:val="20"/>
                <w:highlight w:val="none"/>
                <w:u w:val="none"/>
                <w:lang w:val="en-US" w:eastAsia="zh-CN" w:bidi="ar"/>
              </w:rPr>
              <w:t>地市级</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b/>
                <w:i w:val="0"/>
                <w:color w:val="000000"/>
                <w:kern w:val="0"/>
                <w:sz w:val="20"/>
                <w:szCs w:val="20"/>
                <w:highlight w:val="none"/>
                <w:u w:val="none"/>
                <w:lang w:val="en-US" w:eastAsia="zh-CN" w:bidi="ar"/>
              </w:rPr>
              <w:t>以下</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eastAsia" w:ascii="Times New Roman" w:hAnsi="Times New Roman" w:eastAsia="宋体" w:cs="Times New Roman"/>
                <w:b/>
                <w:i w:val="0"/>
                <w:color w:val="000000"/>
                <w:kern w:val="0"/>
                <w:sz w:val="20"/>
                <w:szCs w:val="20"/>
                <w:highlight w:val="none"/>
                <w:u w:val="none"/>
                <w:lang w:val="en-US" w:eastAsia="zh-CN" w:bidi="ar"/>
              </w:rPr>
              <w:t>吐鲁番市本级</w:t>
            </w: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b/>
                <w:i w:val="0"/>
                <w:color w:val="000000"/>
                <w:kern w:val="0"/>
                <w:sz w:val="20"/>
                <w:szCs w:val="20"/>
                <w:highlight w:val="none"/>
                <w:u w:val="none"/>
                <w:lang w:val="en-US" w:eastAsia="zh-CN" w:bidi="ar"/>
              </w:rPr>
              <w:t>地市级</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b/>
                <w:i w:val="0"/>
                <w:color w:val="000000"/>
                <w:kern w:val="0"/>
                <w:sz w:val="20"/>
                <w:szCs w:val="20"/>
                <w:highlight w:val="none"/>
                <w:u w:val="none"/>
                <w:lang w:val="en-US" w:eastAsia="zh-CN" w:bidi="ar"/>
              </w:rPr>
              <w:t>以下</w:t>
            </w:r>
          </w:p>
        </w:tc>
        <w:tc>
          <w:tcPr>
            <w:tcW w:w="1499"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0"/>
                <w:szCs w:val="20"/>
                <w:highlight w:val="magenta"/>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magenta"/>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ascii="Times New Roman" w:hAnsi="Times New Roman" w:eastAsia="宋体" w:cs="Times New Roman"/>
                <w:b/>
                <w:i w:val="0"/>
                <w:color w:val="000000"/>
                <w:kern w:val="0"/>
                <w:sz w:val="20"/>
                <w:szCs w:val="20"/>
                <w:highlight w:val="none"/>
                <w:u w:val="none"/>
                <w:lang w:val="en-US" w:eastAsia="zh-CN" w:bidi="ar"/>
              </w:rPr>
              <w:t>吐鲁番市本级</w:t>
            </w: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sz w:val="20"/>
                <w:szCs w:val="20"/>
                <w:highlight w:val="none"/>
                <w:u w:val="none"/>
              </w:rPr>
              <w:t>地市级</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sz w:val="20"/>
                <w:szCs w:val="20"/>
                <w:highlight w:val="none"/>
                <w:u w:val="none"/>
              </w:rPr>
              <w:t>以下</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magenta"/>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magenta"/>
                <w:u w:val="none"/>
              </w:rPr>
            </w:pPr>
            <w:r>
              <w:rPr>
                <w:rFonts w:hint="eastAsia" w:ascii="Times New Roman" w:hAnsi="Times New Roman" w:eastAsia="宋体" w:cs="Times New Roman"/>
                <w:b/>
                <w:i w:val="0"/>
                <w:color w:val="000000"/>
                <w:kern w:val="0"/>
                <w:sz w:val="20"/>
                <w:szCs w:val="20"/>
                <w:highlight w:val="none"/>
                <w:u w:val="none"/>
                <w:lang w:val="en-US" w:eastAsia="zh-CN" w:bidi="ar"/>
              </w:rPr>
              <w:t>吐鲁番市本级</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20"/>
                <w:szCs w:val="20"/>
                <w:highlight w:val="none"/>
                <w:u w:val="none"/>
                <w:lang w:val="en-US" w:eastAsia="zh-CN" w:bidi="ar"/>
              </w:rPr>
              <w:t>地市</w:t>
            </w:r>
            <w:r>
              <w:rPr>
                <w:rFonts w:hint="eastAsia" w:ascii="Times New Roman" w:hAnsi="Times New Roman" w:eastAsia="宋体" w:cs="Times New Roman"/>
                <w:b/>
                <w:i w:val="0"/>
                <w:color w:val="000000"/>
                <w:kern w:val="0"/>
                <w:sz w:val="20"/>
                <w:szCs w:val="20"/>
                <w:highlight w:val="none"/>
                <w:u w:val="none"/>
                <w:lang w:val="en-US" w:eastAsia="zh-CN" w:bidi="ar"/>
              </w:rPr>
              <w:t>级</w:t>
            </w:r>
            <w:r>
              <w:rPr>
                <w:rFonts w:hint="default" w:ascii="Times New Roman" w:hAnsi="Times New Roman" w:eastAsia="宋体" w:cs="Times New Roman"/>
                <w:b/>
                <w:i w:val="0"/>
                <w:color w:val="000000"/>
                <w:kern w:val="0"/>
                <w:sz w:val="20"/>
                <w:szCs w:val="20"/>
                <w:highlight w:val="none"/>
                <w:u w:val="none"/>
                <w:lang w:val="en-US" w:eastAsia="zh-CN" w:bidi="ar"/>
              </w:rPr>
              <w:t>以下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一、利润收入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6071</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6071</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6364</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208</w:t>
            </w: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6156</w:t>
            </w: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一、解决历史遗留问题及改革成本支出</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354</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22</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w:t>
            </w:r>
            <w:r>
              <w:rPr>
                <w:rFonts w:hint="eastAsia" w:cs="Times New Roman"/>
                <w:b/>
                <w:bCs/>
                <w:i w:val="0"/>
                <w:color w:val="000000"/>
                <w:kern w:val="0"/>
                <w:sz w:val="20"/>
                <w:szCs w:val="20"/>
                <w:highlight w:val="none"/>
                <w:u w:val="none"/>
                <w:lang w:val="en-US" w:eastAsia="zh-CN" w:bidi="ar"/>
              </w:rPr>
              <w:t>股息红利</w:t>
            </w:r>
            <w:r>
              <w:rPr>
                <w:rFonts w:hint="default" w:ascii="Times New Roman" w:hAnsi="Times New Roman" w:eastAsia="宋体" w:cs="Times New Roman"/>
                <w:b/>
                <w:bCs/>
                <w:i w:val="0"/>
                <w:color w:val="000000"/>
                <w:kern w:val="0"/>
                <w:sz w:val="20"/>
                <w:szCs w:val="20"/>
                <w:highlight w:val="none"/>
                <w:u w:val="none"/>
                <w:lang w:val="en-US" w:eastAsia="zh-CN" w:bidi="ar"/>
              </w:rPr>
              <w:t>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36</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36</w:t>
            </w: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二、国有企业资本金注入</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1304</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1304</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4890</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59</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4831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三、产权转让收入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三、国有企业</w:t>
            </w:r>
            <w:r>
              <w:rPr>
                <w:rFonts w:hint="eastAsia" w:cs="Times New Roman"/>
                <w:b/>
                <w:bCs/>
                <w:i w:val="0"/>
                <w:color w:val="000000"/>
                <w:kern w:val="0"/>
                <w:sz w:val="20"/>
                <w:szCs w:val="20"/>
                <w:highlight w:val="none"/>
                <w:u w:val="none"/>
                <w:lang w:val="en-US" w:eastAsia="zh-CN" w:bidi="ar"/>
              </w:rPr>
              <w:t>公益</w:t>
            </w:r>
            <w:r>
              <w:rPr>
                <w:rFonts w:hint="default" w:ascii="Times New Roman" w:hAnsi="Times New Roman" w:eastAsia="宋体" w:cs="Times New Roman"/>
                <w:b/>
                <w:bCs/>
                <w:i w:val="0"/>
                <w:color w:val="000000"/>
                <w:kern w:val="0"/>
                <w:sz w:val="20"/>
                <w:szCs w:val="20"/>
                <w:highlight w:val="none"/>
                <w:u w:val="none"/>
                <w:lang w:val="en-US" w:eastAsia="zh-CN" w:bidi="ar"/>
              </w:rPr>
              <w:t>性补贴</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182</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182</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300</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四、清算收入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4</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4</w:t>
            </w: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四、其他国有资本经营预算支出</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1195</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65</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1130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五、其他国有资本经营预算收入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b/>
                <w:bCs/>
                <w:i w:val="0"/>
                <w:color w:val="000000"/>
                <w:sz w:val="20"/>
                <w:szCs w:val="20"/>
                <w:highlight w:val="none"/>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6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收入合计</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6111</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40</w:t>
            </w: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6071</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6364</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208</w:t>
            </w: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6156</w:t>
            </w: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支出合计</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宋体" w:hAnsi="宋体" w:eastAsia="宋体" w:cs="宋体"/>
                <w:b/>
                <w:bCs w:val="0"/>
                <w:i w:val="0"/>
                <w:color w:val="000000"/>
                <w:sz w:val="20"/>
                <w:szCs w:val="20"/>
                <w:highlight w:val="none"/>
                <w:u w:val="none"/>
                <w:lang w:val="en-US" w:eastAsia="zh-CN"/>
              </w:rPr>
            </w:pPr>
            <w:r>
              <w:rPr>
                <w:rFonts w:hint="eastAsia" w:ascii="宋体" w:hAnsi="宋体" w:cs="宋体"/>
                <w:b/>
                <w:bCs w:val="0"/>
                <w:i w:val="0"/>
                <w:color w:val="000000"/>
                <w:sz w:val="20"/>
                <w:szCs w:val="20"/>
                <w:highlight w:val="none"/>
                <w:u w:val="none"/>
                <w:lang w:val="en-US" w:eastAsia="zh-CN"/>
              </w:rPr>
              <w:t>1518</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宋体" w:hAnsi="宋体" w:eastAsia="宋体" w:cs="宋体"/>
                <w:b/>
                <w:bCs w:val="0"/>
                <w:i w:val="0"/>
                <w:color w:val="000000"/>
                <w:sz w:val="20"/>
                <w:szCs w:val="20"/>
                <w:highlight w:val="none"/>
                <w:u w:val="none"/>
                <w:lang w:val="en-US" w:eastAsia="zh-CN"/>
              </w:rPr>
            </w:pPr>
            <w:r>
              <w:rPr>
                <w:rFonts w:hint="eastAsia" w:ascii="宋体" w:hAnsi="宋体" w:cs="宋体"/>
                <w:b/>
                <w:bCs w:val="0"/>
                <w:i w:val="0"/>
                <w:color w:val="000000"/>
                <w:sz w:val="20"/>
                <w:szCs w:val="20"/>
                <w:highlight w:val="none"/>
                <w:u w:val="none"/>
                <w:lang w:val="en-US" w:eastAsia="zh-CN"/>
              </w:rPr>
              <w:t>1518</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宋体" w:hAnsi="宋体" w:eastAsia="宋体" w:cs="宋体"/>
                <w:b/>
                <w:bCs w:val="0"/>
                <w:i w:val="0"/>
                <w:color w:val="000000"/>
                <w:sz w:val="20"/>
                <w:szCs w:val="20"/>
                <w:highlight w:val="none"/>
                <w:u w:val="none"/>
                <w:lang w:val="en-US" w:eastAsia="zh-CN"/>
              </w:rPr>
            </w:pPr>
            <w:r>
              <w:rPr>
                <w:rFonts w:hint="eastAsia" w:ascii="宋体" w:hAnsi="宋体" w:cs="宋体"/>
                <w:b/>
                <w:bCs w:val="0"/>
                <w:i w:val="0"/>
                <w:color w:val="000000"/>
                <w:sz w:val="20"/>
                <w:szCs w:val="20"/>
                <w:highlight w:val="none"/>
                <w:u w:val="none"/>
                <w:lang w:val="en-US" w:eastAsia="zh-CN"/>
              </w:rPr>
              <w:t>6739</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宋体" w:hAnsi="宋体" w:eastAsia="宋体" w:cs="宋体"/>
                <w:b/>
                <w:bCs w:val="0"/>
                <w:i w:val="0"/>
                <w:color w:val="000000"/>
                <w:sz w:val="20"/>
                <w:szCs w:val="20"/>
                <w:highlight w:val="none"/>
                <w:u w:val="none"/>
                <w:lang w:val="en-US" w:eastAsia="zh-CN"/>
              </w:rPr>
            </w:pPr>
            <w:r>
              <w:rPr>
                <w:rFonts w:hint="eastAsia" w:ascii="宋体" w:hAnsi="宋体" w:cs="宋体"/>
                <w:b/>
                <w:bCs w:val="0"/>
                <w:i w:val="0"/>
                <w:color w:val="000000"/>
                <w:sz w:val="20"/>
                <w:szCs w:val="20"/>
                <w:highlight w:val="none"/>
                <w:u w:val="none"/>
                <w:lang w:val="en-US" w:eastAsia="zh-CN"/>
              </w:rPr>
              <w:t>146</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val="0"/>
                <w:i w:val="0"/>
                <w:color w:val="000000"/>
                <w:sz w:val="20"/>
                <w:szCs w:val="20"/>
                <w:highlight w:val="none"/>
                <w:u w:val="none"/>
                <w:lang w:val="en-US" w:eastAsia="zh-CN"/>
              </w:rPr>
            </w:pPr>
            <w:r>
              <w:rPr>
                <w:rFonts w:hint="eastAsia" w:ascii="宋体" w:hAnsi="宋体" w:eastAsia="宋体" w:cs="宋体"/>
                <w:b/>
                <w:bCs w:val="0"/>
                <w:i w:val="0"/>
                <w:color w:val="000000"/>
                <w:sz w:val="20"/>
                <w:szCs w:val="20"/>
                <w:highlight w:val="none"/>
                <w:u w:val="none"/>
                <w:lang w:val="en-US" w:eastAsia="zh-CN"/>
              </w:rPr>
              <w:t>6593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国有资本经营预算转移支付收入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32</w:t>
            </w: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国有资本经营预算转移支付支出</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国有资本经营预算上解收入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left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国有资本经营预算上解支出</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eastAsia" w:cs="Times New Roman"/>
                <w:b w:val="0"/>
                <w:bCs w:val="0"/>
                <w:i w:val="0"/>
                <w:color w:val="000000"/>
                <w:kern w:val="0"/>
                <w:sz w:val="20"/>
                <w:szCs w:val="20"/>
                <w:highlight w:val="none"/>
                <w:u w:val="none"/>
                <w:lang w:val="en-US" w:eastAsia="zh-CN" w:bidi="ar"/>
              </w:rPr>
              <w:t>国有资本经营预算</w:t>
            </w:r>
            <w:r>
              <w:rPr>
                <w:rFonts w:hint="default" w:ascii="Times New Roman" w:hAnsi="Times New Roman" w:eastAsia="宋体" w:cs="Times New Roman"/>
                <w:b w:val="0"/>
                <w:bCs w:val="0"/>
                <w:i w:val="0"/>
                <w:color w:val="000000"/>
                <w:kern w:val="0"/>
                <w:sz w:val="20"/>
                <w:szCs w:val="20"/>
                <w:highlight w:val="none"/>
                <w:u w:val="none"/>
                <w:lang w:val="en-US" w:eastAsia="zh-CN" w:bidi="ar"/>
              </w:rPr>
              <w:t>上年结转</w:t>
            </w:r>
            <w:r>
              <w:rPr>
                <w:rFonts w:hint="eastAsia" w:cs="Times New Roman"/>
                <w:b w:val="0"/>
                <w:bCs w:val="0"/>
                <w:i w:val="0"/>
                <w:color w:val="000000"/>
                <w:kern w:val="0"/>
                <w:sz w:val="20"/>
                <w:szCs w:val="20"/>
                <w:highlight w:val="none"/>
                <w:u w:val="none"/>
                <w:lang w:val="en-US" w:eastAsia="zh-CN" w:bidi="ar"/>
              </w:rPr>
              <w:t>收入</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1651</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1651</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2236</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p>
          <w:p>
            <w:pPr>
              <w:pStyle w:val="8"/>
              <w:keepNext w:val="0"/>
              <w:keepLines w:val="0"/>
              <w:suppressLineNumbers w:val="0"/>
              <w:spacing w:before="0" w:beforeAutospacing="0" w:after="0" w:afterAutospacing="0"/>
              <w:ind w:left="0" w:right="0"/>
              <w:jc w:val="right"/>
              <w:rPr>
                <w:rFonts w:hint="eastAsia" w:ascii="宋体" w:hAnsi="宋体" w:eastAsia="宋体" w:cs="宋体"/>
                <w:b w:val="0"/>
                <w:bCs w:val="0"/>
                <w:lang w:val="en-US" w:eastAsia="zh-CN"/>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lang w:val="en-US" w:eastAsia="zh-CN"/>
              </w:rPr>
            </w:pPr>
            <w:r>
              <w:rPr>
                <w:rFonts w:hint="eastAsia" w:ascii="宋体" w:hAnsi="宋体" w:eastAsia="宋体" w:cs="宋体"/>
                <w:b w:val="0"/>
                <w:bCs w:val="0"/>
                <w:i w:val="0"/>
                <w:color w:val="000000"/>
                <w:sz w:val="20"/>
                <w:szCs w:val="20"/>
                <w:highlight w:val="none"/>
                <w:u w:val="none"/>
                <w:lang w:val="en-US" w:eastAsia="zh-CN"/>
              </w:rPr>
              <w:t>2236</w:t>
            </w: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国有资本经营预算调出资金</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4040</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40</w:t>
            </w: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4000</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1893</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62</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1831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b w:val="0"/>
                <w:bCs w:val="0"/>
                <w:i w:val="0"/>
                <w:color w:val="000000"/>
                <w:sz w:val="20"/>
                <w:szCs w:val="20"/>
                <w:highlight w:val="none"/>
                <w:u w:val="none"/>
                <w:lang w:val="en-US"/>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val="0"/>
                <w:bCs w:val="0"/>
                <w:i w:val="0"/>
                <w:color w:val="000000"/>
                <w:sz w:val="20"/>
                <w:szCs w:val="20"/>
                <w:highlight w:val="none"/>
                <w:u w:val="none"/>
              </w:rPr>
            </w:pP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sz w:val="20"/>
                <w:szCs w:val="20"/>
                <w:highlight w:val="none"/>
                <w:u w:val="none"/>
              </w:rPr>
            </w:pPr>
            <w:r>
              <w:rPr>
                <w:rFonts w:hint="eastAsia" w:cs="Times New Roman"/>
                <w:b w:val="0"/>
                <w:bCs w:val="0"/>
                <w:i w:val="0"/>
                <w:color w:val="000000"/>
                <w:kern w:val="0"/>
                <w:sz w:val="20"/>
                <w:szCs w:val="20"/>
                <w:highlight w:val="none"/>
                <w:u w:val="none"/>
                <w:lang w:val="en-US" w:eastAsia="zh-CN" w:bidi="ar"/>
              </w:rPr>
              <w:t>国有资本经营预算年终结余</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2236</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lang w:val="en-US" w:eastAsia="zh-CN"/>
              </w:rPr>
            </w:pPr>
            <w:r>
              <w:rPr>
                <w:rFonts w:hint="eastAsia" w:ascii="宋体" w:hAnsi="宋体" w:eastAsia="宋体" w:cs="宋体"/>
                <w:i w:val="0"/>
                <w:color w:val="000000"/>
                <w:sz w:val="20"/>
                <w:szCs w:val="20"/>
                <w:highlight w:val="none"/>
                <w:u w:val="none"/>
                <w:lang w:val="en-US" w:eastAsia="zh-CN"/>
              </w:rPr>
              <w:t>2236</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7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收入总计</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7794</w:t>
            </w:r>
          </w:p>
        </w:tc>
        <w:tc>
          <w:tcPr>
            <w:tcW w:w="5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40</w:t>
            </w:r>
          </w:p>
        </w:tc>
        <w:tc>
          <w:tcPr>
            <w:tcW w:w="5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7754</w:t>
            </w:r>
          </w:p>
        </w:tc>
        <w:tc>
          <w:tcPr>
            <w:tcW w:w="5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8632</w:t>
            </w:r>
          </w:p>
        </w:tc>
        <w:tc>
          <w:tcPr>
            <w:tcW w:w="6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208</w:t>
            </w:r>
          </w:p>
        </w:tc>
        <w:tc>
          <w:tcPr>
            <w:tcW w:w="6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8424</w:t>
            </w:r>
          </w:p>
        </w:tc>
        <w:tc>
          <w:tcPr>
            <w:tcW w:w="149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lang w:val="en-US"/>
              </w:rPr>
            </w:pPr>
            <w:r>
              <w:rPr>
                <w:rFonts w:hint="default" w:ascii="Times New Roman" w:hAnsi="Times New Roman" w:eastAsia="宋体" w:cs="Times New Roman"/>
                <w:b/>
                <w:i w:val="0"/>
                <w:color w:val="000000"/>
                <w:kern w:val="0"/>
                <w:sz w:val="20"/>
                <w:szCs w:val="20"/>
                <w:highlight w:val="none"/>
                <w:u w:val="none"/>
                <w:lang w:val="en-US" w:eastAsia="zh-CN" w:bidi="ar"/>
              </w:rPr>
              <w:t>支出总计</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7794</w:t>
            </w:r>
          </w:p>
        </w:tc>
        <w:tc>
          <w:tcPr>
            <w:tcW w:w="61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40</w:t>
            </w:r>
          </w:p>
        </w:tc>
        <w:tc>
          <w:tcPr>
            <w:tcW w:w="6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7754</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8632</w:t>
            </w:r>
          </w:p>
        </w:tc>
        <w:tc>
          <w:tcPr>
            <w:tcW w:w="67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208</w:t>
            </w:r>
          </w:p>
        </w:tc>
        <w:tc>
          <w:tcPr>
            <w:tcW w:w="6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bCs/>
                <w:i w:val="0"/>
                <w:color w:val="000000"/>
                <w:sz w:val="20"/>
                <w:szCs w:val="20"/>
                <w:highlight w:val="none"/>
                <w:u w:val="none"/>
                <w:lang w:val="en-US" w:eastAsia="zh-CN"/>
              </w:rPr>
            </w:pPr>
            <w:r>
              <w:rPr>
                <w:rFonts w:hint="eastAsia" w:ascii="宋体" w:hAnsi="宋体" w:eastAsia="宋体" w:cs="宋体"/>
                <w:b/>
                <w:bCs/>
                <w:i w:val="0"/>
                <w:color w:val="000000"/>
                <w:sz w:val="20"/>
                <w:szCs w:val="20"/>
                <w:highlight w:val="none"/>
                <w:u w:val="none"/>
                <w:lang w:val="en-US" w:eastAsia="zh-CN"/>
              </w:rPr>
              <w:t>8424</w:t>
            </w:r>
          </w:p>
        </w:tc>
      </w:tr>
    </w:tbl>
    <w:tbl>
      <w:tblPr>
        <w:tblStyle w:val="15"/>
        <w:tblpPr w:leftFromText="180" w:rightFromText="180" w:vertAnchor="text" w:horzAnchor="page" w:tblpX="600" w:tblpY="33"/>
        <w:tblOverlap w:val="never"/>
        <w:tblW w:w="1054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049"/>
        <w:gridCol w:w="2781"/>
        <w:gridCol w:w="985"/>
        <w:gridCol w:w="915"/>
        <w:gridCol w:w="1020"/>
        <w:gridCol w:w="870"/>
        <w:gridCol w:w="959"/>
        <w:gridCol w:w="870"/>
        <w:gridCol w:w="10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049" w:type="dxa"/>
            <w:noWrap w:val="0"/>
            <w:vAlign w:val="bottom"/>
          </w:tcPr>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0"/>
                <w:szCs w:val="20"/>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0"/>
                <w:szCs w:val="20"/>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0"/>
                <w:szCs w:val="20"/>
                <w:u w:val="none"/>
                <w:lang w:val="en-US" w:eastAsia="zh-CN" w:bidi="ar"/>
              </w:rPr>
            </w:pPr>
          </w:p>
          <w:p>
            <w:pPr>
              <w:pStyle w:val="2"/>
              <w:keepNext w:val="0"/>
              <w:keepLines w:val="0"/>
              <w:suppressLineNumbers w:val="0"/>
              <w:spacing w:before="0" w:beforeAutospacing="0" w:after="0" w:afterAutospacing="0"/>
              <w:ind w:left="0" w:right="0"/>
              <w:rPr>
                <w:rFonts w:hint="eastAsia" w:ascii="宋体" w:hAnsi="宋体" w:eastAsia="宋体" w:cs="宋体"/>
                <w:i w:val="0"/>
                <w:iCs w:val="0"/>
                <w:color w:val="000000"/>
                <w:kern w:val="0"/>
                <w:sz w:val="20"/>
                <w:szCs w:val="20"/>
                <w:u w:val="none"/>
                <w:lang w:val="en-US" w:eastAsia="zh-CN" w:bidi="ar"/>
              </w:rPr>
            </w:pPr>
          </w:p>
          <w:p>
            <w:pPr>
              <w:pStyle w:val="2"/>
              <w:keepNext w:val="0"/>
              <w:keepLines w:val="0"/>
              <w:suppressLineNumbers w:val="0"/>
              <w:spacing w:before="0" w:beforeAutospacing="0" w:after="0" w:afterAutospacing="0"/>
              <w:ind w:left="0" w:right="0"/>
              <w:rPr>
                <w:rFonts w:hint="eastAsia" w:ascii="宋体" w:hAnsi="宋体" w:eastAsia="宋体" w:cs="宋体"/>
                <w:i w:val="0"/>
                <w:iCs w:val="0"/>
                <w:color w:val="000000"/>
                <w:kern w:val="0"/>
                <w:sz w:val="20"/>
                <w:szCs w:val="20"/>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eastAsia" w:ascii="宋体" w:hAnsi="宋体" w:eastAsia="宋体" w:cs="宋体"/>
                <w:i w:val="0"/>
                <w:iCs w:val="0"/>
                <w:color w:val="000000"/>
                <w:kern w:val="0"/>
                <w:sz w:val="20"/>
                <w:szCs w:val="20"/>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表</w:t>
            </w:r>
            <w:r>
              <w:rPr>
                <w:rFonts w:hint="default" w:ascii="Times New Roman" w:hAnsi="Times New Roman" w:eastAsia="宋体" w:cs="Times New Roman"/>
                <w:i w:val="0"/>
                <w:iCs w:val="0"/>
                <w:color w:val="000000"/>
                <w:kern w:val="0"/>
                <w:sz w:val="20"/>
                <w:szCs w:val="20"/>
                <w:u w:val="none"/>
                <w:lang w:val="en-US" w:eastAsia="zh-CN" w:bidi="ar"/>
              </w:rPr>
              <w:t>15</w:t>
            </w:r>
          </w:p>
        </w:tc>
        <w:tc>
          <w:tcPr>
            <w:tcW w:w="2781"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985"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915"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1020"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870"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959"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870"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1095" w:type="dxa"/>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10544" w:type="dxa"/>
            <w:gridSpan w:val="9"/>
            <w:noWrap w:val="0"/>
            <w:vAlign w:val="center"/>
          </w:tcPr>
          <w:p>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b/>
                <w:bCs/>
                <w:i w:val="0"/>
                <w:iCs w:val="0"/>
                <w:color w:val="000000"/>
                <w:kern w:val="0"/>
                <w:sz w:val="32"/>
                <w:szCs w:val="32"/>
                <w:u w:val="none"/>
                <w:lang w:val="en-US" w:eastAsia="zh-CN" w:bidi="ar"/>
              </w:rPr>
            </w:pP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bCs/>
                <w:i w:val="0"/>
                <w:iCs w:val="0"/>
                <w:color w:val="000000"/>
                <w:kern w:val="0"/>
                <w:sz w:val="32"/>
                <w:szCs w:val="32"/>
                <w:u w:val="none"/>
                <w:lang w:val="en-US" w:eastAsia="zh-CN" w:bidi="ar"/>
              </w:rPr>
              <w:t>2025</w:t>
            </w:r>
            <w:r>
              <w:rPr>
                <w:rFonts w:hint="eastAsia" w:ascii="宋体" w:hAnsi="宋体" w:eastAsia="宋体" w:cs="宋体"/>
                <w:b/>
                <w:bCs/>
                <w:i w:val="0"/>
                <w:iCs w:val="0"/>
                <w:color w:val="000000"/>
                <w:kern w:val="0"/>
                <w:sz w:val="32"/>
                <w:szCs w:val="32"/>
                <w:u w:val="none"/>
                <w:lang w:val="en-US" w:eastAsia="zh-CN" w:bidi="ar"/>
              </w:rPr>
              <w:t>年吐鲁番市国有资本经营预算收入表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trPr>
        <w:tc>
          <w:tcPr>
            <w:tcW w:w="1049" w:type="dxa"/>
            <w:tcBorders>
              <w:bottom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2781" w:type="dxa"/>
            <w:tcBorders>
              <w:bottom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85" w:type="dxa"/>
            <w:tcBorders>
              <w:bottom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15" w:type="dxa"/>
            <w:tcBorders>
              <w:bottom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20" w:type="dxa"/>
            <w:tcBorders>
              <w:bottom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70" w:type="dxa"/>
            <w:tcBorders>
              <w:bottom w:val="single" w:color="auto" w:sz="4" w:space="0"/>
            </w:tcBorders>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959" w:type="dxa"/>
            <w:tcBorders>
              <w:bottom w:val="single" w:color="auto" w:sz="4" w:space="0"/>
            </w:tcBorders>
            <w:noWrap w:val="0"/>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color w:val="000000"/>
                <w:sz w:val="24"/>
                <w:szCs w:val="24"/>
                <w:highlight w:val="none"/>
                <w:u w:val="none"/>
              </w:rPr>
            </w:pPr>
          </w:p>
        </w:tc>
        <w:tc>
          <w:tcPr>
            <w:tcW w:w="1965" w:type="dxa"/>
            <w:gridSpan w:val="2"/>
            <w:tcBorders>
              <w:bottom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8" w:hRule="atLeast"/>
        </w:trPr>
        <w:tc>
          <w:tcPr>
            <w:tcW w:w="1049"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科目编码</w:t>
            </w:r>
          </w:p>
        </w:tc>
        <w:tc>
          <w:tcPr>
            <w:tcW w:w="278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科目名称／企业</w:t>
            </w:r>
          </w:p>
        </w:tc>
        <w:tc>
          <w:tcPr>
            <w:tcW w:w="2920"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2024</w:t>
            </w:r>
            <w:r>
              <w:rPr>
                <w:rFonts w:hint="eastAsia" w:ascii="宋体" w:hAnsi="宋体" w:eastAsia="宋体" w:cs="宋体"/>
                <w:b/>
                <w:bCs/>
                <w:i w:val="0"/>
                <w:iCs w:val="0"/>
                <w:color w:val="000000"/>
                <w:kern w:val="0"/>
                <w:sz w:val="20"/>
                <w:szCs w:val="20"/>
                <w:u w:val="none"/>
                <w:lang w:val="en-US" w:eastAsia="zh-CN" w:bidi="ar"/>
              </w:rPr>
              <w:t>年完成数</w:t>
            </w:r>
          </w:p>
        </w:tc>
        <w:tc>
          <w:tcPr>
            <w:tcW w:w="2699" w:type="dxa"/>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2025</w:t>
            </w:r>
            <w:r>
              <w:rPr>
                <w:rFonts w:hint="eastAsia" w:ascii="宋体" w:hAnsi="宋体" w:eastAsia="宋体" w:cs="宋体"/>
                <w:b/>
                <w:bCs/>
                <w:i w:val="0"/>
                <w:iCs w:val="0"/>
                <w:color w:val="000000"/>
                <w:kern w:val="0"/>
                <w:sz w:val="20"/>
                <w:szCs w:val="20"/>
                <w:u w:val="none"/>
                <w:lang w:val="en-US" w:eastAsia="zh-CN" w:bidi="ar"/>
              </w:rPr>
              <w:t>年预算数</w:t>
            </w:r>
          </w:p>
        </w:tc>
        <w:tc>
          <w:tcPr>
            <w:tcW w:w="10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预算数为上年完成数的%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1049"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278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小计</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magenta"/>
                <w:u w:val="none"/>
              </w:rPr>
            </w:pPr>
            <w:r>
              <w:rPr>
                <w:rFonts w:hint="eastAsia" w:ascii="宋体" w:hAnsi="宋体" w:eastAsia="宋体" w:cs="宋体"/>
                <w:b/>
                <w:bCs/>
                <w:i w:val="0"/>
                <w:iCs w:val="0"/>
                <w:color w:val="000000"/>
                <w:kern w:val="0"/>
                <w:sz w:val="20"/>
                <w:szCs w:val="20"/>
                <w:u w:val="none"/>
                <w:lang w:val="en-US" w:eastAsia="zh-CN" w:bidi="ar"/>
              </w:rPr>
              <w:t>吐鲁番市本级</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magenta"/>
                <w:u w:val="none"/>
              </w:rPr>
            </w:pPr>
            <w:r>
              <w:rPr>
                <w:rFonts w:hint="eastAsia" w:ascii="宋体" w:hAnsi="宋体" w:eastAsia="宋体" w:cs="宋体"/>
                <w:b/>
                <w:bCs/>
                <w:i w:val="0"/>
                <w:iCs w:val="0"/>
                <w:color w:val="000000"/>
                <w:kern w:val="0"/>
                <w:sz w:val="20"/>
                <w:szCs w:val="20"/>
                <w:u w:val="none"/>
                <w:lang w:val="en-US" w:eastAsia="zh-CN" w:bidi="ar"/>
              </w:rPr>
              <w:t>市本级及以下</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magenta"/>
                <w:u w:val="none"/>
              </w:rPr>
            </w:pPr>
            <w:r>
              <w:rPr>
                <w:rFonts w:hint="eastAsia" w:ascii="宋体" w:hAnsi="宋体" w:eastAsia="宋体" w:cs="宋体"/>
                <w:b/>
                <w:bCs/>
                <w:i w:val="0"/>
                <w:iCs w:val="0"/>
                <w:color w:val="000000"/>
                <w:kern w:val="0"/>
                <w:sz w:val="20"/>
                <w:szCs w:val="20"/>
                <w:u w:val="none"/>
                <w:lang w:val="en-US" w:eastAsia="zh-CN" w:bidi="ar"/>
              </w:rPr>
              <w:t>小计</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magenta"/>
                <w:u w:val="none"/>
              </w:rPr>
            </w:pPr>
            <w:r>
              <w:rPr>
                <w:rFonts w:hint="eastAsia" w:ascii="宋体" w:hAnsi="宋体" w:eastAsia="宋体" w:cs="宋体"/>
                <w:b/>
                <w:bCs/>
                <w:i w:val="0"/>
                <w:iCs w:val="0"/>
                <w:color w:val="000000"/>
                <w:kern w:val="0"/>
                <w:sz w:val="20"/>
                <w:szCs w:val="20"/>
                <w:u w:val="none"/>
                <w:lang w:val="en-US" w:eastAsia="zh-CN" w:bidi="ar"/>
              </w:rPr>
              <w:t>吐鲁番市本级</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magenta"/>
                <w:u w:val="none"/>
              </w:rPr>
            </w:pPr>
            <w:r>
              <w:rPr>
                <w:rFonts w:hint="eastAsia" w:ascii="宋体" w:hAnsi="宋体" w:eastAsia="宋体" w:cs="宋体"/>
                <w:b/>
                <w:bCs/>
                <w:i w:val="0"/>
                <w:iCs w:val="0"/>
                <w:color w:val="000000"/>
                <w:kern w:val="0"/>
                <w:sz w:val="20"/>
                <w:szCs w:val="20"/>
                <w:u w:val="none"/>
                <w:lang w:val="en-US" w:eastAsia="zh-CN" w:bidi="ar"/>
              </w:rPr>
              <w:t>市本级及以下</w:t>
            </w:r>
          </w:p>
        </w:tc>
        <w:tc>
          <w:tcPr>
            <w:tcW w:w="10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1030601</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一、利润收入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6071</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0</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6071</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6364</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208</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6156</w:t>
            </w: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104.83%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103060107</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  煤炭企业利润收入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6071</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6071</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6100</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6100</w:t>
            </w: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100.48%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103060116</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  投资服务企业利润收入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eastAsia" w:ascii="Times New Roman" w:hAnsi="Times New Roman" w:eastAsia="宋体" w:cs="Times New Roman"/>
                <w:i w:val="0"/>
                <w:color w:val="000000"/>
                <w:sz w:val="20"/>
                <w:szCs w:val="20"/>
                <w:highlight w:val="none"/>
                <w:u w:val="none"/>
                <w:lang w:val="en-US" w:eastAsia="zh-CN"/>
              </w:rPr>
            </w:pP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eastAsia" w:ascii="Times New Roman" w:hAnsi="Times New Roman" w:eastAsia="宋体" w:cs="Times New Roman"/>
                <w:i w:val="0"/>
                <w:color w:val="000000"/>
                <w:sz w:val="20"/>
                <w:szCs w:val="20"/>
                <w:highlight w:val="none"/>
                <w:u w:val="none"/>
                <w:lang w:val="en-US" w:eastAsia="zh-CN"/>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77</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77</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103060125</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  农林牧渔企业利润收入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eastAsia"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5</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eastAsia"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5</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iCs w:val="0"/>
                <w:color w:val="000000"/>
                <w:kern w:val="0"/>
                <w:sz w:val="20"/>
                <w:szCs w:val="20"/>
                <w:u w:val="none"/>
                <w:lang w:val="en-US" w:eastAsia="zh-CN" w:bidi="ar"/>
              </w:rPr>
              <w:t>103060198</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eastAsia" w:ascii="宋体" w:hAnsi="宋体" w:eastAsia="宋体" w:cs="宋体"/>
                <w:i w:val="0"/>
                <w:iCs w:val="0"/>
                <w:color w:val="000000"/>
                <w:kern w:val="0"/>
                <w:sz w:val="20"/>
                <w:szCs w:val="20"/>
                <w:u w:val="none"/>
                <w:lang w:val="en-US" w:eastAsia="zh-CN" w:bidi="ar"/>
              </w:rPr>
              <w:t xml:space="preserve">  其他国有资本经营预算企   业利润收入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eastAsia" w:ascii="Times New Roman" w:hAnsi="Times New Roman" w:eastAsia="宋体" w:cs="Times New Roman"/>
                <w:i w:val="0"/>
                <w:color w:val="000000"/>
                <w:sz w:val="20"/>
                <w:szCs w:val="20"/>
                <w:highlight w:val="none"/>
                <w:u w:val="none"/>
                <w:lang w:val="en-US" w:eastAsia="zh-CN"/>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182</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126</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56</w:t>
            </w: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1030602</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二、股息红利收入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36</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36</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103060203</w:t>
            </w:r>
          </w:p>
        </w:tc>
        <w:tc>
          <w:tcPr>
            <w:tcW w:w="2781"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  国有参股公司股利、股息  收入</w:t>
            </w:r>
          </w:p>
        </w:tc>
        <w:tc>
          <w:tcPr>
            <w:tcW w:w="98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36</w:t>
            </w:r>
          </w:p>
        </w:tc>
        <w:tc>
          <w:tcPr>
            <w:tcW w:w="915"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36</w:t>
            </w:r>
          </w:p>
        </w:tc>
        <w:tc>
          <w:tcPr>
            <w:tcW w:w="102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1030603</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三、产权转让收入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1030604</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四、清算收入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4</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4</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1"/>
                <w:szCs w:val="21"/>
                <w:u w:val="none"/>
                <w:lang w:val="en-US" w:eastAsia="zh-CN" w:bidi="ar"/>
              </w:rPr>
              <w:t>103060402</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firstLine="200" w:firstLineChars="10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国有独资企业清算收入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eastAsia"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4</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eastAsia"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4</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1030699</w:t>
            </w: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五、其他国有资本经营预算收入</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7" w:hRule="atLeast"/>
        </w:trPr>
        <w:tc>
          <w:tcPr>
            <w:tcW w:w="104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b/>
                <w:bCs/>
                <w:i w:val="0"/>
                <w:color w:val="000000"/>
                <w:sz w:val="21"/>
                <w:szCs w:val="21"/>
                <w:highlight w:val="none"/>
                <w:u w:val="none"/>
              </w:rPr>
            </w:pPr>
          </w:p>
        </w:tc>
        <w:tc>
          <w:tcPr>
            <w:tcW w:w="278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1"/>
                <w:szCs w:val="21"/>
                <w:highlight w:val="none"/>
                <w:u w:val="none"/>
              </w:rPr>
            </w:pPr>
            <w:r>
              <w:rPr>
                <w:rFonts w:hint="eastAsia" w:ascii="宋体" w:hAnsi="宋体" w:eastAsia="宋体" w:cs="宋体"/>
                <w:b/>
                <w:bCs/>
                <w:i w:val="0"/>
                <w:iCs w:val="0"/>
                <w:color w:val="000000"/>
                <w:kern w:val="0"/>
                <w:sz w:val="20"/>
                <w:szCs w:val="20"/>
                <w:u w:val="none"/>
                <w:lang w:val="en-US" w:eastAsia="zh-CN" w:bidi="ar"/>
              </w:rPr>
              <w:t>收入合计</w:t>
            </w:r>
          </w:p>
        </w:tc>
        <w:tc>
          <w:tcPr>
            <w:tcW w:w="98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6111</w:t>
            </w:r>
          </w:p>
        </w:tc>
        <w:tc>
          <w:tcPr>
            <w:tcW w:w="91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40</w:t>
            </w:r>
          </w:p>
        </w:tc>
        <w:tc>
          <w:tcPr>
            <w:tcW w:w="10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6071</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6364</w:t>
            </w:r>
          </w:p>
        </w:tc>
        <w:tc>
          <w:tcPr>
            <w:tcW w:w="959"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208</w:t>
            </w:r>
          </w:p>
        </w:tc>
        <w:tc>
          <w:tcPr>
            <w:tcW w:w="87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6156</w:t>
            </w:r>
          </w:p>
        </w:tc>
        <w:tc>
          <w:tcPr>
            <w:tcW w:w="10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1"/>
                <w:szCs w:val="21"/>
                <w:highlight w:val="none"/>
                <w:u w:val="none"/>
                <w:lang w:val="en-US" w:eastAsia="zh-CN"/>
              </w:rPr>
            </w:pPr>
            <w:r>
              <w:rPr>
                <w:rFonts w:hint="default" w:ascii="Times New Roman" w:hAnsi="Times New Roman" w:eastAsia="宋体" w:cs="Times New Roman"/>
                <w:b/>
                <w:bCs/>
                <w:i w:val="0"/>
                <w:iCs w:val="0"/>
                <w:color w:val="000000"/>
                <w:kern w:val="0"/>
                <w:sz w:val="20"/>
                <w:szCs w:val="20"/>
                <w:u w:val="none"/>
                <w:lang w:val="en-US" w:eastAsia="zh-CN" w:bidi="ar"/>
              </w:rPr>
              <w:t>104.14%</w:t>
            </w:r>
          </w:p>
        </w:tc>
      </w:tr>
    </w:tbl>
    <w:tbl>
      <w:tblPr>
        <w:tblStyle w:val="15"/>
        <w:tblpPr w:leftFromText="180" w:rightFromText="180" w:vertAnchor="text" w:horzAnchor="page" w:tblpX="680" w:tblpY="537"/>
        <w:tblOverlap w:val="never"/>
        <w:tblW w:w="555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907"/>
        <w:gridCol w:w="1187"/>
        <w:gridCol w:w="376"/>
        <w:gridCol w:w="165"/>
        <w:gridCol w:w="375"/>
        <w:gridCol w:w="375"/>
        <w:gridCol w:w="135"/>
        <w:gridCol w:w="360"/>
        <w:gridCol w:w="252"/>
        <w:gridCol w:w="198"/>
        <w:gridCol w:w="146"/>
        <w:gridCol w:w="304"/>
        <w:gridCol w:w="104"/>
        <w:gridCol w:w="315"/>
        <w:gridCol w:w="166"/>
        <w:gridCol w:w="262"/>
        <w:gridCol w:w="421"/>
        <w:gridCol w:w="277"/>
        <w:gridCol w:w="212"/>
        <w:gridCol w:w="178"/>
        <w:gridCol w:w="405"/>
        <w:gridCol w:w="15"/>
        <w:gridCol w:w="420"/>
        <w:gridCol w:w="3"/>
        <w:gridCol w:w="461"/>
        <w:gridCol w:w="388"/>
        <w:gridCol w:w="593"/>
        <w:gridCol w:w="419"/>
        <w:gridCol w:w="50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9" w:hRule="atLeast"/>
        </w:trPr>
        <w:tc>
          <w:tcPr>
            <w:tcW w:w="456" w:type="pct"/>
            <w:noWrap w:val="0"/>
            <w:vAlign w:val="bottom"/>
          </w:tcPr>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bookmarkStart w:id="4" w:name="OLE_LINK6" w:colFirst="0" w:colLast="18"/>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pStyle w:val="2"/>
              <w:keepNext w:val="0"/>
              <w:keepLines w:val="0"/>
              <w:suppressLineNumbers w:val="0"/>
              <w:spacing w:before="0" w:beforeAutospacing="0" w:after="0" w:afterAutospacing="0"/>
              <w:ind w:left="0" w:right="0"/>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表1</w:t>
            </w:r>
            <w:r>
              <w:rPr>
                <w:rFonts w:hint="default" w:ascii="Times New Roman" w:hAnsi="Times New Roman" w:cs="Times New Roman"/>
                <w:i w:val="0"/>
                <w:color w:val="000000"/>
                <w:kern w:val="0"/>
                <w:sz w:val="20"/>
                <w:szCs w:val="20"/>
                <w:highlight w:val="none"/>
                <w:u w:val="none"/>
                <w:lang w:eastAsia="zh-CN" w:bidi="ar"/>
              </w:rPr>
              <w:t>6</w:t>
            </w:r>
          </w:p>
        </w:tc>
        <w:tc>
          <w:tcPr>
            <w:tcW w:w="597"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89"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71"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88"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49"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26"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73"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05"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42"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344"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39"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96"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03"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19"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33"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95"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298"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466"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92" w:hRule="atLeast"/>
        </w:trPr>
        <w:tc>
          <w:tcPr>
            <w:tcW w:w="5000" w:type="pct"/>
            <w:gridSpan w:val="29"/>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eastAsia" w:cs="Times New Roman"/>
                <w:b/>
                <w:i w:val="0"/>
                <w:color w:val="000000"/>
                <w:kern w:val="0"/>
                <w:sz w:val="32"/>
                <w:szCs w:val="32"/>
                <w:highlight w:val="none"/>
                <w:u w:val="none"/>
                <w:lang w:val="en-US" w:eastAsia="zh-CN" w:bidi="ar"/>
              </w:rPr>
              <w:t xml:space="preserve"> </w:t>
            </w:r>
            <w:r>
              <w:rPr>
                <w:rFonts w:hint="eastAsia" w:ascii="宋体" w:hAnsi="宋体" w:eastAsia="宋体" w:cs="宋体"/>
                <w:b/>
                <w:i w:val="0"/>
                <w:color w:val="000000"/>
                <w:kern w:val="0"/>
                <w:sz w:val="32"/>
                <w:szCs w:val="32"/>
                <w:highlight w:val="none"/>
                <w:u w:val="none"/>
                <w:lang w:val="en-US" w:eastAsia="zh-CN" w:bidi="ar"/>
              </w:rPr>
              <w:t xml:space="preserve"> 2025年吐鲁番市国有资本经营预算支出表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5000" w:type="pct"/>
            <w:gridSpan w:val="29"/>
            <w:tcBorders>
              <w:bottom w:val="single" w:color="auto"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1"/>
                <w:szCs w:val="21"/>
                <w:highlight w:val="none"/>
                <w:u w:val="none"/>
                <w:lang w:val="en-US" w:eastAsia="zh-CN" w:bidi="ar"/>
              </w:rPr>
            </w:pPr>
            <w:r>
              <w:rPr>
                <w:rFonts w:hint="eastAsia" w:ascii="Times New Roman" w:hAnsi="Times New Roman" w:cs="Times New Roman"/>
                <w:i w:val="0"/>
                <w:color w:val="000000"/>
                <w:kern w:val="0"/>
                <w:sz w:val="21"/>
                <w:szCs w:val="21"/>
                <w:highlight w:val="none"/>
                <w:u w:val="none"/>
                <w:lang w:val="en-US" w:eastAsia="zh-CN" w:bidi="ar"/>
              </w:rPr>
              <w:t xml:space="preserve">      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4" w:hRule="atLeast"/>
        </w:trPr>
        <w:tc>
          <w:tcPr>
            <w:tcW w:w="456" w:type="pct"/>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sz w:val="20"/>
                <w:szCs w:val="20"/>
                <w:highlight w:val="none"/>
                <w:u w:val="none"/>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科目编码</w:t>
            </w:r>
          </w:p>
        </w:tc>
        <w:tc>
          <w:tcPr>
            <w:tcW w:w="597" w:type="pct"/>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sz w:val="20"/>
                <w:szCs w:val="20"/>
                <w:highlight w:val="none"/>
                <w:u w:val="none"/>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科目名称</w:t>
            </w:r>
          </w:p>
        </w:tc>
        <w:tc>
          <w:tcPr>
            <w:tcW w:w="1991" w:type="pct"/>
            <w:gridSpan w:val="15"/>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2024</w:t>
            </w: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年完成</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数</w:t>
            </w:r>
          </w:p>
        </w:tc>
        <w:tc>
          <w:tcPr>
            <w:tcW w:w="1953" w:type="pct"/>
            <w:gridSpan w:val="1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2025</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年预算数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18" w:hRule="atLeast"/>
        </w:trPr>
        <w:tc>
          <w:tcPr>
            <w:tcW w:w="456"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i w:val="0"/>
                <w:color w:val="000000" w:themeColor="text1"/>
                <w:sz w:val="20"/>
                <w:szCs w:val="20"/>
                <w:highlight w:val="none"/>
                <w:u w:val="none"/>
                <w14:textFill>
                  <w14:solidFill>
                    <w14:schemeClr w14:val="tx1"/>
                  </w14:solidFill>
                </w14:textFill>
              </w:rPr>
            </w:pPr>
          </w:p>
        </w:tc>
        <w:tc>
          <w:tcPr>
            <w:tcW w:w="597"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i w:val="0"/>
                <w:color w:val="000000" w:themeColor="text1"/>
                <w:sz w:val="20"/>
                <w:szCs w:val="20"/>
                <w:highlight w:val="none"/>
                <w:u w:val="none"/>
                <w14:textFill>
                  <w14:solidFill>
                    <w14:schemeClr w14:val="tx1"/>
                  </w14:solidFill>
                </w14:textFill>
              </w:rPr>
            </w:pPr>
          </w:p>
        </w:tc>
        <w:tc>
          <w:tcPr>
            <w:tcW w:w="272" w:type="pct"/>
            <w:gridSpan w:val="2"/>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合计</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sz w:val="20"/>
                <w:szCs w:val="20"/>
                <w:highlight w:val="none"/>
                <w:u w:val="none"/>
                <w14:textFill>
                  <w14:solidFill>
                    <w14:schemeClr w14:val="tx1"/>
                  </w14:solidFill>
                </w14:textFill>
              </w:rPr>
            </w:pPr>
          </w:p>
        </w:tc>
        <w:tc>
          <w:tcPr>
            <w:tcW w:w="445"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小计</w:t>
            </w:r>
          </w:p>
        </w:tc>
        <w:tc>
          <w:tcPr>
            <w:tcW w:w="407"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资本性支出</w:t>
            </w:r>
          </w:p>
        </w:tc>
        <w:tc>
          <w:tcPr>
            <w:tcW w:w="437" w:type="pct"/>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费用性支出</w:t>
            </w:r>
          </w:p>
        </w:tc>
        <w:tc>
          <w:tcPr>
            <w:tcW w:w="427"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其他支出</w:t>
            </w:r>
          </w:p>
        </w:tc>
        <w:tc>
          <w:tcPr>
            <w:tcW w:w="547" w:type="pct"/>
            <w:gridSpan w:val="5"/>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小计</w:t>
            </w:r>
          </w:p>
        </w:tc>
        <w:tc>
          <w:tcPr>
            <w:tcW w:w="445"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资本性支出</w:t>
            </w:r>
          </w:p>
        </w:tc>
        <w:tc>
          <w:tcPr>
            <w:tcW w:w="494"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费用性支出</w:t>
            </w:r>
          </w:p>
        </w:tc>
        <w:tc>
          <w:tcPr>
            <w:tcW w:w="46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其他支出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158" w:hRule="atLeast"/>
        </w:trPr>
        <w:tc>
          <w:tcPr>
            <w:tcW w:w="456"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p>
        </w:tc>
        <w:tc>
          <w:tcPr>
            <w:tcW w:w="597" w:type="pct"/>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p>
        </w:tc>
        <w:tc>
          <w:tcPr>
            <w:tcW w:w="272" w:type="pct"/>
            <w:gridSpan w:val="2"/>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p>
        </w:tc>
        <w:tc>
          <w:tcPr>
            <w:tcW w:w="18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5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181"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2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22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11"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215"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1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24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301"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213"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3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19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9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c>
          <w:tcPr>
            <w:tcW w:w="211"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吐鲁番市本级</w:t>
            </w:r>
          </w:p>
        </w:tc>
        <w:tc>
          <w:tcPr>
            <w:tcW w:w="25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b/>
                <w:bCs/>
                <w:i w:val="0"/>
                <w:color w:val="000000" w:themeColor="text1"/>
                <w:kern w:val="0"/>
                <w:sz w:val="20"/>
                <w:szCs w:val="20"/>
                <w:highlight w:val="none"/>
                <w:u w:val="none"/>
                <w:lang w:val="en-US" w:eastAsia="zh-CN" w:bidi="ar"/>
                <w14:textFill>
                  <w14:solidFill>
                    <w14:schemeClr w14:val="tx1"/>
                  </w14:solidFill>
                </w14:textFill>
              </w:rPr>
              <w:t>市本</w:t>
            </w: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级及</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pPr>
            <w:r>
              <w:rPr>
                <w:rFonts w:hint="default" w:ascii="Times New Roman" w:hAnsi="Times New Roman" w:eastAsia="宋体" w:cs="Times New Roman"/>
                <w:b/>
                <w:bCs/>
                <w:i w:val="0"/>
                <w:color w:val="000000" w:themeColor="text1"/>
                <w:kern w:val="0"/>
                <w:sz w:val="20"/>
                <w:szCs w:val="20"/>
                <w:highlight w:val="none"/>
                <w:u w:val="none"/>
                <w:lang w:val="en-US" w:eastAsia="zh-CN" w:bidi="ar"/>
                <w14:textFill>
                  <w14:solidFill>
                    <w14:schemeClr w14:val="tx1"/>
                  </w14:solidFill>
                </w14:textFill>
              </w:rPr>
              <w:t>以下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3"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223</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国有资本经营支出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1518</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1518</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1304</w:t>
            </w: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214</w:t>
            </w: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146</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cente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pPr>
          </w:p>
          <w:p>
            <w:pPr>
              <w:keepNext w:val="0"/>
              <w:keepLines w:val="0"/>
              <w:suppressLineNumbers w:val="0"/>
              <w:spacing w:before="0" w:beforeAutospacing="0" w:after="0" w:afterAutospacing="0"/>
              <w:ind w:left="0" w:right="0"/>
              <w:jc w:val="cente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pPr>
          </w:p>
          <w:p>
            <w:pPr>
              <w:pStyle w:val="8"/>
              <w:keepNext w:val="0"/>
              <w:keepLines w:val="0"/>
              <w:suppressLineNumbers w:val="0"/>
              <w:spacing w:before="0" w:beforeAutospacing="0" w:after="0" w:afterAutospacing="0"/>
              <w:ind w:left="0" w:right="0"/>
              <w:jc w:val="center"/>
              <w:rPr>
                <w:rFonts w:hint="default"/>
                <w:b/>
                <w:bCs/>
                <w:color w:val="000000" w:themeColor="text1"/>
                <w:lang w:val="en-US" w:eastAsia="zh-CN"/>
                <w14:textFill>
                  <w14:solidFill>
                    <w14:schemeClr w14:val="tx1"/>
                  </w14:solidFill>
                </w14:textFill>
              </w:rPr>
            </w:pPr>
            <w:r>
              <w:rPr>
                <w:rFonts w:hint="eastAsia"/>
                <w:b/>
                <w:bCs/>
                <w:color w:val="000000" w:themeColor="text1"/>
                <w:sz w:val="18"/>
                <w:szCs w:val="18"/>
                <w:lang w:val="en-US" w:eastAsia="zh-CN"/>
                <w14:textFill>
                  <w14:solidFill>
                    <w14:schemeClr w14:val="tx1"/>
                  </w14:solidFill>
                </w14:textFill>
              </w:rPr>
              <w:t>6593</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59</w:t>
            </w: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4831</w:t>
            </w: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87</w:t>
            </w: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1762</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60"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22301</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解决历史遗</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留问题及改</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革成本支出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32</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32</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32</w:t>
            </w: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22</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themeColor="text1"/>
                <w:kern w:val="2"/>
                <w:sz w:val="20"/>
                <w:szCs w:val="20"/>
                <w:highlight w:val="none"/>
                <w:u w:val="none"/>
                <w:lang w:val="en-US" w:eastAsia="zh-CN" w:bidi="ar-SA"/>
                <w14:textFill>
                  <w14:solidFill>
                    <w14:schemeClr w14:val="tx1"/>
                  </w14:solidFill>
                </w14:textFill>
              </w:rPr>
            </w:pPr>
            <w:r>
              <w:rPr>
                <w:rFonts w:hint="eastAsia" w:cs="Times New Roman"/>
                <w:b/>
                <w:bCs/>
                <w:i w:val="0"/>
                <w:color w:val="000000" w:themeColor="text1"/>
                <w:kern w:val="2"/>
                <w:sz w:val="20"/>
                <w:szCs w:val="20"/>
                <w:highlight w:val="none"/>
                <w:u w:val="none"/>
                <w:lang w:val="en-US" w:eastAsia="zh-CN" w:bidi="ar-SA"/>
                <w14:textFill>
                  <w14:solidFill>
                    <w14:schemeClr w14:val="tx1"/>
                  </w14:solidFill>
                </w14:textFill>
              </w:rPr>
              <w:t>332</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themeColor="text1"/>
                <w:kern w:val="2"/>
                <w:sz w:val="20"/>
                <w:szCs w:val="20"/>
                <w:highlight w:val="none"/>
                <w:u w:val="none"/>
                <w:lang w:val="en-US" w:eastAsia="zh-CN" w:bidi="ar-SA"/>
                <w14:textFill>
                  <w14:solidFill>
                    <w14:schemeClr w14:val="tx1"/>
                  </w14:solidFill>
                </w14:textFill>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22</w:t>
            </w: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332</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47"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223010</w:t>
            </w:r>
            <w:r>
              <w:rPr>
                <w:rFonts w:hint="eastAsia" w:cs="Times New Roman"/>
                <w:i w:val="0"/>
                <w:color w:val="000000"/>
                <w:kern w:val="0"/>
                <w:sz w:val="20"/>
                <w:szCs w:val="20"/>
                <w:highlight w:val="none"/>
                <w:u w:val="none"/>
                <w:lang w:val="en-US" w:eastAsia="zh-CN" w:bidi="ar"/>
              </w:rPr>
              <w:t>5</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国有企业退休人员社会化管理补助支出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32</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32</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32</w:t>
            </w: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48</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48</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47"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bookmarkStart w:id="5" w:name="OLE_LINK7" w:colFirst="0" w:colLast="6"/>
            <w:r>
              <w:rPr>
                <w:rFonts w:hint="default" w:ascii="Times New Roman" w:hAnsi="Times New Roman" w:eastAsia="宋体" w:cs="Times New Roman"/>
                <w:i w:val="0"/>
                <w:color w:val="000000"/>
                <w:kern w:val="0"/>
                <w:sz w:val="20"/>
                <w:szCs w:val="20"/>
                <w:highlight w:val="none"/>
                <w:u w:val="none"/>
                <w:lang w:val="en-US" w:eastAsia="zh-CN" w:bidi="ar"/>
              </w:rPr>
              <w:t>2230107</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国有企业改革成本支出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FF0000"/>
                <w:kern w:val="2"/>
                <w:sz w:val="20"/>
                <w:szCs w:val="20"/>
                <w:highlight w:val="none"/>
                <w:u w:val="none"/>
                <w:lang w:val="en-US" w:eastAsia="zh-CN" w:bidi="ar-SA"/>
              </w:rPr>
            </w:pP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FF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FF0000"/>
                <w:kern w:val="2"/>
                <w:sz w:val="20"/>
                <w:szCs w:val="20"/>
                <w:highlight w:val="none"/>
                <w:u w:val="none"/>
                <w:lang w:val="en-US" w:eastAsia="zh-CN" w:bidi="ar-SA"/>
              </w:rPr>
            </w:pP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FF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FF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22</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284</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22</w:t>
            </w: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284</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r>
      <w:bookmarkEnd w:id="4"/>
      <w:bookmarkEnd w:id="5"/>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5"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22302</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lang w:val="en-US" w:eastAsia="zh-CN"/>
              </w:rPr>
            </w:pPr>
            <w:r>
              <w:rPr>
                <w:rFonts w:hint="default" w:ascii="Times New Roman" w:hAnsi="Times New Roman" w:eastAsia="宋体" w:cs="Times New Roman"/>
                <w:b/>
                <w:bCs/>
                <w:i w:val="0"/>
                <w:color w:val="000000"/>
                <w:sz w:val="20"/>
                <w:szCs w:val="20"/>
                <w:highlight w:val="none"/>
                <w:u w:val="none"/>
                <w:lang w:val="en-US" w:eastAsia="zh-CN"/>
              </w:rPr>
              <w:t>国有企业资</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lang w:val="en-US" w:eastAsia="zh-CN"/>
              </w:rPr>
            </w:pPr>
            <w:r>
              <w:rPr>
                <w:rFonts w:hint="default" w:ascii="Times New Roman" w:hAnsi="Times New Roman" w:eastAsia="宋体" w:cs="Times New Roman"/>
                <w:b/>
                <w:bCs/>
                <w:i w:val="0"/>
                <w:color w:val="000000"/>
                <w:sz w:val="20"/>
                <w:szCs w:val="20"/>
                <w:highlight w:val="none"/>
                <w:u w:val="none"/>
                <w:lang w:val="en-US" w:eastAsia="zh-CN"/>
              </w:rPr>
              <w:t>本金注入</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1304</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1304</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1304</w:t>
            </w: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59</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4831</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59</w:t>
            </w: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4831</w:t>
            </w: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8"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lang w:val="en-US"/>
              </w:rPr>
            </w:pPr>
            <w:r>
              <w:rPr>
                <w:rFonts w:hint="eastAsia" w:cs="Times New Roman"/>
                <w:i w:val="0"/>
                <w:color w:val="000000"/>
                <w:kern w:val="0"/>
                <w:sz w:val="20"/>
                <w:szCs w:val="20"/>
                <w:highlight w:val="none"/>
                <w:u w:val="none"/>
                <w:lang w:val="en-US" w:eastAsia="zh-CN" w:bidi="ar"/>
              </w:rPr>
              <w:t>2230299</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lang w:val="en-US" w:eastAsia="zh-CN"/>
              </w:rPr>
            </w:pPr>
            <w:r>
              <w:rPr>
                <w:rFonts w:hint="default" w:ascii="Times New Roman" w:hAnsi="Times New Roman" w:eastAsia="宋体" w:cs="Times New Roman"/>
                <w:i w:val="0"/>
                <w:color w:val="000000"/>
                <w:sz w:val="20"/>
                <w:szCs w:val="20"/>
                <w:highlight w:val="none"/>
                <w:u w:val="none"/>
                <w:lang w:val="en-US" w:eastAsia="zh-CN"/>
              </w:rPr>
              <w:t>其他国有企业资本金注入</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1304</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1304</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1304</w:t>
            </w: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59</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4831</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59</w:t>
            </w: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4831</w:t>
            </w: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7"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22303</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lang w:val="en-US" w:eastAsia="zh-CN"/>
              </w:rPr>
            </w:pPr>
            <w:r>
              <w:rPr>
                <w:rFonts w:hint="default" w:ascii="Times New Roman" w:hAnsi="Times New Roman" w:eastAsia="宋体" w:cs="Times New Roman"/>
                <w:b/>
                <w:bCs/>
                <w:i w:val="0"/>
                <w:color w:val="000000"/>
                <w:sz w:val="20"/>
                <w:szCs w:val="20"/>
                <w:highlight w:val="none"/>
                <w:u w:val="none"/>
                <w:lang w:val="en-US" w:eastAsia="zh-CN"/>
              </w:rPr>
              <w:t>国有企业政</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lang w:val="en-US" w:eastAsia="zh-CN"/>
              </w:rPr>
            </w:pPr>
            <w:r>
              <w:rPr>
                <w:rFonts w:hint="default" w:ascii="Times New Roman" w:hAnsi="Times New Roman" w:eastAsia="宋体" w:cs="Times New Roman"/>
                <w:b/>
                <w:bCs/>
                <w:i w:val="0"/>
                <w:color w:val="000000"/>
                <w:sz w:val="20"/>
                <w:szCs w:val="20"/>
                <w:highlight w:val="none"/>
                <w:u w:val="none"/>
                <w:lang w:val="en-US" w:eastAsia="zh-CN"/>
              </w:rPr>
              <w:t>策性补贴</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182</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182</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182</w:t>
            </w: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300</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300</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8"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color w:val="000000"/>
                <w:kern w:val="0"/>
                <w:sz w:val="20"/>
                <w:szCs w:val="20"/>
                <w:highlight w:val="none"/>
                <w:u w:val="none"/>
                <w:lang w:val="en-US" w:eastAsia="zh-CN" w:bidi="ar"/>
              </w:rPr>
            </w:pPr>
            <w:r>
              <w:rPr>
                <w:rFonts w:hint="eastAsia" w:ascii="Times New Roman" w:hAnsi="Times New Roman" w:eastAsia="宋体" w:cs="Times New Roman"/>
                <w:i w:val="0"/>
                <w:color w:val="000000"/>
                <w:kern w:val="0"/>
                <w:sz w:val="20"/>
                <w:szCs w:val="20"/>
                <w:highlight w:val="none"/>
                <w:u w:val="none"/>
                <w:lang w:val="en-US" w:eastAsia="zh-CN" w:bidi="ar"/>
              </w:rPr>
              <w:t>2</w:t>
            </w:r>
            <w:r>
              <w:rPr>
                <w:rFonts w:hint="eastAsia" w:cs="Times New Roman"/>
                <w:i w:val="0"/>
                <w:color w:val="000000"/>
                <w:kern w:val="0"/>
                <w:sz w:val="20"/>
                <w:szCs w:val="20"/>
                <w:highlight w:val="none"/>
                <w:u w:val="none"/>
                <w:lang w:val="en-US" w:eastAsia="zh-CN" w:bidi="ar"/>
              </w:rPr>
              <w:t>2</w:t>
            </w:r>
            <w:r>
              <w:rPr>
                <w:rFonts w:hint="eastAsia" w:ascii="Times New Roman" w:hAnsi="Times New Roman" w:eastAsia="宋体" w:cs="Times New Roman"/>
                <w:i w:val="0"/>
                <w:color w:val="000000"/>
                <w:kern w:val="0"/>
                <w:sz w:val="20"/>
                <w:szCs w:val="20"/>
                <w:highlight w:val="none"/>
                <w:u w:val="none"/>
                <w:lang w:val="en-US" w:eastAsia="zh-CN" w:bidi="ar"/>
              </w:rPr>
              <w:t>30301</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color w:val="000000"/>
                <w:kern w:val="0"/>
                <w:sz w:val="20"/>
                <w:szCs w:val="20"/>
                <w:highlight w:val="none"/>
                <w:u w:val="none"/>
                <w:lang w:val="en-US" w:eastAsia="zh-CN" w:bidi="ar"/>
              </w:rPr>
            </w:pPr>
            <w:r>
              <w:rPr>
                <w:rFonts w:hint="eastAsia" w:ascii="Times New Roman" w:hAnsi="Times New Roman" w:eastAsia="宋体" w:cs="Times New Roman"/>
                <w:i w:val="0"/>
                <w:color w:val="000000"/>
                <w:kern w:val="0"/>
                <w:sz w:val="20"/>
                <w:szCs w:val="20"/>
                <w:highlight w:val="none"/>
                <w:u w:val="none"/>
                <w:lang w:val="en-US" w:eastAsia="zh-CN" w:bidi="ar"/>
              </w:rPr>
              <w:t>国有企业</w:t>
            </w:r>
            <w:r>
              <w:rPr>
                <w:rFonts w:hint="eastAsia" w:ascii="Times New Roman" w:hAnsi="Times New Roman" w:cs="Times New Roman"/>
                <w:i w:val="0"/>
                <w:color w:val="000000"/>
                <w:kern w:val="0"/>
                <w:sz w:val="20"/>
                <w:szCs w:val="20"/>
                <w:highlight w:val="none"/>
                <w:u w:val="none"/>
                <w:lang w:val="en-US" w:eastAsia="zh-CN" w:bidi="ar"/>
              </w:rPr>
              <w:t>公益性</w:t>
            </w:r>
            <w:r>
              <w:rPr>
                <w:rFonts w:hint="eastAsia" w:ascii="Times New Roman" w:hAnsi="Times New Roman" w:eastAsia="宋体" w:cs="Times New Roman"/>
                <w:i w:val="0"/>
                <w:color w:val="000000"/>
                <w:kern w:val="0"/>
                <w:sz w:val="20"/>
                <w:szCs w:val="20"/>
                <w:highlight w:val="none"/>
                <w:u w:val="none"/>
                <w:lang w:val="en-US" w:eastAsia="zh-CN" w:bidi="ar"/>
              </w:rPr>
              <w:t>补贴</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eastAsia" w:ascii="Times New Roman" w:hAnsi="Times New Roman" w:cs="Times New Roman"/>
                <w:i w:val="0"/>
                <w:color w:val="000000"/>
                <w:kern w:val="0"/>
                <w:sz w:val="20"/>
                <w:szCs w:val="20"/>
                <w:highlight w:val="none"/>
                <w:u w:val="none"/>
                <w:lang w:val="en-US" w:eastAsia="zh-CN" w:bidi="ar"/>
              </w:rPr>
              <w:t>182</w:t>
            </w: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182</w:t>
            </w: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182</w:t>
            </w: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300</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cs="Times New Roman"/>
                <w:i w:val="0"/>
                <w:color w:val="000000"/>
                <w:kern w:val="2"/>
                <w:sz w:val="20"/>
                <w:szCs w:val="20"/>
                <w:highlight w:val="none"/>
                <w:u w:val="none"/>
                <w:lang w:val="en-US" w:eastAsia="zh-CN" w:bidi="ar-SA"/>
              </w:rPr>
              <w:t>300</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3"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22399</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其他国有资本经营预算支出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eastAsia" w:ascii="Times New Roman" w:hAnsi="Times New Roman" w:cs="Times New Roman"/>
                <w:b/>
                <w:bCs/>
                <w:i w:val="0"/>
                <w:color w:val="000000"/>
                <w:kern w:val="0"/>
                <w:sz w:val="20"/>
                <w:szCs w:val="20"/>
                <w:highlight w:val="none"/>
                <w:u w:val="none"/>
                <w:lang w:val="en-US" w:eastAsia="zh-CN" w:bidi="ar"/>
              </w:rPr>
            </w:pP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kern w:val="2"/>
                <w:sz w:val="20"/>
                <w:szCs w:val="20"/>
                <w:highlight w:val="none"/>
                <w:u w:val="none"/>
                <w:lang w:val="en-US" w:eastAsia="zh-CN" w:bidi="ar-SA"/>
              </w:rPr>
            </w:pP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65</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1130</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65</w:t>
            </w: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cs="Times New Roman"/>
                <w:b/>
                <w:bCs/>
                <w:i w:val="0"/>
                <w:color w:val="000000"/>
                <w:kern w:val="2"/>
                <w:sz w:val="20"/>
                <w:szCs w:val="20"/>
                <w:highlight w:val="none"/>
                <w:u w:val="none"/>
                <w:lang w:val="en-US" w:eastAsia="zh-CN" w:bidi="ar-SA"/>
              </w:rPr>
            </w:pPr>
            <w:r>
              <w:rPr>
                <w:rFonts w:hint="eastAsia" w:cs="Times New Roman"/>
                <w:b/>
                <w:bCs/>
                <w:i w:val="0"/>
                <w:color w:val="000000"/>
                <w:kern w:val="2"/>
                <w:sz w:val="20"/>
                <w:szCs w:val="20"/>
                <w:highlight w:val="none"/>
                <w:u w:val="none"/>
                <w:lang w:val="en-US" w:eastAsia="zh-CN" w:bidi="ar-SA"/>
              </w:rPr>
              <w:t>1130</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kern w:val="2"/>
                <w:sz w:val="20"/>
                <w:szCs w:val="20"/>
                <w:highlight w:val="none"/>
                <w:u w:val="none"/>
                <w:lang w:val="en-US" w:eastAsia="zh-CN" w:bidi="ar-S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2"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color w:val="000000"/>
                <w:kern w:val="0"/>
                <w:sz w:val="20"/>
                <w:szCs w:val="20"/>
                <w:highlight w:val="none"/>
                <w:u w:val="none"/>
                <w:lang w:val="en-US" w:eastAsia="zh-CN" w:bidi="ar"/>
              </w:rPr>
            </w:pPr>
            <w:r>
              <w:rPr>
                <w:rFonts w:hint="eastAsia" w:ascii="Times New Roman" w:hAnsi="Times New Roman" w:eastAsia="宋体" w:cs="Times New Roman"/>
                <w:i w:val="0"/>
                <w:color w:val="000000"/>
                <w:kern w:val="0"/>
                <w:sz w:val="20"/>
                <w:szCs w:val="20"/>
                <w:highlight w:val="none"/>
                <w:u w:val="none"/>
                <w:lang w:val="en-US" w:eastAsia="zh-CN" w:bidi="ar"/>
              </w:rPr>
              <w:t>2239999</w:t>
            </w: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i w:val="0"/>
                <w:color w:val="000000"/>
                <w:kern w:val="0"/>
                <w:sz w:val="20"/>
                <w:szCs w:val="20"/>
                <w:highlight w:val="none"/>
                <w:u w:val="none"/>
                <w:lang w:val="en-US" w:eastAsia="zh-CN" w:bidi="ar"/>
              </w:rPr>
            </w:pPr>
            <w:r>
              <w:rPr>
                <w:rFonts w:hint="eastAsia" w:ascii="Times New Roman" w:hAnsi="Times New Roman" w:eastAsia="宋体" w:cs="Times New Roman"/>
                <w:i w:val="0"/>
                <w:color w:val="000000"/>
                <w:kern w:val="0"/>
                <w:sz w:val="20"/>
                <w:szCs w:val="20"/>
                <w:highlight w:val="none"/>
                <w:u w:val="none"/>
                <w:lang w:val="en-US" w:eastAsia="zh-CN" w:bidi="ar"/>
              </w:rPr>
              <w:t>其他国有资本经营预算支出</w:t>
            </w:r>
          </w:p>
        </w:tc>
        <w:tc>
          <w:tcPr>
            <w:tcW w:w="272"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18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5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18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2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11"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15"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1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p>
        </w:tc>
        <w:tc>
          <w:tcPr>
            <w:tcW w:w="246"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r>
              <w:rPr>
                <w:rFonts w:hint="eastAsia" w:ascii="Times New Roman" w:hAnsi="Times New Roman" w:cs="Times New Roman"/>
                <w:i w:val="0"/>
                <w:color w:val="000000"/>
                <w:kern w:val="2"/>
                <w:sz w:val="20"/>
                <w:szCs w:val="20"/>
                <w:highlight w:val="none"/>
                <w:u w:val="none"/>
                <w:lang w:val="en-US" w:eastAsia="zh-CN" w:bidi="ar-SA"/>
              </w:rPr>
              <w:t>65</w:t>
            </w:r>
          </w:p>
        </w:tc>
        <w:tc>
          <w:tcPr>
            <w:tcW w:w="301" w:type="pct"/>
            <w:gridSpan w:val="3"/>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r>
              <w:rPr>
                <w:rFonts w:hint="eastAsia" w:ascii="Times New Roman" w:hAnsi="Times New Roman" w:cs="Times New Roman"/>
                <w:i w:val="0"/>
                <w:color w:val="000000"/>
                <w:kern w:val="2"/>
                <w:sz w:val="20"/>
                <w:szCs w:val="20"/>
                <w:highlight w:val="none"/>
                <w:u w:val="none"/>
                <w:lang w:val="en-US" w:eastAsia="zh-CN" w:bidi="ar-SA"/>
              </w:rPr>
              <w:t>1130</w:t>
            </w:r>
          </w:p>
        </w:tc>
        <w:tc>
          <w:tcPr>
            <w:tcW w:w="213" w:type="pct"/>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p>
        </w:tc>
        <w:tc>
          <w:tcPr>
            <w:tcW w:w="232"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p>
        </w:tc>
        <w:tc>
          <w:tcPr>
            <w:tcW w:w="19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r>
              <w:rPr>
                <w:rFonts w:hint="eastAsia" w:ascii="Times New Roman" w:hAnsi="Times New Roman" w:cs="Times New Roman"/>
                <w:i w:val="0"/>
                <w:color w:val="000000"/>
                <w:kern w:val="2"/>
                <w:sz w:val="20"/>
                <w:szCs w:val="20"/>
                <w:highlight w:val="none"/>
                <w:u w:val="none"/>
                <w:lang w:val="en-US" w:eastAsia="zh-CN" w:bidi="ar-SA"/>
              </w:rPr>
              <w:t>65</w:t>
            </w:r>
          </w:p>
        </w:tc>
        <w:tc>
          <w:tcPr>
            <w:tcW w:w="298" w:type="pct"/>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cs="Times New Roman"/>
                <w:i w:val="0"/>
                <w:color w:val="000000"/>
                <w:kern w:val="2"/>
                <w:sz w:val="20"/>
                <w:szCs w:val="20"/>
                <w:highlight w:val="none"/>
                <w:u w:val="none"/>
                <w:lang w:val="en-US" w:eastAsia="zh-CN" w:bidi="ar-SA"/>
              </w:rPr>
            </w:pPr>
            <w:r>
              <w:rPr>
                <w:rFonts w:hint="eastAsia" w:ascii="Times New Roman" w:hAnsi="Times New Roman" w:cs="Times New Roman"/>
                <w:i w:val="0"/>
                <w:color w:val="000000"/>
                <w:kern w:val="2"/>
                <w:sz w:val="20"/>
                <w:szCs w:val="20"/>
                <w:highlight w:val="none"/>
                <w:u w:val="none"/>
                <w:lang w:val="en-US" w:eastAsia="zh-CN" w:bidi="ar-SA"/>
              </w:rPr>
              <w:t>1130</w:t>
            </w:r>
          </w:p>
        </w:tc>
        <w:tc>
          <w:tcPr>
            <w:tcW w:w="211"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255" w:type="pct"/>
            <w:tcBorders>
              <w:top w:val="single" w:color="auto" w:sz="4" w:space="0"/>
              <w:left w:val="single" w:color="auto" w:sz="4" w:space="0"/>
              <w:bottom w:val="single" w:color="auto" w:sz="4" w:space="0"/>
              <w:right w:val="single" w:color="auto" w:sz="4" w:space="0"/>
            </w:tcBorders>
            <w:noWrap w:val="0"/>
            <w:vAlign w:val="bottom"/>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0" w:hRule="atLeast"/>
        </w:trPr>
        <w:tc>
          <w:tcPr>
            <w:tcW w:w="456"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c>
          <w:tcPr>
            <w:tcW w:w="597"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支出合计</w:t>
            </w:r>
          </w:p>
        </w:tc>
        <w:tc>
          <w:tcPr>
            <w:tcW w:w="272" w:type="pct"/>
            <w:gridSpan w:val="2"/>
            <w:tcBorders>
              <w:top w:val="single" w:color="auto" w:sz="4" w:space="0"/>
              <w:left w:val="single" w:color="auto" w:sz="4" w:space="0"/>
              <w:bottom w:val="single" w:color="auto" w:sz="4" w:space="0"/>
              <w:right w:val="single" w:color="auto" w:sz="4" w:space="0"/>
            </w:tcBorders>
            <w:noWrap w:val="0"/>
            <w:vAlign w:val="center"/>
          </w:tcPr>
          <w:p>
            <w:pPr>
              <w:pStyle w:val="8"/>
              <w:keepNext w:val="0"/>
              <w:keepLines w:val="0"/>
              <w:suppressLineNumbers w:val="0"/>
              <w:spacing w:before="0" w:beforeAutospacing="0" w:after="0" w:afterAutospacing="0"/>
              <w:ind w:left="0" w:right="0"/>
              <w:jc w:val="center"/>
              <w:rPr>
                <w:rFonts w:hint="eastAsia" w:ascii="宋体" w:hAnsi="宋体" w:eastAsia="宋体" w:cs="宋体"/>
                <w:sz w:val="18"/>
                <w:szCs w:val="18"/>
                <w:lang w:val="en-US" w:eastAsia="zh-CN"/>
              </w:rPr>
            </w:pPr>
            <w:r>
              <w:rPr>
                <w:rFonts w:hint="eastAsia" w:ascii="宋体" w:hAnsi="宋体" w:eastAsia="宋体" w:cs="宋体"/>
                <w:b/>
                <w:bCs/>
                <w:sz w:val="18"/>
                <w:szCs w:val="18"/>
                <w:lang w:val="en-US" w:eastAsia="zh-CN"/>
              </w:rPr>
              <w:t>1518</w:t>
            </w:r>
          </w:p>
        </w:tc>
        <w:tc>
          <w:tcPr>
            <w:tcW w:w="18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5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1518</w:t>
            </w:r>
          </w:p>
        </w:tc>
        <w:tc>
          <w:tcPr>
            <w:tcW w:w="181"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2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1304</w:t>
            </w:r>
          </w:p>
        </w:tc>
        <w:tc>
          <w:tcPr>
            <w:tcW w:w="22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11"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214</w:t>
            </w:r>
          </w:p>
        </w:tc>
        <w:tc>
          <w:tcPr>
            <w:tcW w:w="215"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1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46"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146</w:t>
            </w:r>
          </w:p>
        </w:tc>
        <w:tc>
          <w:tcPr>
            <w:tcW w:w="301" w:type="pct"/>
            <w:gridSpan w:val="3"/>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6593</w:t>
            </w:r>
          </w:p>
        </w:tc>
        <w:tc>
          <w:tcPr>
            <w:tcW w:w="213" w:type="pct"/>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i w:val="0"/>
                <w:color w:val="000000"/>
                <w:kern w:val="0"/>
                <w:sz w:val="18"/>
                <w:szCs w:val="18"/>
                <w:highlight w:val="none"/>
                <w:u w:val="none"/>
                <w:lang w:val="en-US" w:eastAsia="zh-CN" w:bidi="ar"/>
              </w:rPr>
            </w:pPr>
            <w:r>
              <w:rPr>
                <w:rFonts w:hint="eastAsia" w:ascii="宋体" w:hAnsi="宋体" w:cs="宋体"/>
                <w:b/>
                <w:bCs/>
                <w:i w:val="0"/>
                <w:color w:val="000000"/>
                <w:kern w:val="0"/>
                <w:sz w:val="18"/>
                <w:szCs w:val="18"/>
                <w:highlight w:val="none"/>
                <w:u w:val="none"/>
                <w:lang w:val="en-US" w:eastAsia="zh-CN" w:bidi="ar"/>
              </w:rPr>
              <w:t>59</w:t>
            </w:r>
          </w:p>
        </w:tc>
        <w:tc>
          <w:tcPr>
            <w:tcW w:w="232"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4831</w:t>
            </w:r>
          </w:p>
        </w:tc>
        <w:tc>
          <w:tcPr>
            <w:tcW w:w="19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87</w:t>
            </w:r>
          </w:p>
        </w:tc>
        <w:tc>
          <w:tcPr>
            <w:tcW w:w="298"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r>
              <w:rPr>
                <w:rFonts w:hint="eastAsia" w:ascii="宋体" w:hAnsi="宋体" w:eastAsia="宋体" w:cs="宋体"/>
                <w:b/>
                <w:bCs/>
                <w:i w:val="0"/>
                <w:color w:val="000000"/>
                <w:kern w:val="0"/>
                <w:sz w:val="18"/>
                <w:szCs w:val="18"/>
                <w:highlight w:val="none"/>
                <w:u w:val="none"/>
                <w:lang w:val="en-US" w:eastAsia="zh-CN" w:bidi="ar"/>
              </w:rPr>
              <w:t>1762</w:t>
            </w:r>
          </w:p>
        </w:tc>
        <w:tc>
          <w:tcPr>
            <w:tcW w:w="211"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c>
          <w:tcPr>
            <w:tcW w:w="255" w:type="pc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color w:val="000000"/>
                <w:kern w:val="0"/>
                <w:sz w:val="18"/>
                <w:szCs w:val="18"/>
                <w:highlight w:val="none"/>
                <w:u w:val="none"/>
                <w:lang w:val="en-US" w:eastAsia="zh-CN" w:bidi="ar"/>
              </w:rPr>
            </w:pPr>
          </w:p>
        </w:tc>
      </w:tr>
    </w:tbl>
    <w:p>
      <w:pPr>
        <w:pStyle w:val="8"/>
        <w:rPr>
          <w:rFonts w:hint="default" w:ascii="Times New Roman" w:hAnsi="Times New Roman" w:cs="Times New Roman"/>
          <w:highlight w:val="none"/>
        </w:rPr>
      </w:pPr>
    </w:p>
    <w:p>
      <w:pPr>
        <w:pStyle w:val="8"/>
        <w:rPr>
          <w:rFonts w:hint="default" w:ascii="Times New Roman" w:hAnsi="Times New Roman" w:cs="Times New Roman"/>
          <w:highlight w:val="none"/>
        </w:rPr>
      </w:pPr>
    </w:p>
    <w:tbl>
      <w:tblPr>
        <w:tblStyle w:val="15"/>
        <w:tblpPr w:leftFromText="180" w:rightFromText="180" w:vertAnchor="text" w:horzAnchor="page" w:tblpX="1298" w:tblpY="199"/>
        <w:tblOverlap w:val="never"/>
        <w:tblW w:w="937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941"/>
        <w:gridCol w:w="1320"/>
        <w:gridCol w:w="1305"/>
        <w:gridCol w:w="2055"/>
        <w:gridCol w:w="1410"/>
        <w:gridCol w:w="13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941" w:type="dxa"/>
            <w:noWrap w:val="0"/>
            <w:vAlign w:val="bottom"/>
          </w:tcPr>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17</w:t>
            </w:r>
          </w:p>
        </w:tc>
        <w:tc>
          <w:tcPr>
            <w:tcW w:w="132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130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2055"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1410"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c>
          <w:tcPr>
            <w:tcW w:w="1344" w:type="dxa"/>
            <w:noWrap w:val="0"/>
            <w:vAlign w:val="bottom"/>
          </w:tcPr>
          <w:p>
            <w:pPr>
              <w:keepNext w:val="0"/>
              <w:keepLines w:val="0"/>
              <w:suppressLineNumbers w:val="0"/>
              <w:spacing w:before="0" w:beforeAutospacing="0" w:after="0" w:afterAutospacing="0"/>
              <w:ind w:left="0" w:right="0"/>
              <w:rPr>
                <w:rFonts w:hint="default" w:ascii="Times New Roman" w:hAnsi="Times New Roman"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9375" w:type="dxa"/>
            <w:gridSpan w:val="6"/>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32"/>
                <w:szCs w:val="32"/>
                <w:highlight w:val="none"/>
                <w:u w:val="none"/>
                <w:lang w:val="en-US" w:eastAsia="zh-CN" w:bidi="ar"/>
              </w:rPr>
              <w:t xml:space="preserve">  2025</w:t>
            </w:r>
            <w:r>
              <w:rPr>
                <w:rFonts w:hint="default" w:ascii="Times New Roman" w:hAnsi="Times New Roman" w:eastAsia="宋体" w:cs="Times New Roman"/>
                <w:b/>
                <w:i w:val="0"/>
                <w:color w:val="000000"/>
                <w:kern w:val="0"/>
                <w:sz w:val="32"/>
                <w:szCs w:val="32"/>
                <w:highlight w:val="none"/>
                <w:u w:val="none"/>
                <w:lang w:val="en-US" w:eastAsia="zh-CN" w:bidi="ar"/>
              </w:rPr>
              <w:t>年</w:t>
            </w:r>
            <w:r>
              <w:rPr>
                <w:rFonts w:hint="eastAsia" w:cs="Times New Roman"/>
                <w:b/>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本级国有资本经营预算收支总表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941"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2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0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205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1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44" w:type="dxa"/>
            <w:tcBorders>
              <w:bottom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4566"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收          入</w:t>
            </w:r>
          </w:p>
        </w:tc>
        <w:tc>
          <w:tcPr>
            <w:tcW w:w="4809"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支          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项        目</w:t>
            </w:r>
          </w:p>
        </w:tc>
        <w:tc>
          <w:tcPr>
            <w:tcW w:w="1320" w:type="dxa"/>
            <w:tcBorders>
              <w:top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eastAsia" w:cs="Times New Roman"/>
                <w:b/>
                <w:bCs w:val="0"/>
                <w:i w:val="0"/>
                <w:color w:val="000000"/>
                <w:kern w:val="0"/>
                <w:sz w:val="20"/>
                <w:szCs w:val="20"/>
                <w:highlight w:val="none"/>
                <w:u w:val="none"/>
                <w:lang w:val="en-US" w:eastAsia="zh-CN" w:bidi="ar"/>
              </w:rPr>
              <w:t>2024</w:t>
            </w:r>
            <w:r>
              <w:rPr>
                <w:rFonts w:hint="default" w:ascii="Times New Roman" w:hAnsi="Times New Roman" w:eastAsia="宋体" w:cs="Times New Roman"/>
                <w:b/>
                <w:bCs w:val="0"/>
                <w:i w:val="0"/>
                <w:color w:val="000000"/>
                <w:kern w:val="0"/>
                <w:sz w:val="20"/>
                <w:szCs w:val="20"/>
                <w:highlight w:val="none"/>
                <w:u w:val="none"/>
                <w:lang w:val="en-US" w:eastAsia="zh-CN" w:bidi="ar"/>
              </w:rPr>
              <w:t>年</w:t>
            </w:r>
            <w:r>
              <w:rPr>
                <w:rFonts w:hint="default" w:ascii="Times New Roman" w:hAnsi="Times New Roman" w:eastAsia="宋体" w:cs="Times New Roman"/>
                <w:b/>
                <w:bCs w:val="0"/>
                <w:i w:val="0"/>
                <w:color w:val="000000"/>
                <w:kern w:val="0"/>
                <w:sz w:val="20"/>
                <w:szCs w:val="20"/>
                <w:highlight w:val="none"/>
                <w:u w:val="none"/>
                <w:lang w:val="en-US" w:eastAsia="zh-Hans" w:bidi="ar"/>
              </w:rPr>
              <w:t>完成</w:t>
            </w:r>
            <w:r>
              <w:rPr>
                <w:rFonts w:hint="default" w:ascii="Times New Roman" w:hAnsi="Times New Roman" w:eastAsia="宋体" w:cs="Times New Roman"/>
                <w:b/>
                <w:bCs w:val="0"/>
                <w:i w:val="0"/>
                <w:color w:val="000000"/>
                <w:kern w:val="0"/>
                <w:sz w:val="20"/>
                <w:szCs w:val="20"/>
                <w:highlight w:val="none"/>
                <w:u w:val="none"/>
                <w:lang w:val="en-US" w:eastAsia="zh-CN" w:bidi="ar"/>
              </w:rPr>
              <w:t>数</w:t>
            </w:r>
          </w:p>
        </w:tc>
        <w:tc>
          <w:tcPr>
            <w:tcW w:w="1305" w:type="dxa"/>
            <w:tcBorders>
              <w:top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eastAsia" w:cs="Times New Roman"/>
                <w:b/>
                <w:bCs w:val="0"/>
                <w:i w:val="0"/>
                <w:color w:val="000000"/>
                <w:kern w:val="0"/>
                <w:sz w:val="20"/>
                <w:szCs w:val="20"/>
                <w:highlight w:val="none"/>
                <w:u w:val="none"/>
                <w:lang w:val="en-US" w:eastAsia="zh-CN" w:bidi="ar"/>
              </w:rPr>
              <w:t>2025</w:t>
            </w:r>
            <w:r>
              <w:rPr>
                <w:rFonts w:hint="default" w:ascii="Times New Roman" w:hAnsi="Times New Roman" w:eastAsia="宋体" w:cs="Times New Roman"/>
                <w:b/>
                <w:bCs w:val="0"/>
                <w:i w:val="0"/>
                <w:color w:val="000000"/>
                <w:kern w:val="0"/>
                <w:sz w:val="20"/>
                <w:szCs w:val="20"/>
                <w:highlight w:val="none"/>
                <w:u w:val="none"/>
                <w:lang w:val="en-US" w:eastAsia="zh-CN" w:bidi="ar"/>
              </w:rPr>
              <w:t>年预算数</w:t>
            </w: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项        目</w:t>
            </w:r>
          </w:p>
        </w:tc>
        <w:tc>
          <w:tcPr>
            <w:tcW w:w="1410" w:type="dxa"/>
            <w:tcBorders>
              <w:top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eastAsia" w:cs="Times New Roman"/>
                <w:b/>
                <w:bCs w:val="0"/>
                <w:i w:val="0"/>
                <w:color w:val="000000"/>
                <w:kern w:val="0"/>
                <w:sz w:val="20"/>
                <w:szCs w:val="20"/>
                <w:highlight w:val="none"/>
                <w:u w:val="none"/>
                <w:lang w:val="en-US" w:eastAsia="zh-CN" w:bidi="ar"/>
              </w:rPr>
              <w:t>2024</w:t>
            </w:r>
            <w:r>
              <w:rPr>
                <w:rFonts w:hint="default" w:ascii="Times New Roman" w:hAnsi="Times New Roman" w:eastAsia="宋体" w:cs="Times New Roman"/>
                <w:b/>
                <w:bCs w:val="0"/>
                <w:i w:val="0"/>
                <w:color w:val="000000"/>
                <w:kern w:val="0"/>
                <w:sz w:val="20"/>
                <w:szCs w:val="20"/>
                <w:highlight w:val="none"/>
                <w:u w:val="none"/>
                <w:lang w:val="en-US" w:eastAsia="zh-CN" w:bidi="ar"/>
              </w:rPr>
              <w:t>年</w:t>
            </w:r>
            <w:r>
              <w:rPr>
                <w:rFonts w:hint="default" w:ascii="Times New Roman" w:hAnsi="Times New Roman" w:eastAsia="宋体" w:cs="Times New Roman"/>
                <w:b/>
                <w:bCs w:val="0"/>
                <w:i w:val="0"/>
                <w:color w:val="000000"/>
                <w:kern w:val="0"/>
                <w:sz w:val="20"/>
                <w:szCs w:val="20"/>
                <w:highlight w:val="none"/>
                <w:u w:val="none"/>
                <w:lang w:val="en-US" w:eastAsia="zh-Hans" w:bidi="ar"/>
              </w:rPr>
              <w:t>完成</w:t>
            </w:r>
            <w:r>
              <w:rPr>
                <w:rFonts w:hint="default" w:ascii="Times New Roman" w:hAnsi="Times New Roman" w:eastAsia="宋体" w:cs="Times New Roman"/>
                <w:b/>
                <w:bCs w:val="0"/>
                <w:i w:val="0"/>
                <w:color w:val="000000"/>
                <w:kern w:val="0"/>
                <w:sz w:val="20"/>
                <w:szCs w:val="20"/>
                <w:highlight w:val="none"/>
                <w:u w:val="none"/>
                <w:lang w:val="en-US" w:eastAsia="zh-CN" w:bidi="ar"/>
              </w:rPr>
              <w:t>数</w:t>
            </w:r>
          </w:p>
        </w:tc>
        <w:tc>
          <w:tcPr>
            <w:tcW w:w="1344" w:type="dxa"/>
            <w:tcBorders>
              <w:top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eastAsia" w:cs="Times New Roman"/>
                <w:b/>
                <w:bCs w:val="0"/>
                <w:i w:val="0"/>
                <w:color w:val="000000"/>
                <w:kern w:val="0"/>
                <w:sz w:val="20"/>
                <w:szCs w:val="20"/>
                <w:highlight w:val="none"/>
                <w:u w:val="none"/>
                <w:lang w:val="en-US" w:eastAsia="zh-CN" w:bidi="ar"/>
              </w:rPr>
              <w:t>2025</w:t>
            </w:r>
            <w:r>
              <w:rPr>
                <w:rFonts w:hint="default" w:ascii="Times New Roman" w:hAnsi="Times New Roman" w:eastAsia="宋体" w:cs="Times New Roman"/>
                <w:b/>
                <w:bCs w:val="0"/>
                <w:i w:val="0"/>
                <w:color w:val="000000"/>
                <w:kern w:val="0"/>
                <w:sz w:val="20"/>
                <w:szCs w:val="20"/>
                <w:highlight w:val="none"/>
                <w:u w:val="none"/>
                <w:lang w:val="en-US" w:eastAsia="zh-CN" w:bidi="ar"/>
              </w:rPr>
              <w:t>年预算数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一、利润收入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208</w:t>
            </w: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一、解决历史遗留问题及改革成本支出</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22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二、股息</w:t>
            </w:r>
            <w:r>
              <w:rPr>
                <w:rFonts w:hint="eastAsia" w:cs="Times New Roman"/>
                <w:b/>
                <w:bCs/>
                <w:i w:val="0"/>
                <w:color w:val="000000"/>
                <w:kern w:val="0"/>
                <w:sz w:val="20"/>
                <w:szCs w:val="20"/>
                <w:highlight w:val="none"/>
                <w:u w:val="none"/>
                <w:lang w:val="en-US" w:eastAsia="zh-CN" w:bidi="ar"/>
              </w:rPr>
              <w:t>红利</w:t>
            </w:r>
            <w:r>
              <w:rPr>
                <w:rFonts w:hint="default" w:ascii="Times New Roman" w:hAnsi="Times New Roman" w:eastAsia="宋体" w:cs="Times New Roman"/>
                <w:b/>
                <w:bCs/>
                <w:i w:val="0"/>
                <w:color w:val="000000"/>
                <w:kern w:val="0"/>
                <w:sz w:val="20"/>
                <w:szCs w:val="20"/>
                <w:highlight w:val="none"/>
                <w:u w:val="none"/>
                <w:lang w:val="en-US" w:eastAsia="zh-CN" w:bidi="ar"/>
              </w:rPr>
              <w:t>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36</w:t>
            </w: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二、国有企业资本金注入</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三、产权转让收入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三、国有企业</w:t>
            </w:r>
            <w:r>
              <w:rPr>
                <w:rFonts w:hint="eastAsia" w:cs="Times New Roman"/>
                <w:b/>
                <w:bCs/>
                <w:i w:val="0"/>
                <w:color w:val="000000"/>
                <w:kern w:val="0"/>
                <w:sz w:val="20"/>
                <w:szCs w:val="20"/>
                <w:highlight w:val="none"/>
                <w:u w:val="none"/>
                <w:lang w:val="en-US" w:eastAsia="zh-CN" w:bidi="ar"/>
              </w:rPr>
              <w:t>公益</w:t>
            </w:r>
            <w:r>
              <w:rPr>
                <w:rFonts w:hint="default" w:ascii="Times New Roman" w:hAnsi="Times New Roman" w:eastAsia="宋体" w:cs="Times New Roman"/>
                <w:b/>
                <w:bCs/>
                <w:i w:val="0"/>
                <w:color w:val="000000"/>
                <w:kern w:val="0"/>
                <w:sz w:val="20"/>
                <w:szCs w:val="20"/>
                <w:highlight w:val="none"/>
                <w:u w:val="none"/>
                <w:lang w:val="en-US" w:eastAsia="zh-CN" w:bidi="ar"/>
              </w:rPr>
              <w:t>性补贴</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四、清算收入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4</w:t>
            </w: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四</w:t>
            </w:r>
            <w:r>
              <w:rPr>
                <w:rFonts w:hint="default" w:ascii="Times New Roman" w:hAnsi="Times New Roman" w:eastAsia="宋体" w:cs="Times New Roman"/>
                <w:b/>
                <w:bCs/>
                <w:i w:val="0"/>
                <w:color w:val="000000"/>
                <w:kern w:val="0"/>
                <w:sz w:val="20"/>
                <w:szCs w:val="20"/>
                <w:highlight w:val="none"/>
                <w:u w:val="none"/>
                <w:lang w:val="en-US" w:eastAsia="zh-CN" w:bidi="ar"/>
              </w:rPr>
              <w:t>、其他国有资本经营预算支出</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五、其他国有资本经营预算收入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收入合计</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i w:val="0"/>
                <w:color w:val="000000"/>
                <w:sz w:val="20"/>
                <w:szCs w:val="20"/>
                <w:highlight w:val="none"/>
                <w:u w:val="none"/>
                <w:lang w:val="en-US" w:eastAsia="zh-CN"/>
              </w:rPr>
            </w:pPr>
            <w:r>
              <w:rPr>
                <w:rFonts w:hint="eastAsia" w:cs="Times New Roman"/>
                <w:b/>
                <w:i w:val="0"/>
                <w:color w:val="000000"/>
                <w:sz w:val="20"/>
                <w:szCs w:val="20"/>
                <w:highlight w:val="none"/>
                <w:u w:val="none"/>
                <w:lang w:val="en-US" w:eastAsia="zh-CN"/>
              </w:rPr>
              <w:t>40</w:t>
            </w: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i w:val="0"/>
                <w:color w:val="000000"/>
                <w:sz w:val="20"/>
                <w:szCs w:val="20"/>
                <w:highlight w:val="none"/>
                <w:u w:val="none"/>
                <w:lang w:val="en-US" w:eastAsia="zh-CN"/>
              </w:rPr>
            </w:pPr>
            <w:r>
              <w:rPr>
                <w:rFonts w:hint="eastAsia" w:cs="Times New Roman"/>
                <w:b/>
                <w:i w:val="0"/>
                <w:color w:val="000000"/>
                <w:sz w:val="20"/>
                <w:szCs w:val="20"/>
                <w:highlight w:val="none"/>
                <w:u w:val="none"/>
                <w:lang w:val="en-US" w:eastAsia="zh-CN"/>
              </w:rPr>
              <w:t>208</w:t>
            </w: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支出合计</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i w:val="0"/>
                <w:color w:val="000000"/>
                <w:sz w:val="20"/>
                <w:szCs w:val="20"/>
                <w:highlight w:val="none"/>
                <w:u w:val="none"/>
                <w:lang w:val="en-US" w:eastAsia="zh-CN"/>
              </w:rPr>
            </w:pPr>
            <w:r>
              <w:rPr>
                <w:rFonts w:hint="eastAsia" w:cs="Times New Roman"/>
                <w:b/>
                <w:i w:val="0"/>
                <w:color w:val="000000"/>
                <w:sz w:val="20"/>
                <w:szCs w:val="20"/>
                <w:highlight w:val="none"/>
                <w:u w:val="none"/>
                <w:lang w:val="en-US" w:eastAsia="zh-CN"/>
              </w:rPr>
              <w:t>146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国有资本经营预算转移支付收入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国有资本经营预算转移支付支出</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lang w:val="en-US"/>
              </w:rPr>
            </w:pPr>
            <w:r>
              <w:rPr>
                <w:rFonts w:hint="default" w:ascii="Times New Roman" w:hAnsi="Times New Roman" w:eastAsia="宋体" w:cs="Times New Roman"/>
                <w:i w:val="0"/>
                <w:color w:val="000000"/>
                <w:kern w:val="0"/>
                <w:sz w:val="20"/>
                <w:szCs w:val="20"/>
                <w:highlight w:val="none"/>
                <w:u w:val="none"/>
                <w:lang w:val="en-US" w:eastAsia="zh-CN" w:bidi="ar"/>
              </w:rPr>
              <w:t>国有资本经营预算上年结转收入</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国有资本经营预算调出资金</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40</w:t>
            </w: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05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lang w:val="en-US"/>
              </w:rPr>
            </w:pPr>
            <w:r>
              <w:rPr>
                <w:rFonts w:hint="default" w:ascii="Times New Roman" w:hAnsi="Times New Roman" w:eastAsia="宋体" w:cs="Times New Roman"/>
                <w:i w:val="0"/>
                <w:color w:val="000000"/>
                <w:kern w:val="0"/>
                <w:sz w:val="20"/>
                <w:szCs w:val="20"/>
                <w:highlight w:val="none"/>
                <w:u w:val="none"/>
                <w:lang w:val="en-US" w:eastAsia="zh-CN" w:bidi="ar"/>
              </w:rPr>
              <w:t>国有资本经营预算年终结余</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1"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收入总计</w:t>
            </w:r>
          </w:p>
        </w:tc>
        <w:tc>
          <w:tcPr>
            <w:tcW w:w="13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val="0"/>
                <w:i w:val="0"/>
                <w:color w:val="000000"/>
                <w:sz w:val="20"/>
                <w:szCs w:val="20"/>
                <w:highlight w:val="none"/>
                <w:u w:val="none"/>
                <w:lang w:val="en-US" w:eastAsia="zh-CN"/>
              </w:rPr>
            </w:pPr>
            <w:r>
              <w:rPr>
                <w:rFonts w:hint="eastAsia" w:cs="Times New Roman"/>
                <w:b/>
                <w:bCs w:val="0"/>
                <w:i w:val="0"/>
                <w:color w:val="000000"/>
                <w:sz w:val="20"/>
                <w:szCs w:val="20"/>
                <w:highlight w:val="none"/>
                <w:u w:val="none"/>
                <w:lang w:val="en-US" w:eastAsia="zh-CN"/>
              </w:rPr>
              <w:t>40</w:t>
            </w:r>
          </w:p>
        </w:tc>
        <w:tc>
          <w:tcPr>
            <w:tcW w:w="130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val="0"/>
                <w:i w:val="0"/>
                <w:color w:val="000000"/>
                <w:sz w:val="20"/>
                <w:szCs w:val="20"/>
                <w:highlight w:val="none"/>
                <w:u w:val="none"/>
                <w:lang w:val="en-US" w:eastAsia="zh-CN"/>
              </w:rPr>
            </w:pPr>
            <w:r>
              <w:rPr>
                <w:rFonts w:hint="eastAsia" w:cs="Times New Roman"/>
                <w:b/>
                <w:bCs w:val="0"/>
                <w:i w:val="0"/>
                <w:color w:val="000000"/>
                <w:sz w:val="20"/>
                <w:szCs w:val="20"/>
                <w:highlight w:val="none"/>
                <w:u w:val="none"/>
                <w:lang w:val="en-US" w:eastAsia="zh-CN"/>
              </w:rPr>
              <w:t>208</w:t>
            </w:r>
          </w:p>
        </w:tc>
        <w:tc>
          <w:tcPr>
            <w:tcW w:w="2055"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支出总计</w:t>
            </w:r>
          </w:p>
        </w:tc>
        <w:tc>
          <w:tcPr>
            <w:tcW w:w="141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val="0"/>
                <w:i w:val="0"/>
                <w:color w:val="000000"/>
                <w:sz w:val="20"/>
                <w:szCs w:val="20"/>
                <w:highlight w:val="none"/>
                <w:u w:val="none"/>
                <w:lang w:val="en-US" w:eastAsia="zh-CN"/>
              </w:rPr>
            </w:pPr>
            <w:r>
              <w:rPr>
                <w:rFonts w:hint="eastAsia" w:cs="Times New Roman"/>
                <w:b/>
                <w:bCs w:val="0"/>
                <w:i w:val="0"/>
                <w:color w:val="000000"/>
                <w:sz w:val="20"/>
                <w:szCs w:val="20"/>
                <w:highlight w:val="none"/>
                <w:u w:val="none"/>
                <w:lang w:val="en-US" w:eastAsia="zh-CN"/>
              </w:rPr>
              <w:t>40</w:t>
            </w:r>
          </w:p>
        </w:tc>
        <w:tc>
          <w:tcPr>
            <w:tcW w:w="1344"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val="0"/>
                <w:i w:val="0"/>
                <w:color w:val="000000"/>
                <w:sz w:val="20"/>
                <w:szCs w:val="20"/>
                <w:highlight w:val="none"/>
                <w:u w:val="none"/>
                <w:lang w:val="en-US" w:eastAsia="zh-CN"/>
              </w:rPr>
            </w:pPr>
            <w:r>
              <w:rPr>
                <w:rFonts w:hint="eastAsia" w:cs="Times New Roman"/>
                <w:b/>
                <w:bCs w:val="0"/>
                <w:i w:val="0"/>
                <w:color w:val="000000"/>
                <w:sz w:val="20"/>
                <w:szCs w:val="20"/>
                <w:highlight w:val="none"/>
                <w:u w:val="none"/>
                <w:lang w:val="en-US" w:eastAsia="zh-CN"/>
              </w:rPr>
              <w:t>208</w:t>
            </w:r>
          </w:p>
        </w:tc>
      </w:tr>
    </w:tbl>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pPr>
    </w:p>
    <w:p>
      <w:pPr>
        <w:rPr>
          <w:rFonts w:hint="default" w:ascii="Times New Roman" w:hAnsi="Times New Roman" w:cs="Times New Roman"/>
          <w:highlight w:val="none"/>
        </w:rPr>
        <w:sectPr>
          <w:footerReference r:id="rId5" w:type="default"/>
          <w:pgSz w:w="11906" w:h="16838"/>
          <w:pgMar w:top="2098" w:right="1418" w:bottom="1928" w:left="1588" w:header="851" w:footer="992" w:gutter="0"/>
          <w:pgNumType w:fmt="numberInDash"/>
          <w:cols w:space="720" w:num="1"/>
          <w:docGrid w:linePitch="312" w:charSpace="0"/>
        </w:sectPr>
      </w:pPr>
    </w:p>
    <w:tbl>
      <w:tblPr>
        <w:tblStyle w:val="15"/>
        <w:tblpPr w:leftFromText="180" w:rightFromText="180" w:vertAnchor="text" w:horzAnchor="page" w:tblpX="1238" w:tblpY="176"/>
        <w:tblOverlap w:val="never"/>
        <w:tblW w:w="916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410"/>
        <w:gridCol w:w="3236"/>
        <w:gridCol w:w="1670"/>
        <w:gridCol w:w="1590"/>
        <w:gridCol w:w="12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410" w:type="dxa"/>
            <w:noWrap w:val="0"/>
            <w:vAlign w:val="bottom"/>
          </w:tcPr>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表1</w:t>
            </w:r>
            <w:r>
              <w:rPr>
                <w:rFonts w:hint="default" w:ascii="Times New Roman" w:hAnsi="Times New Roman" w:cs="Times New Roman"/>
                <w:i w:val="0"/>
                <w:color w:val="000000"/>
                <w:kern w:val="0"/>
                <w:sz w:val="20"/>
                <w:szCs w:val="20"/>
                <w:highlight w:val="none"/>
                <w:u w:val="none"/>
                <w:lang w:eastAsia="zh-CN" w:bidi="ar"/>
              </w:rPr>
              <w:t>8</w:t>
            </w:r>
          </w:p>
        </w:tc>
        <w:tc>
          <w:tcPr>
            <w:tcW w:w="3236"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67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59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26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9166" w:type="dxa"/>
            <w:gridSpan w:val="5"/>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32"/>
                <w:szCs w:val="32"/>
                <w:highlight w:val="none"/>
                <w:u w:val="none"/>
                <w:lang w:val="en-US" w:eastAsia="zh-CN" w:bidi="ar"/>
              </w:rPr>
              <w:t>2025</w:t>
            </w:r>
            <w:r>
              <w:rPr>
                <w:rFonts w:hint="default" w:ascii="Times New Roman" w:hAnsi="Times New Roman" w:eastAsia="宋体" w:cs="Times New Roman"/>
                <w:b/>
                <w:i w:val="0"/>
                <w:color w:val="000000"/>
                <w:kern w:val="0"/>
                <w:sz w:val="32"/>
                <w:szCs w:val="32"/>
                <w:highlight w:val="none"/>
                <w:u w:val="none"/>
                <w:lang w:val="en-US" w:eastAsia="zh-CN" w:bidi="ar"/>
              </w:rPr>
              <w:t>年</w:t>
            </w:r>
            <w:r>
              <w:rPr>
                <w:rFonts w:hint="eastAsia" w:cs="Times New Roman"/>
                <w:b/>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本级国有资本经营预算收入表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5" w:hRule="atLeast"/>
        </w:trPr>
        <w:tc>
          <w:tcPr>
            <w:tcW w:w="141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236"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7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59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60" w:type="dxa"/>
            <w:tcBorders>
              <w:bottom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科目名称／企业</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w:t>
            </w: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w:t>
            </w: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年预算数</w:t>
            </w:r>
          </w:p>
        </w:tc>
        <w:tc>
          <w:tcPr>
            <w:tcW w:w="1260"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1030601</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一、利润收入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208</w:t>
            </w: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sz w:val="20"/>
                <w:szCs w:val="20"/>
                <w:highlight w:val="none"/>
                <w:u w:val="none"/>
              </w:rPr>
              <w:t>103060116</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投资服务企业利润收入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77</w:t>
            </w: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magenta"/>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103060125</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农林牧渔企业利润收入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5</w:t>
            </w: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magenta"/>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103060198</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其他国有资本经营预算企业利润收入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126</w:t>
            </w: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magenta"/>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1030602</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二、股息</w:t>
            </w:r>
            <w:r>
              <w:rPr>
                <w:rFonts w:hint="eastAsia" w:cs="Times New Roman"/>
                <w:b/>
                <w:bCs/>
                <w:i w:val="0"/>
                <w:color w:val="000000"/>
                <w:kern w:val="0"/>
                <w:sz w:val="20"/>
                <w:szCs w:val="20"/>
                <w:highlight w:val="none"/>
                <w:u w:val="none"/>
                <w:lang w:val="en-US" w:eastAsia="zh-CN" w:bidi="ar"/>
              </w:rPr>
              <w:t>红利</w:t>
            </w:r>
            <w:r>
              <w:rPr>
                <w:rFonts w:hint="default" w:ascii="Times New Roman" w:hAnsi="Times New Roman" w:eastAsia="宋体" w:cs="Times New Roman"/>
                <w:b/>
                <w:bCs/>
                <w:i w:val="0"/>
                <w:color w:val="000000"/>
                <w:kern w:val="0"/>
                <w:sz w:val="20"/>
                <w:szCs w:val="20"/>
                <w:highlight w:val="none"/>
                <w:u w:val="none"/>
                <w:lang w:val="en-US" w:eastAsia="zh-CN" w:bidi="ar"/>
              </w:rPr>
              <w:t>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36</w:t>
            </w: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b/>
                <w:bCs/>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magenta"/>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2"/>
                <w:sz w:val="20"/>
                <w:szCs w:val="20"/>
                <w:highlight w:val="none"/>
                <w:u w:val="none"/>
                <w:lang w:val="en-US" w:eastAsia="zh-CN" w:bidi="ar-SA"/>
              </w:rPr>
            </w:pPr>
            <w:r>
              <w:rPr>
                <w:rFonts w:hint="default" w:ascii="Times New Roman" w:hAnsi="Times New Roman" w:eastAsia="宋体" w:cs="Times New Roman"/>
                <w:i w:val="0"/>
                <w:color w:val="000000"/>
                <w:kern w:val="0"/>
                <w:sz w:val="20"/>
                <w:szCs w:val="20"/>
                <w:highlight w:val="none"/>
                <w:u w:val="none"/>
                <w:lang w:val="en-US" w:eastAsia="zh-CN" w:bidi="ar"/>
              </w:rPr>
              <w:t>103060203</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2"/>
                <w:sz w:val="20"/>
                <w:szCs w:val="20"/>
                <w:highlight w:val="none"/>
                <w:u w:val="none"/>
                <w:lang w:val="en-US" w:eastAsia="zh-CN" w:bidi="ar-SA"/>
              </w:rPr>
            </w:pPr>
            <w:r>
              <w:rPr>
                <w:rFonts w:hint="default" w:ascii="Times New Roman" w:hAnsi="Times New Roman" w:eastAsia="宋体" w:cs="Times New Roman"/>
                <w:i w:val="0"/>
                <w:color w:val="000000"/>
                <w:kern w:val="0"/>
                <w:sz w:val="20"/>
                <w:szCs w:val="20"/>
                <w:highlight w:val="none"/>
                <w:u w:val="none"/>
                <w:lang w:val="en-US" w:eastAsia="zh-CN" w:bidi="ar"/>
              </w:rPr>
              <w:t>国有参股公司股利、股息收入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36</w:t>
            </w: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1030603</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三、产权转让收入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b/>
                <w:bCs/>
                <w:i w:val="0"/>
                <w:color w:val="000000"/>
                <w:sz w:val="20"/>
                <w:szCs w:val="20"/>
                <w:highlight w:val="none"/>
                <w:u w:val="none"/>
                <w:lang w:val="en-US" w:eastAsia="zh-CN"/>
              </w:rPr>
            </w:pP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b/>
                <w:bCs/>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1030604</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四、清算收入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4</w:t>
            </w: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b/>
                <w:bCs/>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2"/>
                <w:sz w:val="20"/>
                <w:szCs w:val="20"/>
                <w:highlight w:val="none"/>
                <w:u w:val="none"/>
                <w:lang w:val="en-US" w:eastAsia="zh-CN" w:bidi="ar-SA"/>
              </w:rPr>
            </w:pPr>
            <w:r>
              <w:rPr>
                <w:rFonts w:hint="eastAsia"/>
                <w:szCs w:val="22"/>
              </w:rPr>
              <w:t>103060402</w:t>
            </w:r>
          </w:p>
        </w:tc>
        <w:tc>
          <w:tcPr>
            <w:tcW w:w="323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200" w:firstLineChars="100"/>
              <w:jc w:val="left"/>
              <w:textAlignment w:val="center"/>
              <w:rPr>
                <w:rFonts w:hint="default" w:ascii="Times New Roman" w:hAnsi="Times New Roman" w:eastAsia="宋体" w:cs="Times New Roman"/>
                <w:i w:val="0"/>
                <w:color w:val="000000"/>
                <w:kern w:val="2"/>
                <w:sz w:val="20"/>
                <w:szCs w:val="20"/>
                <w:highlight w:val="none"/>
                <w:u w:val="none"/>
                <w:lang w:val="en-US" w:eastAsia="zh-CN" w:bidi="ar-SA"/>
              </w:rPr>
            </w:pPr>
            <w:r>
              <w:rPr>
                <w:rFonts w:hint="default" w:ascii="Times New Roman" w:hAnsi="Times New Roman" w:eastAsia="宋体" w:cs="Times New Roman"/>
                <w:i w:val="0"/>
                <w:color w:val="000000"/>
                <w:kern w:val="0"/>
                <w:sz w:val="20"/>
                <w:szCs w:val="20"/>
                <w:highlight w:val="none"/>
                <w:u w:val="none"/>
                <w:lang w:val="en-US" w:eastAsia="zh-CN" w:bidi="ar"/>
              </w:rPr>
              <w:t>国有独资企业清算收入</w:t>
            </w:r>
          </w:p>
        </w:tc>
        <w:tc>
          <w:tcPr>
            <w:tcW w:w="16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4</w:t>
            </w:r>
          </w:p>
        </w:tc>
        <w:tc>
          <w:tcPr>
            <w:tcW w:w="15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410"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1030699</w:t>
            </w:r>
          </w:p>
        </w:tc>
        <w:tc>
          <w:tcPr>
            <w:tcW w:w="3236"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五、其他国有资本经营预算收入</w:t>
            </w:r>
          </w:p>
        </w:tc>
        <w:tc>
          <w:tcPr>
            <w:tcW w:w="1670"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590"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cs="Times New Roman"/>
                <w:i w:val="0"/>
                <w:color w:val="000000"/>
                <w:sz w:val="20"/>
                <w:szCs w:val="20"/>
                <w:highlight w:val="none"/>
                <w:u w:val="none"/>
                <w:lang w:val="en-US" w:eastAsia="zh-CN"/>
              </w:rPr>
            </w:pPr>
          </w:p>
        </w:tc>
        <w:tc>
          <w:tcPr>
            <w:tcW w:w="1260" w:type="dxa"/>
            <w:tcBorders>
              <w:top w:val="single" w:color="000000" w:sz="4" w:space="0"/>
              <w:left w:val="single" w:color="000000" w:sz="4" w:space="0"/>
              <w:bottom w:val="single" w:color="auto"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4646" w:type="dxa"/>
            <w:gridSpan w:val="2"/>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center"/>
              <w:rPr>
                <w:rFonts w:hint="default" w:cs="Times New Roman"/>
                <w:b/>
                <w:bCs/>
                <w:i w:val="0"/>
                <w:color w:val="000000"/>
                <w:sz w:val="20"/>
                <w:szCs w:val="20"/>
                <w:highlight w:val="none"/>
                <w:u w:val="none"/>
                <w:lang w:val="en-US" w:eastAsia="zh-CN"/>
              </w:rPr>
            </w:pPr>
            <w:r>
              <w:rPr>
                <w:rFonts w:hint="default" w:cs="Times New Roman"/>
                <w:b/>
                <w:bCs/>
                <w:i w:val="0"/>
                <w:color w:val="000000"/>
                <w:sz w:val="20"/>
                <w:szCs w:val="20"/>
                <w:highlight w:val="none"/>
                <w:u w:val="none"/>
                <w:lang w:val="en-US" w:eastAsia="zh-CN"/>
              </w:rPr>
              <w:t>合    计</w:t>
            </w:r>
          </w:p>
        </w:tc>
        <w:tc>
          <w:tcPr>
            <w:tcW w:w="1670" w:type="dxa"/>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40</w:t>
            </w:r>
          </w:p>
        </w:tc>
        <w:tc>
          <w:tcPr>
            <w:tcW w:w="1590" w:type="dxa"/>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208</w:t>
            </w:r>
          </w:p>
        </w:tc>
        <w:tc>
          <w:tcPr>
            <w:tcW w:w="1260" w:type="dxa"/>
            <w:tcBorders>
              <w:top w:val="single" w:color="auto" w:sz="4" w:space="0"/>
              <w:left w:val="single" w:color="auto" w:sz="4" w:space="0"/>
              <w:bottom w:val="single" w:color="auto" w:sz="4" w:space="0"/>
              <w:right w:val="single" w:color="auto" w:sz="4" w:space="0"/>
            </w:tcBorders>
            <w:noWrap w:val="0"/>
            <w:vAlign w:val="bottom"/>
          </w:tcPr>
          <w:p>
            <w:pPr>
              <w:keepNext w:val="0"/>
              <w:keepLines w:val="0"/>
              <w:suppressLineNumbers w:val="0"/>
              <w:spacing w:before="0" w:beforeAutospacing="0" w:after="0" w:afterAutospacing="0"/>
              <w:ind w:left="0" w:right="0"/>
              <w:jc w:val="right"/>
              <w:rPr>
                <w:rFonts w:hint="eastAsia"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520%</w:t>
            </w:r>
          </w:p>
        </w:tc>
      </w:tr>
    </w:tbl>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pStyle w:val="8"/>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tbl>
      <w:tblPr>
        <w:tblStyle w:val="15"/>
        <w:tblpPr w:leftFromText="180" w:rightFromText="180" w:vertAnchor="text" w:horzAnchor="page" w:tblpX="563" w:tblpY="11"/>
        <w:tblOverlap w:val="never"/>
        <w:tblW w:w="1045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910"/>
        <w:gridCol w:w="2471"/>
        <w:gridCol w:w="759"/>
        <w:gridCol w:w="828"/>
        <w:gridCol w:w="802"/>
        <w:gridCol w:w="770"/>
        <w:gridCol w:w="720"/>
        <w:gridCol w:w="920"/>
        <w:gridCol w:w="820"/>
        <w:gridCol w:w="770"/>
        <w:gridCol w:w="6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910" w:type="dxa"/>
            <w:noWrap w:val="0"/>
            <w:vAlign w:val="bottom"/>
          </w:tcPr>
          <w:p>
            <w:pPr>
              <w:keepNext w:val="0"/>
              <w:keepLines w:val="0"/>
              <w:widowControl/>
              <w:suppressLineNumbers w:val="0"/>
              <w:spacing w:before="0" w:beforeAutospacing="0" w:after="0" w:afterAutospacing="0"/>
              <w:ind w:left="0" w:right="0"/>
              <w:jc w:val="left"/>
              <w:textAlignment w:val="bottom"/>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表1</w:t>
            </w:r>
            <w:r>
              <w:rPr>
                <w:rFonts w:hint="default" w:ascii="Times New Roman" w:hAnsi="Times New Roman" w:cs="Times New Roman"/>
                <w:i w:val="0"/>
                <w:color w:val="000000"/>
                <w:kern w:val="0"/>
                <w:sz w:val="20"/>
                <w:szCs w:val="20"/>
                <w:highlight w:val="none"/>
                <w:u w:val="none"/>
                <w:lang w:eastAsia="zh-CN" w:bidi="ar"/>
              </w:rPr>
              <w:t>9</w:t>
            </w:r>
          </w:p>
        </w:tc>
        <w:tc>
          <w:tcPr>
            <w:tcW w:w="2471"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iCs w:val="0"/>
                <w:color w:val="000000"/>
                <w:sz w:val="24"/>
                <w:szCs w:val="24"/>
                <w:highlight w:val="none"/>
                <w:u w:val="none"/>
              </w:rPr>
            </w:pPr>
          </w:p>
        </w:tc>
        <w:tc>
          <w:tcPr>
            <w:tcW w:w="759"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828"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80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77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72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92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82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77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689"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10459" w:type="dxa"/>
            <w:gridSpan w:val="11"/>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iCs w:val="0"/>
                <w:color w:val="000000"/>
                <w:sz w:val="20"/>
                <w:szCs w:val="20"/>
                <w:highlight w:val="none"/>
                <w:u w:val="none"/>
              </w:rPr>
            </w:pPr>
            <w:r>
              <w:rPr>
                <w:rFonts w:hint="eastAsia" w:cs="Times New Roman"/>
                <w:b/>
                <w:i w:val="0"/>
                <w:iCs w:val="0"/>
                <w:color w:val="000000"/>
                <w:kern w:val="0"/>
                <w:sz w:val="32"/>
                <w:szCs w:val="32"/>
                <w:highlight w:val="none"/>
                <w:u w:val="none"/>
                <w:lang w:val="en-US" w:eastAsia="zh-CN" w:bidi="ar"/>
              </w:rPr>
              <w:t xml:space="preserve">     2025</w:t>
            </w:r>
            <w:r>
              <w:rPr>
                <w:rFonts w:hint="default" w:ascii="Times New Roman" w:hAnsi="Times New Roman" w:eastAsia="宋体" w:cs="Times New Roman"/>
                <w:b/>
                <w:i w:val="0"/>
                <w:iCs w:val="0"/>
                <w:color w:val="000000"/>
                <w:kern w:val="0"/>
                <w:sz w:val="32"/>
                <w:szCs w:val="32"/>
                <w:highlight w:val="none"/>
                <w:u w:val="none"/>
                <w:lang w:val="en-US" w:eastAsia="zh-CN" w:bidi="ar"/>
              </w:rPr>
              <w:t>年</w:t>
            </w:r>
            <w:r>
              <w:rPr>
                <w:rFonts w:hint="eastAsia" w:cs="Times New Roman"/>
                <w:b/>
                <w:i w:val="0"/>
                <w:color w:val="000000"/>
                <w:kern w:val="0"/>
                <w:sz w:val="32"/>
                <w:szCs w:val="32"/>
                <w:highlight w:val="none"/>
                <w:u w:val="none"/>
                <w:lang w:val="en-US" w:eastAsia="zh-CN" w:bidi="ar"/>
              </w:rPr>
              <w:t>吐鲁番市</w:t>
            </w:r>
            <w:r>
              <w:rPr>
                <w:rFonts w:hint="default" w:ascii="Times New Roman" w:hAnsi="Times New Roman" w:eastAsia="宋体" w:cs="Times New Roman"/>
                <w:b/>
                <w:i w:val="0"/>
                <w:iCs w:val="0"/>
                <w:color w:val="000000"/>
                <w:kern w:val="0"/>
                <w:sz w:val="32"/>
                <w:szCs w:val="32"/>
                <w:highlight w:val="none"/>
                <w:u w:val="none"/>
                <w:lang w:val="en-US" w:eastAsia="zh-CN" w:bidi="ar"/>
              </w:rPr>
              <w:t>本级国有资本经营预算支出表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0" w:hRule="atLeast"/>
        </w:trPr>
        <w:tc>
          <w:tcPr>
            <w:tcW w:w="91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2471"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highlight w:val="none"/>
                <w:u w:val="none"/>
              </w:rPr>
            </w:pPr>
          </w:p>
        </w:tc>
        <w:tc>
          <w:tcPr>
            <w:tcW w:w="759"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28"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02"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7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2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2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2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59" w:type="dxa"/>
            <w:gridSpan w:val="2"/>
            <w:tcBorders>
              <w:bottom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910"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2471"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iCs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highlight w:val="none"/>
                <w:u w:val="none"/>
                <w:lang w:val="en-US" w:eastAsia="zh-CN" w:bidi="ar"/>
              </w:rPr>
              <w:t>科目名称</w:t>
            </w:r>
          </w:p>
        </w:tc>
        <w:tc>
          <w:tcPr>
            <w:tcW w:w="3159" w:type="dxa"/>
            <w:gridSpan w:val="4"/>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w:t>
            </w: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w:t>
            </w:r>
          </w:p>
        </w:tc>
        <w:tc>
          <w:tcPr>
            <w:tcW w:w="3230" w:type="dxa"/>
            <w:gridSpan w:val="4"/>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年预算数</w:t>
            </w:r>
          </w:p>
        </w:tc>
        <w:tc>
          <w:tcPr>
            <w:tcW w:w="689"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910"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2471"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highlight w:val="none"/>
                <w:u w:val="none"/>
              </w:rPr>
            </w:pPr>
          </w:p>
        </w:tc>
        <w:tc>
          <w:tcPr>
            <w:tcW w:w="7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小计</w:t>
            </w: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资本性支出</w:t>
            </w:r>
          </w:p>
        </w:tc>
        <w:tc>
          <w:tcPr>
            <w:tcW w:w="8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 xml:space="preserve">费用性支出 </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其他支出</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小计</w:t>
            </w:r>
          </w:p>
        </w:tc>
        <w:tc>
          <w:tcPr>
            <w:tcW w:w="9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资本性支出</w:t>
            </w:r>
          </w:p>
        </w:tc>
        <w:tc>
          <w:tcPr>
            <w:tcW w:w="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 xml:space="preserve">费用性支出 </w:t>
            </w: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其他支出</w:t>
            </w:r>
          </w:p>
        </w:tc>
        <w:tc>
          <w:tcPr>
            <w:tcW w:w="689"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910" w:type="dxa"/>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22301</w:t>
            </w:r>
          </w:p>
        </w:tc>
        <w:tc>
          <w:tcPr>
            <w:tcW w:w="2471" w:type="dxa"/>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iCs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highlight w:val="none"/>
                <w:u w:val="none"/>
                <w:lang w:val="en-US" w:eastAsia="zh-CN" w:bidi="ar"/>
              </w:rPr>
              <w:t>一、解决历史遗留问题及改革成本支出</w:t>
            </w:r>
          </w:p>
        </w:tc>
        <w:tc>
          <w:tcPr>
            <w:tcW w:w="759" w:type="dxa"/>
            <w:tcBorders>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8" w:type="dxa"/>
            <w:tcBorders>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02" w:type="dxa"/>
            <w:tcBorders>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pStyle w:val="8"/>
              <w:keepNext w:val="0"/>
              <w:keepLines w:val="0"/>
              <w:suppressLineNumbers w:val="0"/>
              <w:wordWrap w:val="0"/>
              <w:spacing w:before="0" w:beforeAutospacing="0" w:after="0" w:afterAutospacing="0"/>
              <w:ind w:left="0" w:right="0"/>
              <w:jc w:val="right"/>
              <w:rPr>
                <w:rFonts w:hint="default" w:ascii="Times New Roman" w:hAnsi="Times New Roman" w:cs="Times New Roman"/>
                <w:b/>
                <w:bCs/>
                <w:i w:val="0"/>
                <w:color w:val="000000"/>
                <w:sz w:val="20"/>
                <w:szCs w:val="20"/>
                <w:highlight w:val="none"/>
                <w:u w:val="none"/>
                <w:lang w:val="en-US" w:eastAsia="zh-CN"/>
              </w:rPr>
            </w:pPr>
            <w:r>
              <w:rPr>
                <w:rFonts w:hint="eastAsia" w:ascii="Times New Roman" w:hAnsi="Times New Roman" w:cs="Times New Roman"/>
                <w:b/>
                <w:bCs/>
                <w:i w:val="0"/>
                <w:color w:val="000000"/>
                <w:sz w:val="20"/>
                <w:szCs w:val="20"/>
                <w:highlight w:val="none"/>
                <w:u w:val="none"/>
                <w:lang w:val="en-US" w:eastAsia="zh-CN"/>
              </w:rPr>
              <w:t xml:space="preserve">22 </w:t>
            </w:r>
          </w:p>
        </w:tc>
        <w:tc>
          <w:tcPr>
            <w:tcW w:w="9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22</w:t>
            </w:r>
          </w:p>
        </w:tc>
        <w:tc>
          <w:tcPr>
            <w:tcW w:w="77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689"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2230199</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iCs w:val="0"/>
                <w:color w:val="000000"/>
                <w:sz w:val="20"/>
                <w:szCs w:val="20"/>
                <w:highlight w:val="none"/>
                <w:u w:val="none"/>
              </w:rPr>
            </w:pPr>
            <w:r>
              <w:rPr>
                <w:rFonts w:hint="default" w:ascii="Times New Roman" w:hAnsi="Times New Roman" w:eastAsia="宋体" w:cs="Times New Roman"/>
                <w:i w:val="0"/>
                <w:iCs w:val="0"/>
                <w:color w:val="000000"/>
                <w:kern w:val="0"/>
                <w:sz w:val="20"/>
                <w:szCs w:val="20"/>
                <w:highlight w:val="none"/>
                <w:u w:val="none"/>
                <w:lang w:val="en-US" w:eastAsia="zh-CN" w:bidi="ar"/>
              </w:rPr>
              <w:t>其他解决历史遗留问题及改革成本支出</w:t>
            </w:r>
          </w:p>
        </w:tc>
        <w:tc>
          <w:tcPr>
            <w:tcW w:w="759" w:type="dxa"/>
            <w:tcBorders>
              <w:top w:val="single" w:color="000000" w:sz="4" w:space="0"/>
              <w:left w:val="single" w:color="000000" w:sz="4" w:space="0"/>
              <w:bottom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02" w:type="dxa"/>
            <w:tcBorders>
              <w:top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22</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20" w:type="dxa"/>
            <w:tcBorders>
              <w:top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22</w:t>
            </w: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22302</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cs="Times New Roman"/>
                <w:b/>
                <w:bCs/>
                <w:i w:val="0"/>
                <w:color w:val="000000"/>
                <w:kern w:val="0"/>
                <w:sz w:val="20"/>
                <w:szCs w:val="20"/>
                <w:highlight w:val="none"/>
                <w:u w:val="none"/>
                <w:lang w:val="en-US" w:eastAsia="zh-CN" w:bidi="ar"/>
              </w:rPr>
              <w:t>二、国有企业资本金注入</w:t>
            </w:r>
          </w:p>
        </w:tc>
        <w:tc>
          <w:tcPr>
            <w:tcW w:w="759" w:type="dxa"/>
            <w:tcBorders>
              <w:top w:val="single" w:color="000000" w:sz="4" w:space="0"/>
              <w:left w:val="single" w:color="000000" w:sz="4" w:space="0"/>
              <w:bottom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02" w:type="dxa"/>
            <w:tcBorders>
              <w:top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ascii="Times New Roman" w:hAnsi="Times New Roman" w:cs="Times New Roman"/>
                <w:b/>
                <w:bCs/>
                <w:i w:val="0"/>
                <w:color w:val="000000"/>
                <w:sz w:val="20"/>
                <w:szCs w:val="20"/>
                <w:highlight w:val="none"/>
                <w:u w:val="none"/>
                <w:lang w:val="en-US" w:eastAsia="zh-CN"/>
              </w:rPr>
              <w:t>59</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ascii="Times New Roman" w:hAnsi="Times New Roman" w:cs="Times New Roman"/>
                <w:b/>
                <w:bCs/>
                <w:i w:val="0"/>
                <w:color w:val="000000"/>
                <w:sz w:val="20"/>
                <w:szCs w:val="20"/>
                <w:highlight w:val="none"/>
                <w:u w:val="none"/>
                <w:lang w:val="en-US" w:eastAsia="zh-CN"/>
              </w:rPr>
              <w:t>59</w:t>
            </w:r>
          </w:p>
        </w:tc>
        <w:tc>
          <w:tcPr>
            <w:tcW w:w="820" w:type="dxa"/>
            <w:tcBorders>
              <w:top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8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i w:val="0"/>
                <w:color w:val="000000"/>
                <w:kern w:val="0"/>
                <w:sz w:val="20"/>
                <w:szCs w:val="20"/>
                <w:highlight w:val="none"/>
                <w:u w:val="none"/>
                <w:lang w:val="en-US" w:eastAsia="zh-CN" w:bidi="ar"/>
              </w:rPr>
            </w:pPr>
            <w:r>
              <w:rPr>
                <w:rFonts w:hint="default" w:cs="Times New Roman"/>
                <w:i w:val="0"/>
                <w:color w:val="000000"/>
                <w:kern w:val="0"/>
                <w:sz w:val="20"/>
                <w:szCs w:val="20"/>
                <w:highlight w:val="none"/>
                <w:u w:val="none"/>
                <w:lang w:val="en-US" w:eastAsia="zh-CN" w:bidi="ar"/>
              </w:rPr>
              <w:t>2230299</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i w:val="0"/>
                <w:color w:val="000000"/>
                <w:kern w:val="0"/>
                <w:sz w:val="20"/>
                <w:szCs w:val="20"/>
                <w:highlight w:val="none"/>
                <w:u w:val="none"/>
                <w:lang w:val="en-US" w:eastAsia="zh-CN" w:bidi="ar"/>
              </w:rPr>
            </w:pPr>
            <w:r>
              <w:rPr>
                <w:rFonts w:hint="default" w:cs="Times New Roman"/>
                <w:i w:val="0"/>
                <w:color w:val="000000"/>
                <w:kern w:val="0"/>
                <w:sz w:val="20"/>
                <w:szCs w:val="20"/>
                <w:highlight w:val="none"/>
                <w:u w:val="none"/>
                <w:lang w:val="en-US" w:eastAsia="zh-CN" w:bidi="ar"/>
              </w:rPr>
              <w:t>其他国有企业资本金注入</w:t>
            </w:r>
          </w:p>
        </w:tc>
        <w:tc>
          <w:tcPr>
            <w:tcW w:w="7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both"/>
              <w:textAlignment w:val="center"/>
              <w:rPr>
                <w:rFonts w:hint="default" w:cs="Times New Roman"/>
                <w:i w:val="0"/>
                <w:color w:val="000000"/>
                <w:kern w:val="0"/>
                <w:sz w:val="20"/>
                <w:szCs w:val="20"/>
                <w:highlight w:val="none"/>
                <w:u w:val="none"/>
                <w:lang w:val="en-US" w:eastAsia="zh-CN" w:bidi="ar"/>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59</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59</w:t>
            </w:r>
          </w:p>
        </w:tc>
        <w:tc>
          <w:tcPr>
            <w:tcW w:w="8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default" w:cs="Times New Roman"/>
                <w:b/>
                <w:bCs/>
                <w:i w:val="0"/>
                <w:color w:val="000000"/>
                <w:kern w:val="0"/>
                <w:sz w:val="20"/>
                <w:szCs w:val="20"/>
                <w:highlight w:val="none"/>
                <w:u w:val="none"/>
                <w:lang w:val="en-US" w:eastAsia="zh-CN" w:bidi="ar"/>
              </w:rPr>
              <w:t>22303</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default" w:cs="Times New Roman"/>
                <w:b/>
                <w:bCs/>
                <w:i w:val="0"/>
                <w:color w:val="000000"/>
                <w:kern w:val="0"/>
                <w:sz w:val="20"/>
                <w:szCs w:val="20"/>
                <w:highlight w:val="none"/>
                <w:u w:val="none"/>
                <w:lang w:val="en-US" w:eastAsia="zh-CN" w:bidi="ar"/>
              </w:rPr>
              <w:t>三、国有企业</w:t>
            </w:r>
            <w:r>
              <w:rPr>
                <w:rFonts w:hint="eastAsia" w:cs="Times New Roman"/>
                <w:b/>
                <w:bCs/>
                <w:i w:val="0"/>
                <w:color w:val="000000"/>
                <w:kern w:val="0"/>
                <w:sz w:val="20"/>
                <w:szCs w:val="20"/>
                <w:highlight w:val="none"/>
                <w:u w:val="none"/>
                <w:lang w:val="en-US" w:eastAsia="zh-CN" w:bidi="ar"/>
              </w:rPr>
              <w:t>公益</w:t>
            </w:r>
            <w:r>
              <w:rPr>
                <w:rFonts w:hint="default" w:cs="Times New Roman"/>
                <w:b/>
                <w:bCs/>
                <w:i w:val="0"/>
                <w:color w:val="000000"/>
                <w:kern w:val="0"/>
                <w:sz w:val="20"/>
                <w:szCs w:val="20"/>
                <w:highlight w:val="none"/>
                <w:u w:val="none"/>
                <w:lang w:val="en-US" w:eastAsia="zh-CN" w:bidi="ar"/>
              </w:rPr>
              <w:t>性补贴</w:t>
            </w:r>
          </w:p>
        </w:tc>
        <w:tc>
          <w:tcPr>
            <w:tcW w:w="7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default" w:cs="Times New Roman"/>
                <w:b/>
                <w:bCs/>
                <w:i w:val="0"/>
                <w:color w:val="000000"/>
                <w:kern w:val="0"/>
                <w:sz w:val="20"/>
                <w:szCs w:val="20"/>
                <w:highlight w:val="none"/>
                <w:u w:val="none"/>
                <w:lang w:val="en-US" w:eastAsia="zh-CN" w:bidi="ar"/>
              </w:rPr>
              <w:t>22399</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b/>
                <w:bCs/>
                <w:i w:val="0"/>
                <w:color w:val="000000"/>
                <w:kern w:val="0"/>
                <w:sz w:val="20"/>
                <w:szCs w:val="20"/>
                <w:highlight w:val="none"/>
                <w:u w:val="none"/>
                <w:lang w:val="en-US" w:eastAsia="zh-CN" w:bidi="ar"/>
              </w:rPr>
            </w:pPr>
            <w:r>
              <w:rPr>
                <w:rFonts w:hint="default" w:cs="Times New Roman"/>
                <w:b/>
                <w:bCs/>
                <w:i w:val="0"/>
                <w:color w:val="000000"/>
                <w:kern w:val="0"/>
                <w:sz w:val="20"/>
                <w:szCs w:val="20"/>
                <w:highlight w:val="none"/>
                <w:u w:val="none"/>
                <w:lang w:val="en-US" w:eastAsia="zh-CN" w:bidi="ar"/>
              </w:rPr>
              <w:t>四、其他国有资本经营预算支出</w:t>
            </w:r>
          </w:p>
        </w:tc>
        <w:tc>
          <w:tcPr>
            <w:tcW w:w="7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ascii="Times New Roman" w:hAnsi="Times New Roman" w:cs="Times New Roman"/>
                <w:b/>
                <w:bCs/>
                <w:i w:val="0"/>
                <w:color w:val="000000"/>
                <w:sz w:val="20"/>
                <w:szCs w:val="20"/>
                <w:highlight w:val="none"/>
                <w:u w:val="none"/>
                <w:lang w:val="en-US" w:eastAsia="zh-CN"/>
              </w:rPr>
              <w:t>65</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8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65</w:t>
            </w: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i w:val="0"/>
                <w:color w:val="000000"/>
                <w:kern w:val="0"/>
                <w:sz w:val="20"/>
                <w:szCs w:val="20"/>
                <w:highlight w:val="none"/>
                <w:u w:val="none"/>
                <w:lang w:val="en-US" w:eastAsia="zh-CN" w:bidi="ar"/>
              </w:rPr>
            </w:pPr>
            <w:r>
              <w:rPr>
                <w:rFonts w:hint="default" w:cs="Times New Roman"/>
                <w:i w:val="0"/>
                <w:color w:val="000000"/>
                <w:kern w:val="0"/>
                <w:sz w:val="20"/>
                <w:szCs w:val="20"/>
                <w:highlight w:val="none"/>
                <w:u w:val="none"/>
                <w:lang w:val="en-US" w:eastAsia="zh-CN" w:bidi="ar"/>
              </w:rPr>
              <w:t>2239999</w:t>
            </w: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cs="Times New Roman"/>
                <w:i w:val="0"/>
                <w:color w:val="000000"/>
                <w:kern w:val="0"/>
                <w:sz w:val="20"/>
                <w:szCs w:val="20"/>
                <w:highlight w:val="none"/>
                <w:u w:val="none"/>
                <w:lang w:val="en-US" w:eastAsia="zh-CN" w:bidi="ar"/>
              </w:rPr>
            </w:pPr>
            <w:r>
              <w:rPr>
                <w:rFonts w:hint="default" w:cs="Times New Roman"/>
                <w:i w:val="0"/>
                <w:color w:val="000000"/>
                <w:kern w:val="0"/>
                <w:sz w:val="20"/>
                <w:szCs w:val="20"/>
                <w:highlight w:val="none"/>
                <w:u w:val="none"/>
                <w:lang w:val="en-US" w:eastAsia="zh-CN" w:bidi="ar"/>
              </w:rPr>
              <w:t>其他国有资本经营预算支出</w:t>
            </w:r>
          </w:p>
        </w:tc>
        <w:tc>
          <w:tcPr>
            <w:tcW w:w="7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0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720" w:type="dxa"/>
            <w:tcBorders>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ascii="Times New Roman" w:hAnsi="Times New Roman" w:cs="Times New Roman"/>
                <w:i w:val="0"/>
                <w:color w:val="000000"/>
                <w:sz w:val="20"/>
                <w:szCs w:val="20"/>
                <w:highlight w:val="none"/>
                <w:u w:val="none"/>
                <w:lang w:val="en-US" w:eastAsia="zh-CN"/>
              </w:rPr>
              <w:t>65</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lang w:val="en-US" w:eastAsia="zh-CN"/>
              </w:rPr>
            </w:pPr>
            <w:r>
              <w:rPr>
                <w:rFonts w:hint="eastAsia" w:cs="Times New Roman"/>
                <w:i w:val="0"/>
                <w:color w:val="000000"/>
                <w:sz w:val="20"/>
                <w:szCs w:val="20"/>
                <w:highlight w:val="none"/>
                <w:u w:val="none"/>
                <w:lang w:val="en-US" w:eastAsia="zh-CN"/>
              </w:rPr>
              <w:t>65</w:t>
            </w: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15" w:hRule="atLeast"/>
        </w:trPr>
        <w:tc>
          <w:tcPr>
            <w:tcW w:w="91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2471" w:type="dxa"/>
            <w:tcBorders>
              <w:top w:val="single" w:color="000000" w:sz="4" w:space="0"/>
              <w:left w:val="single" w:color="000000" w:sz="4" w:space="0"/>
              <w:bottom w:val="single" w:color="000000" w:sz="4" w:space="0"/>
              <w:right w:val="single" w:color="000000" w:sz="4" w:space="0"/>
            </w:tcBorders>
            <w:shd w:val="clear" w:color="auto" w:fill="FFFFFF"/>
            <w:noWrap w:val="0"/>
            <w:vAlign w:val="bottom"/>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iCs w:val="0"/>
                <w:color w:val="000000"/>
                <w:sz w:val="22"/>
                <w:szCs w:val="22"/>
                <w:highlight w:val="none"/>
                <w:u w:val="none"/>
              </w:rPr>
            </w:pPr>
            <w:r>
              <w:rPr>
                <w:rFonts w:hint="default" w:ascii="Times New Roman" w:hAnsi="Times New Roman" w:eastAsia="宋体" w:cs="Times New Roman"/>
                <w:b/>
                <w:bCs/>
                <w:i w:val="0"/>
                <w:iCs w:val="0"/>
                <w:color w:val="000000"/>
                <w:kern w:val="0"/>
                <w:sz w:val="22"/>
                <w:szCs w:val="22"/>
                <w:highlight w:val="none"/>
                <w:u w:val="none"/>
                <w:lang w:val="en-US" w:eastAsia="zh-CN" w:bidi="ar"/>
              </w:rPr>
              <w:t>支出合计</w:t>
            </w:r>
          </w:p>
        </w:tc>
        <w:tc>
          <w:tcPr>
            <w:tcW w:w="75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c>
          <w:tcPr>
            <w:tcW w:w="828"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c>
          <w:tcPr>
            <w:tcW w:w="802"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c>
          <w:tcPr>
            <w:tcW w:w="7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lang w:val="en-US" w:eastAsia="zh-CN"/>
              </w:rPr>
            </w:pPr>
            <w:r>
              <w:rPr>
                <w:rFonts w:hint="eastAsia" w:cs="Times New Roman"/>
                <w:b/>
                <w:bCs/>
                <w:i w:val="0"/>
                <w:color w:val="000000"/>
                <w:sz w:val="22"/>
                <w:szCs w:val="22"/>
                <w:highlight w:val="none"/>
                <w:u w:val="none"/>
                <w:lang w:val="en-US" w:eastAsia="zh-CN"/>
              </w:rPr>
              <w:t>146</w:t>
            </w:r>
          </w:p>
        </w:tc>
        <w:tc>
          <w:tcPr>
            <w:tcW w:w="9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lang w:val="en-US" w:eastAsia="zh-CN"/>
              </w:rPr>
            </w:pPr>
            <w:r>
              <w:rPr>
                <w:rFonts w:hint="eastAsia" w:cs="Times New Roman"/>
                <w:b/>
                <w:bCs/>
                <w:i w:val="0"/>
                <w:color w:val="000000"/>
                <w:sz w:val="22"/>
                <w:szCs w:val="22"/>
                <w:highlight w:val="none"/>
                <w:u w:val="none"/>
                <w:lang w:val="en-US" w:eastAsia="zh-CN"/>
              </w:rPr>
              <w:t>59</w:t>
            </w:r>
          </w:p>
        </w:tc>
        <w:tc>
          <w:tcPr>
            <w:tcW w:w="82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lang w:val="en-US" w:eastAsia="zh-CN"/>
              </w:rPr>
            </w:pPr>
            <w:r>
              <w:rPr>
                <w:rFonts w:hint="eastAsia" w:cs="Times New Roman"/>
                <w:b/>
                <w:bCs/>
                <w:i w:val="0"/>
                <w:color w:val="000000"/>
                <w:sz w:val="22"/>
                <w:szCs w:val="22"/>
                <w:highlight w:val="none"/>
                <w:u w:val="none"/>
                <w:lang w:val="en-US" w:eastAsia="zh-CN"/>
              </w:rPr>
              <w:t>87</w:t>
            </w:r>
          </w:p>
        </w:tc>
        <w:tc>
          <w:tcPr>
            <w:tcW w:w="770"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c>
          <w:tcPr>
            <w:tcW w:w="689" w:type="dxa"/>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bCs/>
                <w:i w:val="0"/>
                <w:color w:val="000000"/>
                <w:sz w:val="22"/>
                <w:szCs w:val="22"/>
                <w:highlight w:val="none"/>
                <w:u w:val="none"/>
              </w:rPr>
            </w:pPr>
          </w:p>
        </w:tc>
      </w:tr>
    </w:tbl>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jc w:val="both"/>
        <w:rPr>
          <w:rFonts w:hint="default" w:ascii="Times New Roman" w:hAnsi="Times New Roman" w:cs="Times New Roman"/>
          <w:b/>
          <w:bCs/>
          <w:sz w:val="24"/>
          <w:szCs w:val="24"/>
          <w:highlight w:val="none"/>
          <w:lang w:val="en-US" w:eastAsia="zh-Hans"/>
        </w:rPr>
      </w:pPr>
    </w:p>
    <w:p>
      <w:pPr>
        <w:pStyle w:val="6"/>
        <w:spacing w:before="12"/>
        <w:rPr>
          <w:rFonts w:hint="default" w:ascii="Times New Roman" w:hAnsi="Times New Roman" w:cs="Times New Roman"/>
          <w:sz w:val="30"/>
          <w:highlight w:val="none"/>
        </w:rPr>
      </w:pPr>
    </w:p>
    <w:p>
      <w:pPr>
        <w:numPr>
          <w:ilvl w:val="0"/>
          <w:numId w:val="0"/>
        </w:numPr>
        <w:tabs>
          <w:tab w:val="left" w:pos="2148"/>
        </w:tabs>
        <w:spacing w:before="190" w:line="350" w:lineRule="auto"/>
        <w:ind w:right="3265" w:rightChars="0"/>
        <w:jc w:val="both"/>
        <w:rPr>
          <w:rFonts w:hint="default" w:ascii="Times New Roman" w:hAnsi="Times New Roman" w:eastAsia="黑体" w:cs="Times New Roman"/>
          <w:bCs/>
          <w:kern w:val="0"/>
          <w:sz w:val="32"/>
          <w:szCs w:val="32"/>
          <w:highlight w:val="none"/>
          <w:lang w:val="en-US" w:eastAsia="zh-Hans"/>
        </w:rPr>
      </w:pPr>
    </w:p>
    <w:p>
      <w:pPr>
        <w:numPr>
          <w:ilvl w:val="0"/>
          <w:numId w:val="0"/>
        </w:numPr>
        <w:tabs>
          <w:tab w:val="left" w:pos="2148"/>
        </w:tabs>
        <w:spacing w:before="190" w:line="350" w:lineRule="auto"/>
        <w:ind w:right="3265" w:rightChars="0"/>
        <w:jc w:val="both"/>
        <w:rPr>
          <w:rFonts w:hint="default" w:ascii="Times New Roman" w:hAnsi="Times New Roman" w:eastAsia="黑体" w:cs="Times New Roman"/>
          <w:bCs/>
          <w:kern w:val="0"/>
          <w:sz w:val="32"/>
          <w:szCs w:val="32"/>
          <w:highlight w:val="none"/>
          <w:lang w:val="en-US" w:eastAsia="zh-Hans"/>
        </w:rPr>
      </w:pPr>
    </w:p>
    <w:p>
      <w:pPr>
        <w:pStyle w:val="8"/>
        <w:rPr>
          <w:rFonts w:hint="default" w:ascii="Times New Roman" w:hAnsi="Times New Roman" w:eastAsia="黑体" w:cs="Times New Roman"/>
          <w:bCs/>
          <w:kern w:val="0"/>
          <w:sz w:val="32"/>
          <w:szCs w:val="32"/>
          <w:highlight w:val="none"/>
          <w:lang w:val="en-US" w:eastAsia="zh-Hans"/>
        </w:rPr>
      </w:pPr>
    </w:p>
    <w:p>
      <w:pPr>
        <w:pStyle w:val="8"/>
        <w:rPr>
          <w:rFonts w:hint="default" w:ascii="Times New Roman" w:hAnsi="Times New Roman" w:eastAsia="黑体" w:cs="Times New Roman"/>
          <w:bCs/>
          <w:kern w:val="0"/>
          <w:sz w:val="32"/>
          <w:szCs w:val="32"/>
          <w:highlight w:val="none"/>
          <w:lang w:val="en-US" w:eastAsia="zh-Hans"/>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20</w:t>
      </w:r>
    </w:p>
    <w:tbl>
      <w:tblPr>
        <w:tblStyle w:val="15"/>
        <w:tblW w:w="86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813"/>
        <w:gridCol w:w="1698"/>
        <w:gridCol w:w="1632"/>
        <w:gridCol w:w="1785"/>
        <w:gridCol w:w="1646"/>
        <w:gridCol w:w="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99" w:hRule="atLeast"/>
        </w:trPr>
        <w:tc>
          <w:tcPr>
            <w:tcW w:w="8574" w:type="dxa"/>
            <w:gridSpan w:val="5"/>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4"/>
                <w:szCs w:val="24"/>
                <w:highlight w:val="none"/>
                <w:u w:val="none"/>
              </w:rPr>
            </w:pPr>
            <w:r>
              <w:rPr>
                <w:rFonts w:hint="eastAsia" w:cs="Times New Roman"/>
                <w:b/>
                <w:bCs/>
                <w:i w:val="0"/>
                <w:color w:val="000000"/>
                <w:kern w:val="0"/>
                <w:sz w:val="32"/>
                <w:szCs w:val="32"/>
                <w:highlight w:val="none"/>
                <w:u w:val="none"/>
                <w:lang w:val="en-US" w:eastAsia="zh-CN" w:bidi="ar"/>
              </w:rPr>
              <w:t>2025</w:t>
            </w:r>
            <w:r>
              <w:rPr>
                <w:rFonts w:hint="default" w:ascii="Times New Roman" w:hAnsi="Times New Roman" w:eastAsia="宋体" w:cs="Times New Roman"/>
                <w:b/>
                <w:bCs/>
                <w:i w:val="0"/>
                <w:color w:val="000000"/>
                <w:kern w:val="0"/>
                <w:sz w:val="32"/>
                <w:szCs w:val="32"/>
                <w:highlight w:val="none"/>
                <w:u w:val="none"/>
                <w:lang w:val="en-US" w:eastAsia="zh-CN" w:bidi="ar"/>
              </w:rPr>
              <w:t>年</w:t>
            </w:r>
            <w:r>
              <w:rPr>
                <w:rFonts w:hint="eastAsia" w:cs="Times New Roman"/>
                <w:b/>
                <w:i w:val="0"/>
                <w:color w:val="000000"/>
                <w:kern w:val="0"/>
                <w:sz w:val="32"/>
                <w:szCs w:val="32"/>
                <w:highlight w:val="none"/>
                <w:u w:val="none"/>
                <w:lang w:val="en-US" w:eastAsia="zh-CN" w:bidi="ar"/>
              </w:rPr>
              <w:t>吐鲁番市</w:t>
            </w:r>
            <w:r>
              <w:rPr>
                <w:rFonts w:hint="default" w:ascii="Times New Roman" w:hAnsi="Times New Roman" w:eastAsia="宋体" w:cs="Times New Roman"/>
                <w:b/>
                <w:bCs/>
                <w:i w:val="0"/>
                <w:color w:val="000000"/>
                <w:kern w:val="0"/>
                <w:sz w:val="32"/>
                <w:szCs w:val="32"/>
                <w:highlight w:val="none"/>
                <w:u w:val="none"/>
                <w:lang w:val="en-US" w:eastAsia="zh-CN" w:bidi="ar"/>
              </w:rPr>
              <w:t>国有资本经营预算对下转移支付安排情况表（分地区、项目）</w:t>
            </w:r>
          </w:p>
        </w:tc>
        <w:tc>
          <w:tcPr>
            <w:tcW w:w="9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5" w:hRule="atLeast"/>
        </w:trPr>
        <w:tc>
          <w:tcPr>
            <w:tcW w:w="1813"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98"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32"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78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46" w:type="dxa"/>
            <w:noWrap w:val="0"/>
            <w:vAlign w:val="center"/>
          </w:tcPr>
          <w:p>
            <w:pPr>
              <w:keepNext w:val="0"/>
              <w:keepLines w:val="0"/>
              <w:suppressLineNumbers w:val="0"/>
              <w:spacing w:before="0" w:beforeAutospacing="0" w:after="0" w:afterAutospacing="0"/>
              <w:ind w:left="0" w:right="0" w:firstLine="600" w:firstLineChars="300"/>
              <w:rPr>
                <w:rFonts w:hint="default" w:ascii="Times New Roman" w:hAnsi="Times New Roman" w:eastAsia="宋体" w:cs="Times New Roman"/>
                <w:i w:val="0"/>
                <w:color w:val="000000"/>
                <w:sz w:val="24"/>
                <w:szCs w:val="24"/>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c>
          <w:tcPr>
            <w:tcW w:w="9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90" w:type="dxa"/>
          <w:trHeight w:val="666" w:hRule="atLeast"/>
        </w:trPr>
        <w:tc>
          <w:tcPr>
            <w:tcW w:w="18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项目名称</w:t>
            </w:r>
          </w:p>
        </w:tc>
        <w:tc>
          <w:tcPr>
            <w:tcW w:w="16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合计</w:t>
            </w:r>
          </w:p>
        </w:tc>
        <w:tc>
          <w:tcPr>
            <w:tcW w:w="16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高昌区</w:t>
            </w:r>
          </w:p>
        </w:tc>
        <w:tc>
          <w:tcPr>
            <w:tcW w:w="178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Times New Roman" w:hAnsi="Times New Roman" w:eastAsia="宋体" w:cs="Times New Roman"/>
                <w:b/>
                <w:bCs/>
                <w:i w:val="0"/>
                <w:color w:val="000000"/>
                <w:sz w:val="20"/>
                <w:szCs w:val="20"/>
                <w:highlight w:val="none"/>
                <w:u w:val="none"/>
                <w:lang w:val="en-US" w:eastAsia="zh-CN"/>
              </w:rPr>
            </w:pPr>
            <w:r>
              <w:rPr>
                <w:rFonts w:hint="eastAsia" w:cs="Times New Roman"/>
                <w:b/>
                <w:bCs/>
                <w:i w:val="0"/>
                <w:color w:val="000000"/>
                <w:sz w:val="20"/>
                <w:szCs w:val="20"/>
                <w:highlight w:val="none"/>
                <w:u w:val="none"/>
                <w:lang w:val="en-US" w:eastAsia="zh-CN"/>
              </w:rPr>
              <w:t>鄯善县</w:t>
            </w:r>
          </w:p>
        </w:tc>
        <w:tc>
          <w:tcPr>
            <w:tcW w:w="164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托克逊县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90" w:type="dxa"/>
          <w:trHeight w:val="270" w:hRule="atLeast"/>
        </w:trPr>
        <w:tc>
          <w:tcPr>
            <w:tcW w:w="18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sz w:val="20"/>
                <w:szCs w:val="20"/>
                <w:highlight w:val="none"/>
                <w:u w:val="none"/>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国有资本经营预算转移支付</w:t>
            </w:r>
          </w:p>
        </w:tc>
        <w:tc>
          <w:tcPr>
            <w:tcW w:w="16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color w:val="000000"/>
                <w:sz w:val="20"/>
                <w:szCs w:val="20"/>
                <w:highlight w:val="none"/>
                <w:u w:val="none"/>
                <w:lang w:val="en-US" w:eastAsia="zh-CN"/>
              </w:rPr>
            </w:pPr>
            <w:r>
              <w:rPr>
                <w:rFonts w:hint="eastAsia" w:cs="Times New Roman"/>
                <w:b w:val="0"/>
                <w:bCs w:val="0"/>
                <w:i w:val="0"/>
                <w:color w:val="000000"/>
                <w:sz w:val="20"/>
                <w:szCs w:val="20"/>
                <w:highlight w:val="none"/>
                <w:u w:val="none"/>
                <w:lang w:val="en-US" w:eastAsia="zh-CN"/>
              </w:rPr>
              <w:t>32.24</w:t>
            </w:r>
          </w:p>
        </w:tc>
        <w:tc>
          <w:tcPr>
            <w:tcW w:w="16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color w:val="000000"/>
                <w:sz w:val="20"/>
                <w:szCs w:val="20"/>
                <w:highlight w:val="none"/>
                <w:u w:val="none"/>
                <w:lang w:val="en-US" w:eastAsia="zh-CN"/>
              </w:rPr>
            </w:pPr>
            <w:r>
              <w:rPr>
                <w:rFonts w:hint="eastAsia" w:cs="Times New Roman"/>
                <w:b w:val="0"/>
                <w:bCs w:val="0"/>
                <w:i w:val="0"/>
                <w:color w:val="000000"/>
                <w:sz w:val="20"/>
                <w:szCs w:val="20"/>
                <w:highlight w:val="none"/>
                <w:u w:val="none"/>
                <w:lang w:val="en-US" w:eastAsia="zh-CN"/>
              </w:rPr>
              <w:t>18.902</w:t>
            </w:r>
          </w:p>
        </w:tc>
        <w:tc>
          <w:tcPr>
            <w:tcW w:w="178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color w:val="000000"/>
                <w:sz w:val="20"/>
                <w:szCs w:val="20"/>
                <w:highlight w:val="none"/>
                <w:u w:val="none"/>
                <w:lang w:val="en-US" w:eastAsia="zh-CN"/>
              </w:rPr>
            </w:pPr>
            <w:r>
              <w:rPr>
                <w:rFonts w:hint="eastAsia" w:cs="Times New Roman"/>
                <w:b w:val="0"/>
                <w:bCs w:val="0"/>
                <w:i w:val="0"/>
                <w:color w:val="000000"/>
                <w:sz w:val="20"/>
                <w:szCs w:val="20"/>
                <w:highlight w:val="none"/>
                <w:u w:val="none"/>
                <w:lang w:val="en-US" w:eastAsia="zh-CN"/>
              </w:rPr>
              <w:t>10.348</w:t>
            </w:r>
          </w:p>
        </w:tc>
        <w:tc>
          <w:tcPr>
            <w:tcW w:w="164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val="0"/>
                <w:bCs w:val="0"/>
                <w:i w:val="0"/>
                <w:color w:val="000000"/>
                <w:sz w:val="20"/>
                <w:szCs w:val="20"/>
                <w:highlight w:val="none"/>
                <w:u w:val="none"/>
                <w:lang w:val="en-US" w:eastAsia="zh-CN"/>
              </w:rPr>
            </w:pPr>
            <w:r>
              <w:rPr>
                <w:rFonts w:hint="eastAsia" w:cs="Times New Roman"/>
                <w:b w:val="0"/>
                <w:bCs w:val="0"/>
                <w:i w:val="0"/>
                <w:color w:val="000000"/>
                <w:sz w:val="20"/>
                <w:szCs w:val="20"/>
                <w:highlight w:val="none"/>
                <w:u w:val="none"/>
                <w:lang w:val="en-US" w:eastAsia="zh-CN"/>
              </w:rPr>
              <w:t>2.99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90" w:type="dxa"/>
          <w:trHeight w:val="682" w:hRule="atLeast"/>
        </w:trPr>
        <w:tc>
          <w:tcPr>
            <w:tcW w:w="18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78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4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gridAfter w:val="1"/>
          <w:wAfter w:w="90" w:type="dxa"/>
          <w:trHeight w:val="717" w:hRule="atLeast"/>
        </w:trPr>
        <w:tc>
          <w:tcPr>
            <w:tcW w:w="18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9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78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4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bl>
    <w:p>
      <w:pPr>
        <w:wordWrap/>
        <w:jc w:val="both"/>
        <w:rPr>
          <w:rFonts w:hint="eastAsia" w:ascii="Times New Roman" w:hAnsi="Times New Roman" w:cs="Times New Roman"/>
          <w:i w:val="0"/>
          <w:color w:val="000000"/>
          <w:kern w:val="0"/>
          <w:sz w:val="21"/>
          <w:szCs w:val="21"/>
          <w:u w:val="none"/>
          <w:lang w:val="en-US" w:eastAsia="zh-CN" w:bidi="ar"/>
        </w:rPr>
      </w:pPr>
    </w:p>
    <w:p>
      <w:pPr>
        <w:pStyle w:val="2"/>
        <w:rPr>
          <w:rFonts w:hint="default"/>
          <w:lang w:eastAsia="zh-Hans"/>
        </w:rPr>
      </w:pPr>
    </w:p>
    <w:p>
      <w:pPr>
        <w:numPr>
          <w:ilvl w:val="0"/>
          <w:numId w:val="3"/>
        </w:numPr>
        <w:tabs>
          <w:tab w:val="left" w:pos="2148"/>
        </w:tabs>
        <w:spacing w:before="190" w:line="350" w:lineRule="auto"/>
        <w:ind w:right="1166" w:rightChars="0" w:firstLine="1325" w:firstLineChars="300"/>
        <w:jc w:val="both"/>
        <w:rPr>
          <w:rFonts w:hint="default" w:ascii="Times New Roman" w:hAnsi="Times New Roman" w:eastAsia="楷体_GB2312" w:cs="Times New Roman"/>
          <w:b/>
          <w:bCs w:val="0"/>
          <w:kern w:val="0"/>
          <w:sz w:val="44"/>
          <w:szCs w:val="44"/>
          <w:lang w:val="en-US" w:eastAsia="zh-Hans"/>
        </w:rPr>
      </w:pPr>
      <w:r>
        <w:rPr>
          <w:rFonts w:hint="default" w:ascii="Times New Roman" w:hAnsi="Times New Roman" w:eastAsia="楷体_GB2312" w:cs="Times New Roman"/>
          <w:b/>
          <w:bCs w:val="0"/>
          <w:kern w:val="0"/>
          <w:sz w:val="44"/>
          <w:szCs w:val="44"/>
          <w:lang w:val="en-US" w:eastAsia="zh-Hans"/>
        </w:rPr>
        <w:t>社会保险基金预算</w:t>
      </w:r>
      <w:r>
        <w:rPr>
          <w:rFonts w:hint="default" w:ascii="Times New Roman" w:hAnsi="Times New Roman" w:eastAsia="楷体_GB2312" w:cs="Times New Roman"/>
          <w:b/>
          <w:bCs w:val="0"/>
          <w:kern w:val="0"/>
          <w:sz w:val="44"/>
          <w:szCs w:val="44"/>
          <w:lang w:val="en-US" w:eastAsia="zh-CN"/>
        </w:rPr>
        <w:t>公开</w:t>
      </w:r>
      <w:r>
        <w:rPr>
          <w:rFonts w:hint="default" w:ascii="Times New Roman" w:hAnsi="Times New Roman" w:eastAsia="楷体_GB2312" w:cs="Times New Roman"/>
          <w:b/>
          <w:bCs w:val="0"/>
          <w:kern w:val="0"/>
          <w:sz w:val="44"/>
          <w:szCs w:val="44"/>
          <w:lang w:val="en-US" w:eastAsia="zh-Hans"/>
        </w:rPr>
        <w:t>表</w:t>
      </w:r>
    </w:p>
    <w:tbl>
      <w:tblPr>
        <w:tblStyle w:val="15"/>
        <w:tblW w:w="857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95"/>
        <w:gridCol w:w="3327"/>
        <w:gridCol w:w="1185"/>
        <w:gridCol w:w="1106"/>
        <w:gridCol w:w="15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395" w:type="dxa"/>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both"/>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表</w:t>
            </w:r>
            <w:r>
              <w:rPr>
                <w:rFonts w:hint="default" w:ascii="Times New Roman" w:hAnsi="Times New Roman" w:eastAsia="宋体" w:cs="Times New Roman"/>
                <w:i w:val="0"/>
                <w:iCs w:val="0"/>
                <w:color w:val="000000"/>
                <w:kern w:val="0"/>
                <w:sz w:val="20"/>
                <w:szCs w:val="20"/>
                <w:u w:val="none"/>
                <w:lang w:val="en-US" w:eastAsia="zh-CN" w:bidi="ar"/>
              </w:rPr>
              <w:t>21</w:t>
            </w:r>
          </w:p>
        </w:tc>
        <w:tc>
          <w:tcPr>
            <w:tcW w:w="3327"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sz w:val="20"/>
                <w:szCs w:val="20"/>
                <w:u w:val="none"/>
              </w:rPr>
            </w:pPr>
          </w:p>
        </w:tc>
        <w:tc>
          <w:tcPr>
            <w:tcW w:w="1185"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iCs w:val="0"/>
                <w:color w:val="000000"/>
                <w:sz w:val="20"/>
                <w:szCs w:val="20"/>
                <w:u w:val="none"/>
              </w:rPr>
            </w:pPr>
          </w:p>
        </w:tc>
        <w:tc>
          <w:tcPr>
            <w:tcW w:w="1106"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iCs w:val="0"/>
                <w:color w:val="000000"/>
                <w:sz w:val="20"/>
                <w:szCs w:val="20"/>
                <w:u w:val="none"/>
              </w:rPr>
            </w:pPr>
          </w:p>
        </w:tc>
        <w:tc>
          <w:tcPr>
            <w:tcW w:w="1564"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both"/>
              <w:rPr>
                <w:rFonts w:hint="default" w:ascii="Times New Roman" w:hAnsi="Times New Roman" w:eastAsia="宋体" w:cs="Times New Roman"/>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1395" w:type="dxa"/>
            <w:tcBorders>
              <w:top w:val="nil"/>
              <w:left w:val="nil"/>
              <w:bottom w:val="nil"/>
              <w:right w:val="nil"/>
            </w:tcBorders>
            <w:shd w:val="clear" w:color="auto" w:fill="auto"/>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u w:val="none"/>
              </w:rPr>
            </w:pPr>
          </w:p>
        </w:tc>
        <w:tc>
          <w:tcPr>
            <w:tcW w:w="7182" w:type="dxa"/>
            <w:gridSpan w:val="4"/>
            <w:tcBorders>
              <w:top w:val="nil"/>
              <w:left w:val="nil"/>
              <w:bottom w:val="nil"/>
              <w:right w:val="nil"/>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default" w:ascii="Calibri" w:hAnsi="Calibri" w:eastAsia="宋体" w:cs="Calibri"/>
                <w:b/>
                <w:bCs/>
                <w:i w:val="0"/>
                <w:iCs w:val="0"/>
                <w:color w:val="000000"/>
                <w:sz w:val="32"/>
                <w:szCs w:val="32"/>
                <w:u w:val="none"/>
              </w:rPr>
            </w:pPr>
            <w:r>
              <w:rPr>
                <w:rFonts w:hint="default" w:ascii="Calibri" w:hAnsi="Calibri" w:eastAsia="宋体" w:cs="Calibri"/>
                <w:b/>
                <w:bCs/>
                <w:i w:val="0"/>
                <w:iCs w:val="0"/>
                <w:color w:val="000000"/>
                <w:kern w:val="0"/>
                <w:sz w:val="32"/>
                <w:szCs w:val="32"/>
                <w:u w:val="none"/>
                <w:lang w:val="en-US" w:eastAsia="zh-CN" w:bidi="ar"/>
              </w:rPr>
              <w:t>2025</w:t>
            </w:r>
            <w:r>
              <w:rPr>
                <w:rFonts w:hint="eastAsia" w:ascii="宋体" w:hAnsi="宋体" w:eastAsia="宋体" w:cs="宋体"/>
                <w:b/>
                <w:bCs/>
                <w:i w:val="0"/>
                <w:iCs w:val="0"/>
                <w:color w:val="000000"/>
                <w:kern w:val="0"/>
                <w:sz w:val="32"/>
                <w:szCs w:val="32"/>
                <w:u w:val="none"/>
                <w:lang w:val="en-US" w:eastAsia="zh-CN" w:bidi="ar"/>
              </w:rPr>
              <w:t>年吐鲁番市社会保险基金预算收入表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395" w:type="dxa"/>
            <w:tcBorders>
              <w:top w:val="nil"/>
              <w:left w:val="nil"/>
              <w:bottom w:val="nil"/>
              <w:right w:val="nil"/>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u w:val="none"/>
              </w:rPr>
            </w:pPr>
          </w:p>
        </w:tc>
        <w:tc>
          <w:tcPr>
            <w:tcW w:w="3327" w:type="dxa"/>
            <w:tcBorders>
              <w:top w:val="nil"/>
              <w:left w:val="nil"/>
              <w:bottom w:val="nil"/>
              <w:right w:val="nil"/>
            </w:tcBorders>
            <w:shd w:val="clear" w:color="auto" w:fill="FFFFFF"/>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iCs w:val="0"/>
                <w:color w:val="000000"/>
                <w:sz w:val="20"/>
                <w:szCs w:val="20"/>
                <w:u w:val="none"/>
              </w:rPr>
            </w:pPr>
          </w:p>
        </w:tc>
        <w:tc>
          <w:tcPr>
            <w:tcW w:w="1185" w:type="dxa"/>
            <w:tcBorders>
              <w:top w:val="nil"/>
              <w:left w:val="nil"/>
              <w:bottom w:val="nil"/>
              <w:right w:val="nil"/>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u w:val="none"/>
              </w:rPr>
            </w:pPr>
          </w:p>
        </w:tc>
        <w:tc>
          <w:tcPr>
            <w:tcW w:w="1106" w:type="dxa"/>
            <w:tcBorders>
              <w:top w:val="nil"/>
              <w:left w:val="nil"/>
              <w:bottom w:val="nil"/>
              <w:right w:val="nil"/>
            </w:tcBorders>
            <w:shd w:val="clear" w:color="auto" w:fill="FFFFFF"/>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iCs w:val="0"/>
                <w:color w:val="000000"/>
                <w:sz w:val="20"/>
                <w:szCs w:val="20"/>
                <w:u w:val="none"/>
              </w:rPr>
            </w:pPr>
          </w:p>
        </w:tc>
        <w:tc>
          <w:tcPr>
            <w:tcW w:w="1564" w:type="dxa"/>
            <w:tcBorders>
              <w:top w:val="nil"/>
              <w:left w:val="nil"/>
              <w:bottom w:val="nil"/>
              <w:right w:val="nil"/>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10" w:hRule="atLeast"/>
        </w:trPr>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科目编码</w:t>
            </w:r>
          </w:p>
        </w:tc>
        <w:tc>
          <w:tcPr>
            <w:tcW w:w="332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项</w:t>
            </w:r>
            <w:r>
              <w:rPr>
                <w:rFonts w:hint="default" w:ascii="Times New Roman" w:hAnsi="Times New Roman" w:eastAsia="宋体" w:cs="Times New Roman"/>
                <w:b/>
                <w:bCs/>
                <w:i w:val="0"/>
                <w:iCs w:val="0"/>
                <w:color w:val="000000"/>
                <w:kern w:val="0"/>
                <w:sz w:val="20"/>
                <w:szCs w:val="20"/>
                <w:u w:val="none"/>
                <w:lang w:val="en-US" w:eastAsia="zh-CN" w:bidi="ar"/>
              </w:rPr>
              <w:t xml:space="preserve">    </w:t>
            </w:r>
            <w:r>
              <w:rPr>
                <w:rFonts w:hint="eastAsia" w:ascii="宋体" w:hAnsi="宋体" w:eastAsia="宋体" w:cs="宋体"/>
                <w:b/>
                <w:bCs/>
                <w:i w:val="0"/>
                <w:iCs w:val="0"/>
                <w:color w:val="000000"/>
                <w:kern w:val="0"/>
                <w:sz w:val="20"/>
                <w:szCs w:val="20"/>
                <w:u w:val="none"/>
                <w:lang w:val="en-US" w:eastAsia="zh-CN" w:bidi="ar"/>
              </w:rPr>
              <w:t>目</w:t>
            </w:r>
          </w:p>
        </w:tc>
        <w:tc>
          <w:tcPr>
            <w:tcW w:w="118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2024</w:t>
            </w:r>
            <w:r>
              <w:rPr>
                <w:rFonts w:hint="eastAsia" w:ascii="宋体" w:hAnsi="宋体" w:eastAsia="宋体" w:cs="宋体"/>
                <w:b/>
                <w:bCs/>
                <w:i w:val="0"/>
                <w:iCs w:val="0"/>
                <w:color w:val="000000"/>
                <w:kern w:val="0"/>
                <w:sz w:val="20"/>
                <w:szCs w:val="20"/>
                <w:u w:val="none"/>
                <w:lang w:val="en-US" w:eastAsia="zh-CN" w:bidi="ar"/>
              </w:rPr>
              <w:t>年完成数</w:t>
            </w:r>
          </w:p>
        </w:tc>
        <w:tc>
          <w:tcPr>
            <w:tcW w:w="110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default" w:ascii="Calibri" w:hAnsi="Calibri" w:eastAsia="宋体" w:cs="Calibri"/>
                <w:b/>
                <w:bCs/>
                <w:i w:val="0"/>
                <w:iCs w:val="0"/>
                <w:color w:val="000000"/>
                <w:sz w:val="20"/>
                <w:szCs w:val="20"/>
                <w:u w:val="none"/>
              </w:rPr>
            </w:pPr>
            <w:r>
              <w:rPr>
                <w:rFonts w:hint="default" w:ascii="Calibri" w:hAnsi="Calibri" w:eastAsia="宋体" w:cs="Calibri"/>
                <w:b/>
                <w:bCs/>
                <w:i w:val="0"/>
                <w:iCs w:val="0"/>
                <w:color w:val="000000"/>
                <w:kern w:val="0"/>
                <w:sz w:val="20"/>
                <w:szCs w:val="20"/>
                <w:u w:val="none"/>
                <w:lang w:val="en-US" w:eastAsia="zh-CN" w:bidi="ar"/>
              </w:rPr>
              <w:t>2025</w:t>
            </w:r>
            <w:r>
              <w:rPr>
                <w:rFonts w:hint="eastAsia" w:ascii="宋体" w:hAnsi="宋体" w:eastAsia="宋体" w:cs="宋体"/>
                <w:b/>
                <w:bCs/>
                <w:i w:val="0"/>
                <w:iCs w:val="0"/>
                <w:color w:val="000000"/>
                <w:kern w:val="0"/>
                <w:sz w:val="20"/>
                <w:szCs w:val="20"/>
                <w:u w:val="none"/>
                <w:lang w:val="en-US" w:eastAsia="zh-CN" w:bidi="ar"/>
              </w:rPr>
              <w:t>年预算数</w:t>
            </w:r>
          </w:p>
        </w:tc>
        <w:tc>
          <w:tcPr>
            <w:tcW w:w="156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i w:val="0"/>
                <w:iCs w:val="0"/>
                <w:color w:val="000000"/>
                <w:sz w:val="20"/>
                <w:szCs w:val="20"/>
                <w:u w:val="none"/>
                <w:lang w:val="en-US"/>
              </w:rPr>
            </w:pPr>
            <w:r>
              <w:rPr>
                <w:rFonts w:hint="eastAsia" w:ascii="宋体" w:hAnsi="宋体" w:eastAsia="宋体" w:cs="宋体"/>
                <w:b/>
                <w:bCs/>
                <w:i w:val="0"/>
                <w:iCs w:val="0"/>
                <w:color w:val="000000"/>
                <w:kern w:val="0"/>
                <w:sz w:val="20"/>
                <w:szCs w:val="20"/>
                <w:u w:val="none"/>
                <w:lang w:val="en-US" w:eastAsia="zh-CN" w:bidi="ar"/>
              </w:rPr>
              <w:t>预算数为上年</w:t>
            </w:r>
            <w:r>
              <w:rPr>
                <w:rFonts w:hint="eastAsia" w:ascii="宋体" w:hAnsi="宋体" w:cs="宋体"/>
                <w:b/>
                <w:bCs/>
                <w:i w:val="0"/>
                <w:iCs w:val="0"/>
                <w:color w:val="000000"/>
                <w:kern w:val="0"/>
                <w:sz w:val="20"/>
                <w:szCs w:val="20"/>
                <w:u w:val="none"/>
                <w:lang w:val="en-US" w:eastAsia="zh-CN" w:bidi="ar"/>
              </w:rPr>
              <w:t>完成数的%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0"/>
                <w:szCs w:val="20"/>
                <w:u w:val="none"/>
              </w:rPr>
            </w:pPr>
          </w:p>
        </w:tc>
        <w:tc>
          <w:tcPr>
            <w:tcW w:w="332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0"/>
                <w:szCs w:val="20"/>
                <w:u w:val="none"/>
              </w:rPr>
            </w:pPr>
          </w:p>
        </w:tc>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Calibri" w:hAnsi="Calibri" w:eastAsia="宋体" w:cs="Calibri"/>
                <w:b/>
                <w:bCs/>
                <w:i w:val="0"/>
                <w:iCs w:val="0"/>
                <w:color w:val="000000"/>
                <w:sz w:val="20"/>
                <w:szCs w:val="20"/>
                <w:u w:val="none"/>
              </w:rPr>
            </w:pPr>
          </w:p>
        </w:tc>
        <w:tc>
          <w:tcPr>
            <w:tcW w:w="110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default" w:ascii="Calibri" w:hAnsi="Calibri" w:eastAsia="宋体" w:cs="Calibri"/>
                <w:b/>
                <w:bCs/>
                <w:i w:val="0"/>
                <w:iCs w:val="0"/>
                <w:color w:val="000000"/>
                <w:sz w:val="20"/>
                <w:szCs w:val="20"/>
                <w:u w:val="none"/>
              </w:rPr>
            </w:pPr>
          </w:p>
        </w:tc>
        <w:tc>
          <w:tcPr>
            <w:tcW w:w="156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社会保险基金收入合计</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241,174</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239,304</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99.20%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181,263</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185,811</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社会保险基金财政补贴收入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52,237</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47,180</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0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2,780</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2,805</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100.90%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一、企业职工基本养老保险基金收入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1020101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其中:企业职工基本养老保险费收入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1020102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企业职工基本养老保险基金财政补贴收入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1020103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企业职工基本养老保险基金利息收入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10211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二、机关事业基本养老保险基金收入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93,749</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98,488</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105.10%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1021101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其中:机关事业单位基本养老保险费收入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83,590</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86,422</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103.40%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0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1021102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机关事业单位基本养老保险基金财政补贴收入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8,400</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10,528</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125.30%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1021103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机关事业单位基本养老保险基金利息收入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818</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734</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89.70%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2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10210</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三、城乡居民基本养老保险基金收入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20,377</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10,882</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53.40%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1021001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其中:城乡居民基本养老保险费收入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6,085</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4,958</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81.50%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1021002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城乡居民基本养老保险基金财政补贴收入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12,852</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4,280</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33.30%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1021003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城乡居民基本养老保险基金利息收入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367</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341</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92.90%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四、职工基本医疗保险基金收入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72,969</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76,858</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105.30%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1020301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其中:职工基本医疗保险费收入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71,194</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75,007</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1020302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职工基本医疗保险基金财政补贴收入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1020303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职工基本医疗保险基金利息收入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995</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1,050</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105.50%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10212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五、城乡居民基本医疗保险基金收入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54,079</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53,076</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98.20%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1021201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其中:城乡居民基本医疗保险费收入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20,394</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19,424</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95.20%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1021202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城乡居民基本医疗保险基金财政补贴收入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30,985</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32,372</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104.50%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1021203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城乡居民基本医疗保险基金利息收入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600</w:t>
            </w: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680</w:t>
            </w: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113.30%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10204</w:t>
            </w:r>
          </w:p>
        </w:tc>
        <w:tc>
          <w:tcPr>
            <w:tcW w:w="332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六、工伤保险基金收入</w:t>
            </w:r>
          </w:p>
        </w:tc>
        <w:tc>
          <w:tcPr>
            <w:tcW w:w="118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10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56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32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21"/>
                <w:szCs w:val="21"/>
                <w:u w:val="none"/>
              </w:rPr>
            </w:pPr>
          </w:p>
        </w:tc>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1020401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其中:工伤保险费收入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1020402</w:t>
            </w:r>
          </w:p>
        </w:tc>
        <w:tc>
          <w:tcPr>
            <w:tcW w:w="3327"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工伤保险基金财政补贴收入</w:t>
            </w:r>
          </w:p>
        </w:tc>
        <w:tc>
          <w:tcPr>
            <w:tcW w:w="1185"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0" w:hRule="atLeast"/>
        </w:trPr>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21"/>
                <w:szCs w:val="21"/>
                <w:u w:val="none"/>
              </w:rPr>
            </w:pPr>
          </w:p>
        </w:tc>
        <w:tc>
          <w:tcPr>
            <w:tcW w:w="3327"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left"/>
              <w:rPr>
                <w:rFonts w:hint="eastAsia" w:ascii="宋体" w:hAnsi="宋体" w:eastAsia="宋体" w:cs="宋体"/>
                <w:i w:val="0"/>
                <w:iCs w:val="0"/>
                <w:color w:val="000000"/>
                <w:sz w:val="21"/>
                <w:szCs w:val="21"/>
                <w:u w:val="none"/>
              </w:rPr>
            </w:pPr>
          </w:p>
        </w:tc>
        <w:tc>
          <w:tcPr>
            <w:tcW w:w="1185"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1020403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420" w:firstLineChars="2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工伤保险基金利息收入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8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10202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七、失业保险基金收入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b/>
                <w:bCs/>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1020201</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 xml:space="preserve">  其中:失业保险费收入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1020202</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630" w:firstLineChars="3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失业保险财政补贴收入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0" w:hRule="atLeast"/>
        </w:trPr>
        <w:tc>
          <w:tcPr>
            <w:tcW w:w="139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1020203</w:t>
            </w:r>
          </w:p>
        </w:tc>
        <w:tc>
          <w:tcPr>
            <w:tcW w:w="3327"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widowControl/>
              <w:suppressLineNumbers w:val="0"/>
              <w:spacing w:before="0" w:beforeAutospacing="0" w:after="0" w:afterAutospacing="0"/>
              <w:ind w:left="0" w:right="0" w:firstLine="630" w:firstLineChars="300"/>
              <w:jc w:val="left"/>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失业保险利息收入</w:t>
            </w:r>
          </w:p>
        </w:tc>
        <w:tc>
          <w:tcPr>
            <w:tcW w:w="1185"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106" w:type="dxa"/>
            <w:tcBorders>
              <w:top w:val="single" w:color="000000" w:sz="4" w:space="0"/>
              <w:left w:val="single" w:color="000000" w:sz="4" w:space="0"/>
              <w:bottom w:val="single" w:color="000000" w:sz="4" w:space="0"/>
              <w:right w:val="single" w:color="000000" w:sz="4" w:space="0"/>
            </w:tcBorders>
            <w:shd w:val="clear" w:color="auto" w:fill="FFFFFF"/>
            <w:vAlign w:val="center"/>
          </w:tcPr>
          <w:p>
            <w:pPr>
              <w:keepNext w:val="0"/>
              <w:keepLines w:val="0"/>
              <w:suppressLineNumbers w:val="0"/>
              <w:spacing w:before="0" w:beforeAutospacing="0" w:after="0" w:afterAutospacing="0"/>
              <w:ind w:left="0" w:right="0"/>
              <w:jc w:val="both"/>
              <w:rPr>
                <w:rFonts w:hint="eastAsia" w:ascii="宋体" w:hAnsi="宋体" w:eastAsia="宋体" w:cs="宋体"/>
                <w:i w:val="0"/>
                <w:iCs w:val="0"/>
                <w:color w:val="000000"/>
                <w:sz w:val="21"/>
                <w:szCs w:val="21"/>
                <w:u w:val="none"/>
              </w:rPr>
            </w:pPr>
          </w:p>
        </w:tc>
        <w:tc>
          <w:tcPr>
            <w:tcW w:w="156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suppressLineNumbers w:val="0"/>
              <w:spacing w:before="0" w:beforeAutospacing="0" w:after="0" w:afterAutospacing="0"/>
              <w:ind w:left="0" w:right="0"/>
              <w:rPr>
                <w:rFonts w:hint="eastAsia" w:ascii="宋体" w:hAnsi="宋体" w:eastAsia="宋体" w:cs="宋体"/>
                <w:i w:val="0"/>
                <w:iCs w:val="0"/>
                <w:color w:val="000000"/>
                <w:sz w:val="24"/>
                <w:szCs w:val="24"/>
                <w:u w:val="none"/>
              </w:rPr>
            </w:pPr>
          </w:p>
        </w:tc>
      </w:tr>
    </w:tbl>
    <w:p>
      <w:pPr>
        <w:jc w:val="left"/>
        <w:rPr>
          <w:rFonts w:hint="eastAsia" w:ascii="Times New Roman" w:hAnsi="Times New Roman" w:cs="Times New Roman"/>
          <w:highlight w:val="none"/>
          <w:lang w:val="en-US" w:eastAsia="zh-CN"/>
        </w:rPr>
      </w:pPr>
    </w:p>
    <w:p>
      <w:pPr>
        <w:jc w:val="left"/>
        <w:rPr>
          <w:rFonts w:hint="default" w:ascii="Times New Roman" w:hAnsi="Times New Roman" w:cs="Times New Roman"/>
          <w:highlight w:val="none"/>
          <w:lang w:val="en-US" w:eastAsia="zh-Hans"/>
        </w:rPr>
      </w:pPr>
      <w:r>
        <w:rPr>
          <w:rFonts w:hint="eastAsia" w:ascii="Times New Roman" w:hAnsi="Times New Roman" w:cs="Times New Roman"/>
          <w:highlight w:val="none"/>
          <w:lang w:val="en-US" w:eastAsia="zh-CN"/>
        </w:rPr>
        <w:t xml:space="preserve"> </w:t>
      </w:r>
    </w:p>
    <w:tbl>
      <w:tblPr>
        <w:tblStyle w:val="15"/>
        <w:tblW w:w="9675" w:type="dxa"/>
        <w:tblInd w:w="-43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93"/>
        <w:gridCol w:w="4119"/>
        <w:gridCol w:w="1470"/>
        <w:gridCol w:w="1425"/>
        <w:gridCol w:w="12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06" w:hRule="atLeast"/>
        </w:trPr>
        <w:tc>
          <w:tcPr>
            <w:tcW w:w="1393" w:type="dxa"/>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表</w:t>
            </w:r>
            <w:r>
              <w:rPr>
                <w:rFonts w:hint="default" w:ascii="Times New Roman" w:hAnsi="Times New Roman" w:cs="Times New Roman"/>
                <w:szCs w:val="22"/>
                <w:highlight w:val="none"/>
                <w:lang w:eastAsia="zh-CN"/>
              </w:rPr>
              <w:t>22</w:t>
            </w:r>
          </w:p>
        </w:tc>
        <w:tc>
          <w:tcPr>
            <w:tcW w:w="4119" w:type="dxa"/>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70" w:type="dxa"/>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9675" w:type="dxa"/>
            <w:gridSpan w:val="5"/>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eastAsia" w:cs="Times New Roman"/>
                <w:b/>
                <w:bCs/>
                <w:sz w:val="32"/>
                <w:szCs w:val="32"/>
                <w:highlight w:val="none"/>
                <w:lang w:val="en-US" w:eastAsia="zh-CN"/>
              </w:rPr>
              <w:t xml:space="preserve">    2025</w:t>
            </w:r>
            <w:r>
              <w:rPr>
                <w:rFonts w:hint="default" w:ascii="Times New Roman" w:hAnsi="Times New Roman" w:cs="Times New Roman"/>
                <w:b/>
                <w:bCs/>
                <w:sz w:val="32"/>
                <w:szCs w:val="32"/>
                <w:highlight w:val="none"/>
                <w:lang w:val="en-US" w:eastAsia="zh-CN"/>
              </w:rPr>
              <w:t>年</w:t>
            </w:r>
            <w:r>
              <w:rPr>
                <w:rFonts w:hint="eastAsia" w:cs="Times New Roman"/>
                <w:b/>
                <w:bCs/>
                <w:sz w:val="32"/>
                <w:szCs w:val="32"/>
                <w:highlight w:val="none"/>
                <w:lang w:val="en-US" w:eastAsia="zh-CN"/>
              </w:rPr>
              <w:t>吐鲁番市</w:t>
            </w:r>
            <w:r>
              <w:rPr>
                <w:rFonts w:hint="default" w:ascii="Times New Roman" w:hAnsi="Times New Roman" w:cs="Times New Roman"/>
                <w:b/>
                <w:bCs/>
                <w:sz w:val="32"/>
                <w:szCs w:val="32"/>
                <w:highlight w:val="none"/>
                <w:lang w:val="en-US" w:eastAsia="zh-CN"/>
              </w:rPr>
              <w:t>社会保险基金预算支出表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3" w:hRule="atLeast"/>
        </w:trPr>
        <w:tc>
          <w:tcPr>
            <w:tcW w:w="1393" w:type="dxa"/>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4119" w:type="dxa"/>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4163" w:type="dxa"/>
            <w:gridSpan w:val="3"/>
            <w:shd w:val="clear" w:color="auto" w:fill="FFFFFF"/>
            <w:noWrap w:val="0"/>
            <w:vAlign w:val="center"/>
          </w:tcPr>
          <w:p>
            <w:pPr>
              <w:keepNext w:val="0"/>
              <w:keepLines w:val="0"/>
              <w:widowControl/>
              <w:suppressLineNumbers w:val="0"/>
              <w:spacing w:before="0" w:beforeAutospacing="0" w:after="0" w:afterAutospacing="0"/>
              <w:ind w:left="0" w:right="0" w:firstLine="2160" w:firstLineChars="1200"/>
              <w:jc w:val="right"/>
              <w:textAlignment w:val="auto"/>
              <w:rPr>
                <w:rFonts w:hint="default" w:ascii="Times New Roman" w:hAnsi="Times New Roman" w:cs="Times New Roman"/>
                <w:szCs w:val="22"/>
                <w:highlight w:val="none"/>
              </w:rPr>
            </w:pPr>
            <w:r>
              <w:rPr>
                <w:rFonts w:hint="default" w:ascii="Times New Roman" w:hAnsi="Times New Roman" w:cs="Times New Roman"/>
                <w:sz w:val="18"/>
                <w:szCs w:val="18"/>
                <w:highlight w:val="none"/>
                <w:lang w:val="en-US" w:eastAsia="zh-CN"/>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科目编码</w:t>
            </w:r>
          </w:p>
        </w:tc>
        <w:tc>
          <w:tcPr>
            <w:tcW w:w="411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项 目</w:t>
            </w:r>
          </w:p>
        </w:tc>
        <w:tc>
          <w:tcPr>
            <w:tcW w:w="147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b/>
                <w:bCs/>
                <w:szCs w:val="22"/>
                <w:highlight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w:t>
            </w: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w:t>
            </w:r>
          </w:p>
        </w:tc>
        <w:tc>
          <w:tcPr>
            <w:tcW w:w="1425"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b/>
                <w:bCs/>
                <w:szCs w:val="22"/>
                <w:highlight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年预算数</w:t>
            </w:r>
          </w:p>
        </w:tc>
        <w:tc>
          <w:tcPr>
            <w:tcW w:w="1268"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b/>
                <w:bCs/>
                <w:szCs w:val="22"/>
                <w:highlight w:val="none"/>
              </w:rPr>
            </w:pP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w:t>
            </w:r>
          </w:p>
        </w:tc>
        <w:tc>
          <w:tcPr>
            <w:tcW w:w="4119" w:type="dxa"/>
            <w:vMerge w:val="restart"/>
            <w:tcBorders>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社会保险基金支出合计</w:t>
            </w:r>
          </w:p>
        </w:tc>
        <w:tc>
          <w:tcPr>
            <w:tcW w:w="147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cs="Times New Roman"/>
                <w:b/>
                <w:bCs/>
                <w:szCs w:val="22"/>
                <w:highlight w:val="none"/>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241201</w:t>
            </w:r>
          </w:p>
        </w:tc>
        <w:tc>
          <w:tcPr>
            <w:tcW w:w="1425"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255</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136</w:t>
            </w:r>
          </w:p>
        </w:tc>
        <w:tc>
          <w:tcPr>
            <w:tcW w:w="1268"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105.7</w:t>
            </w: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7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20901</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一、企业职工基本养老保险基金支出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2090101</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其中:基本养老金</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20911</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二、机关事业基本养老保险基金支出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cs="Times New Roman"/>
                <w:b/>
                <w:bCs/>
                <w:color w:val="auto"/>
                <w:szCs w:val="22"/>
                <w:highlight w:val="none"/>
              </w:rPr>
            </w:pPr>
            <w:r>
              <w:rPr>
                <w:rFonts w:hint="eastAsia" w:ascii="Times New Roman" w:hAnsi="Times New Roman" w:eastAsia="仿宋_GB2312" w:cs="仿宋_GB2312"/>
                <w:b/>
                <w:bCs/>
                <w:i w:val="0"/>
                <w:color w:val="auto"/>
                <w:kern w:val="0"/>
                <w:sz w:val="21"/>
                <w:szCs w:val="21"/>
                <w:highlight w:val="none"/>
                <w:u w:val="none"/>
                <w:lang w:val="en-US" w:eastAsia="zh-CN" w:bidi="ar"/>
              </w:rPr>
              <w:t>104130</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114,27</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6</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109.</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7</w:t>
            </w: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2091101</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其中:基本养老金支出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cs="Times New Roman"/>
                <w:color w:val="auto"/>
                <w:szCs w:val="22"/>
                <w:highlight w:val="none"/>
              </w:rPr>
            </w:pPr>
            <w:r>
              <w:rPr>
                <w:rFonts w:hint="eastAsia" w:ascii="Times New Roman" w:hAnsi="Times New Roman" w:eastAsia="仿宋_GB2312" w:cs="仿宋_GB2312"/>
                <w:i w:val="0"/>
                <w:color w:val="auto"/>
                <w:kern w:val="0"/>
                <w:sz w:val="21"/>
                <w:szCs w:val="21"/>
                <w:highlight w:val="none"/>
                <w:u w:val="none"/>
                <w:lang w:val="en-US" w:eastAsia="zh-CN" w:bidi="ar"/>
              </w:rPr>
              <w:t>103715</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szCs w:val="22"/>
                <w:highlight w:val="none"/>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113,858</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szCs w:val="22"/>
                <w:highlight w:val="none"/>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109.</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w:t>
            </w: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20910</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三、城乡居民基本养老保险基金支出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cs="Times New Roman"/>
                <w:b/>
                <w:bCs/>
                <w:color w:val="auto"/>
                <w:szCs w:val="22"/>
                <w:highlight w:val="none"/>
              </w:rPr>
            </w:pPr>
            <w:r>
              <w:rPr>
                <w:rFonts w:hint="eastAsia" w:ascii="Times New Roman" w:hAnsi="Times New Roman" w:eastAsia="仿宋_GB2312" w:cs="仿宋_GB2312"/>
                <w:b/>
                <w:bCs/>
                <w:i w:val="0"/>
                <w:color w:val="auto"/>
                <w:kern w:val="0"/>
                <w:sz w:val="21"/>
                <w:szCs w:val="21"/>
                <w:highlight w:val="none"/>
                <w:u w:val="none"/>
                <w:lang w:val="en-US" w:eastAsia="zh-CN" w:bidi="ar"/>
              </w:rPr>
              <w:t xml:space="preserve">13130 </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15</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418</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b/>
                <w:bCs/>
                <w:szCs w:val="22"/>
                <w:highlight w:val="none"/>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117.4</w:t>
            </w: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2091001</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其中:基础养老金支出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cs="Times New Roman"/>
                <w:color w:val="auto"/>
                <w:szCs w:val="22"/>
                <w:highlight w:val="none"/>
              </w:rPr>
            </w:pPr>
            <w:r>
              <w:rPr>
                <w:rFonts w:hint="eastAsia" w:ascii="Times New Roman" w:hAnsi="Times New Roman" w:eastAsia="仿宋_GB2312" w:cs="仿宋_GB2312"/>
                <w:i w:val="0"/>
                <w:color w:val="auto"/>
                <w:kern w:val="0"/>
                <w:sz w:val="21"/>
                <w:szCs w:val="21"/>
                <w:highlight w:val="none"/>
                <w:u w:val="none"/>
                <w:lang w:val="en-US" w:eastAsia="zh-CN" w:bidi="ar"/>
              </w:rPr>
              <w:t xml:space="preserve">13042 </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szCs w:val="22"/>
                <w:highlight w:val="none"/>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15,332</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cs="Times New Roman"/>
                <w:szCs w:val="22"/>
                <w:highlight w:val="none"/>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117.</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w:t>
            </w: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20903</w:t>
            </w:r>
          </w:p>
        </w:tc>
        <w:tc>
          <w:tcPr>
            <w:tcW w:w="4119"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四、职工基本医疗保险基金支出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b/>
                <w:bCs/>
                <w:i w:val="0"/>
                <w:color w:val="auto"/>
                <w:kern w:val="0"/>
                <w:sz w:val="21"/>
                <w:szCs w:val="21"/>
                <w:highlight w:val="none"/>
                <w:u w:val="none"/>
                <w:lang w:val="en-US" w:eastAsia="zh-CN" w:bidi="ar"/>
              </w:rPr>
            </w:pPr>
            <w:r>
              <w:rPr>
                <w:rFonts w:hint="eastAsia" w:ascii="Times New Roman" w:hAnsi="Times New Roman" w:eastAsia="仿宋_GB2312" w:cs="仿宋_GB2312"/>
                <w:b/>
                <w:bCs/>
                <w:i w:val="0"/>
                <w:color w:val="auto"/>
                <w:kern w:val="0"/>
                <w:sz w:val="21"/>
                <w:szCs w:val="21"/>
                <w:highlight w:val="none"/>
                <w:u w:val="none"/>
                <w:lang w:val="en-US" w:eastAsia="zh-CN" w:bidi="ar"/>
              </w:rPr>
              <w:t>72</w:t>
            </w:r>
            <w:r>
              <w:rPr>
                <w:rFonts w:hint="default" w:ascii="Times New Roman" w:hAnsi="Times New Roman" w:eastAsia="宋体" w:cs="Times New Roman"/>
                <w:b/>
                <w:bCs/>
                <w:i w:val="0"/>
                <w:iCs w:val="0"/>
                <w:color w:val="auto"/>
                <w:kern w:val="0"/>
                <w:sz w:val="21"/>
                <w:szCs w:val="21"/>
                <w:highlight w:val="none"/>
                <w:u w:val="none"/>
                <w:lang w:val="en-US" w:eastAsia="zh-CN" w:bidi="ar"/>
              </w:rPr>
              <w:t>,</w:t>
            </w:r>
            <w:r>
              <w:rPr>
                <w:rFonts w:hint="eastAsia" w:ascii="Times New Roman" w:hAnsi="Times New Roman" w:eastAsia="仿宋_GB2312" w:cs="仿宋_GB2312"/>
                <w:b/>
                <w:bCs/>
                <w:i w:val="0"/>
                <w:color w:val="auto"/>
                <w:kern w:val="0"/>
                <w:sz w:val="21"/>
                <w:szCs w:val="21"/>
                <w:highlight w:val="none"/>
                <w:u w:val="none"/>
                <w:lang w:val="en-US" w:eastAsia="zh-CN" w:bidi="ar"/>
              </w:rPr>
              <w:t xml:space="preserve">690 </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75,027</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2090301</w:t>
            </w:r>
          </w:p>
        </w:tc>
        <w:tc>
          <w:tcPr>
            <w:tcW w:w="4119" w:type="dxa"/>
            <w:vMerge w:val="restart"/>
            <w:tcBorders>
              <w:top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其中:职工基本医疗保险统筹基金</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i w:val="0"/>
                <w:color w:val="auto"/>
                <w:kern w:val="0"/>
                <w:sz w:val="21"/>
                <w:szCs w:val="21"/>
                <w:highlight w:val="none"/>
                <w:u w:val="none"/>
                <w:lang w:val="en-US" w:eastAsia="zh-CN" w:bidi="ar"/>
              </w:rPr>
            </w:pPr>
            <w:r>
              <w:rPr>
                <w:rFonts w:hint="eastAsia" w:ascii="Times New Roman" w:hAnsi="Times New Roman" w:eastAsia="仿宋_GB2312" w:cs="仿宋_GB2312"/>
                <w:i w:val="0"/>
                <w:color w:val="auto"/>
                <w:kern w:val="0"/>
                <w:sz w:val="21"/>
                <w:szCs w:val="21"/>
                <w:highlight w:val="none"/>
                <w:u w:val="none"/>
                <w:lang w:val="en-US" w:eastAsia="zh-CN" w:bidi="ar"/>
              </w:rPr>
              <w:t>50890</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51986</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firstLine="210" w:firstLineChars="100"/>
              <w:jc w:val="left"/>
              <w:rPr>
                <w:rFonts w:hint="default" w:ascii="Times New Roman" w:hAnsi="Times New Roman" w:eastAsia="宋体" w:cs="Times New Roman"/>
                <w:color w:val="auto"/>
                <w:szCs w:val="22"/>
                <w:highlight w:val="none"/>
                <w:lang w:val="en-US" w:eastAsia="zh-CN"/>
              </w:rPr>
            </w:pPr>
            <w:r>
              <w:rPr>
                <w:rFonts w:hint="eastAsia" w:cs="Times New Roman"/>
                <w:color w:val="auto"/>
                <w:szCs w:val="22"/>
                <w:highlight w:val="none"/>
                <w:lang w:val="en-US" w:eastAsia="zh-CN"/>
              </w:rPr>
              <w:t>102.15%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4119" w:type="dxa"/>
            <w:vMerge w:val="continue"/>
            <w:tcBorders>
              <w:top w:val="single" w:color="000000" w:sz="4" w:space="0"/>
              <w:bottom w:val="single" w:color="000000"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color w:val="auto"/>
                <w:szCs w:val="22"/>
                <w:highlight w:val="yellow"/>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color w:val="FFFF00"/>
                <w:szCs w:val="22"/>
                <w:highlight w:val="yellow"/>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color w:val="auto"/>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2090302</w:t>
            </w:r>
          </w:p>
        </w:tc>
        <w:tc>
          <w:tcPr>
            <w:tcW w:w="4119" w:type="dxa"/>
            <w:vMerge w:val="restart"/>
            <w:tcBorders>
              <w:top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职工基本医疗保险个人账户基金</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firstLine="840" w:firstLineChars="400"/>
              <w:jc w:val="left"/>
              <w:rPr>
                <w:rFonts w:hint="default" w:ascii="Times New Roman" w:hAnsi="Times New Roman" w:eastAsia="宋体" w:cs="Times New Roman"/>
                <w:color w:val="auto"/>
                <w:szCs w:val="22"/>
                <w:highlight w:val="yellow"/>
                <w:lang w:val="en-US" w:eastAsia="zh-CN"/>
              </w:rPr>
            </w:pPr>
            <w:r>
              <w:rPr>
                <w:rFonts w:hint="eastAsia" w:cs="Times New Roman"/>
                <w:color w:val="auto"/>
                <w:szCs w:val="22"/>
                <w:highlight w:val="none"/>
                <w:lang w:val="en-US" w:eastAsia="zh-CN"/>
              </w:rPr>
              <w:t>21800</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FFFF00"/>
                <w:szCs w:val="22"/>
                <w:highlight w:val="yellow"/>
                <w:lang w:val="en-US" w:eastAsia="zh-CN"/>
              </w:rPr>
            </w:pPr>
            <w:r>
              <w:rPr>
                <w:rFonts w:hint="eastAsia" w:cs="Times New Roman"/>
                <w:color w:val="auto"/>
                <w:szCs w:val="22"/>
                <w:highlight w:val="none"/>
                <w:lang w:val="en-US" w:eastAsia="zh-CN"/>
              </w:rPr>
              <w:t xml:space="preserve">      23041</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firstLine="210" w:firstLineChars="100"/>
              <w:jc w:val="left"/>
              <w:rPr>
                <w:rFonts w:hint="default" w:ascii="Times New Roman" w:hAnsi="Times New Roman" w:eastAsia="宋体" w:cs="Times New Roman"/>
                <w:color w:val="auto"/>
                <w:szCs w:val="22"/>
                <w:highlight w:val="none"/>
                <w:lang w:val="en-US" w:eastAsia="zh-CN"/>
              </w:rPr>
            </w:pPr>
            <w:r>
              <w:rPr>
                <w:rFonts w:hint="eastAsia" w:cs="Times New Roman"/>
                <w:color w:val="auto"/>
                <w:szCs w:val="22"/>
                <w:highlight w:val="none"/>
                <w:lang w:val="en-US" w:eastAsia="zh-CN"/>
              </w:rPr>
              <w:t>105.69%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000000"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20912</w:t>
            </w:r>
          </w:p>
        </w:tc>
        <w:tc>
          <w:tcPr>
            <w:tcW w:w="4119"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五、城乡居民基本医疗保险基金支出</w:t>
            </w:r>
          </w:p>
        </w:tc>
        <w:tc>
          <w:tcPr>
            <w:tcW w:w="1470" w:type="dxa"/>
            <w:vMerge w:val="restart"/>
            <w:tcBorders>
              <w:top w:val="single" w:color="000000" w:sz="4" w:space="0"/>
              <w:left w:val="single" w:color="auto"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b/>
                <w:bCs/>
                <w:i w:val="0"/>
                <w:color w:val="auto"/>
                <w:kern w:val="0"/>
                <w:sz w:val="21"/>
                <w:szCs w:val="21"/>
                <w:highlight w:val="none"/>
                <w:u w:val="none"/>
                <w:lang w:val="en-US" w:eastAsia="zh-CN" w:bidi="ar"/>
              </w:rPr>
            </w:pPr>
            <w:r>
              <w:rPr>
                <w:rFonts w:hint="eastAsia" w:ascii="Times New Roman" w:hAnsi="Times New Roman" w:eastAsia="仿宋_GB2312" w:cs="仿宋_GB2312"/>
                <w:b/>
                <w:bCs/>
                <w:i w:val="0"/>
                <w:color w:val="auto"/>
                <w:kern w:val="0"/>
                <w:sz w:val="21"/>
                <w:szCs w:val="21"/>
                <w:highlight w:val="none"/>
                <w:u w:val="none"/>
                <w:lang w:val="en-US" w:eastAsia="zh-CN" w:bidi="ar"/>
              </w:rPr>
              <w:t xml:space="preserve">51251 </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50,415</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98.4%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auto"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2091201</w:t>
            </w:r>
          </w:p>
        </w:tc>
        <w:tc>
          <w:tcPr>
            <w:tcW w:w="4119"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840" w:right="0" w:hanging="840" w:hangingChars="40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其中:城乡居民基本医疗保险基金医疗待遇支出</w:t>
            </w:r>
          </w:p>
        </w:tc>
        <w:tc>
          <w:tcPr>
            <w:tcW w:w="1470" w:type="dxa"/>
            <w:vMerge w:val="restart"/>
            <w:tcBorders>
              <w:top w:val="single" w:color="000000" w:sz="4" w:space="0"/>
              <w:left w:val="single" w:color="auto"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i w:val="0"/>
                <w:color w:val="auto"/>
                <w:kern w:val="0"/>
                <w:sz w:val="21"/>
                <w:szCs w:val="21"/>
                <w:highlight w:val="none"/>
                <w:u w:val="none"/>
                <w:lang w:val="en-US" w:eastAsia="zh-CN" w:bidi="ar"/>
              </w:rPr>
            </w:pPr>
            <w:r>
              <w:rPr>
                <w:rFonts w:hint="eastAsia" w:ascii="Times New Roman" w:hAnsi="Times New Roman" w:eastAsia="仿宋_GB2312" w:cs="仿宋_GB2312"/>
                <w:i w:val="0"/>
                <w:color w:val="auto"/>
                <w:kern w:val="0"/>
                <w:sz w:val="21"/>
                <w:szCs w:val="21"/>
                <w:highlight w:val="none"/>
                <w:u w:val="none"/>
                <w:lang w:val="en-US" w:eastAsia="zh-CN" w:bidi="ar"/>
              </w:rPr>
              <w:t>44</w:t>
            </w:r>
            <w:r>
              <w:rPr>
                <w:rFonts w:hint="default" w:ascii="Times New Roman" w:hAnsi="Times New Roman" w:eastAsia="宋体" w:cs="Times New Roman"/>
                <w:i w:val="0"/>
                <w:iCs w:val="0"/>
                <w:color w:val="auto"/>
                <w:kern w:val="0"/>
                <w:sz w:val="21"/>
                <w:szCs w:val="21"/>
                <w:highlight w:val="none"/>
                <w:u w:val="none"/>
                <w:lang w:val="en-US" w:eastAsia="zh-CN" w:bidi="ar"/>
              </w:rPr>
              <w:t>,</w:t>
            </w:r>
            <w:r>
              <w:rPr>
                <w:rFonts w:hint="eastAsia" w:ascii="Times New Roman" w:hAnsi="Times New Roman" w:eastAsia="仿宋_GB2312" w:cs="仿宋_GB2312"/>
                <w:i w:val="0"/>
                <w:color w:val="auto"/>
                <w:kern w:val="0"/>
                <w:sz w:val="21"/>
                <w:szCs w:val="21"/>
                <w:highlight w:val="none"/>
                <w:u w:val="none"/>
                <w:lang w:val="en-US" w:eastAsia="zh-CN" w:bidi="ar"/>
              </w:rPr>
              <w:t>512</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44,126</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auto"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2091202</w:t>
            </w:r>
          </w:p>
        </w:tc>
        <w:tc>
          <w:tcPr>
            <w:tcW w:w="4119"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firstLine="840" w:firstLineChars="40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城乡居民大病保险支出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105" w:leftChars="50" w:right="105" w:rightChars="50"/>
              <w:jc w:val="right"/>
              <w:textAlignment w:val="center"/>
              <w:rPr>
                <w:rFonts w:hint="default" w:ascii="Times New Roman" w:hAnsi="Times New Roman" w:eastAsia="仿宋_GB2312" w:cs="仿宋_GB2312"/>
                <w:i w:val="0"/>
                <w:color w:val="auto"/>
                <w:kern w:val="0"/>
                <w:sz w:val="21"/>
                <w:szCs w:val="21"/>
                <w:highlight w:val="none"/>
                <w:u w:val="none"/>
                <w:lang w:val="en-US" w:eastAsia="zh-CN" w:bidi="ar"/>
              </w:rPr>
            </w:pPr>
            <w:r>
              <w:rPr>
                <w:rFonts w:hint="eastAsia" w:ascii="Times New Roman" w:hAnsi="Times New Roman" w:eastAsia="仿宋_GB2312" w:cs="仿宋_GB2312"/>
                <w:i w:val="0"/>
                <w:color w:val="auto"/>
                <w:kern w:val="0"/>
                <w:sz w:val="21"/>
                <w:szCs w:val="21"/>
                <w:highlight w:val="none"/>
                <w:u w:val="none"/>
                <w:lang w:val="en-US" w:eastAsia="zh-CN" w:bidi="ar"/>
              </w:rPr>
              <w:t>6</w:t>
            </w:r>
            <w:r>
              <w:rPr>
                <w:rFonts w:hint="default" w:ascii="Times New Roman" w:hAnsi="Times New Roman" w:eastAsia="宋体" w:cs="Times New Roman"/>
                <w:i w:val="0"/>
                <w:iCs w:val="0"/>
                <w:color w:val="auto"/>
                <w:kern w:val="0"/>
                <w:sz w:val="21"/>
                <w:szCs w:val="21"/>
                <w:highlight w:val="none"/>
                <w:u w:val="none"/>
                <w:lang w:val="en-US" w:eastAsia="zh-CN" w:bidi="ar"/>
              </w:rPr>
              <w:t>,</w:t>
            </w:r>
            <w:r>
              <w:rPr>
                <w:rFonts w:hint="eastAsia" w:ascii="Times New Roman" w:hAnsi="Times New Roman" w:eastAsia="仿宋_GB2312" w:cs="仿宋_GB2312"/>
                <w:i w:val="0"/>
                <w:color w:val="auto"/>
                <w:kern w:val="0"/>
                <w:sz w:val="21"/>
                <w:szCs w:val="21"/>
                <w:highlight w:val="none"/>
                <w:u w:val="none"/>
                <w:lang w:val="en-US" w:eastAsia="zh-CN" w:bidi="ar"/>
              </w:rPr>
              <w:t xml:space="preserve">267 </w:t>
            </w: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6,290</w:t>
            </w: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100.</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w:t>
            </w: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color w:val="auto"/>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20904</w:t>
            </w:r>
          </w:p>
        </w:tc>
        <w:tc>
          <w:tcPr>
            <w:tcW w:w="4119"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六、工伤保险基金支出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color w:val="auto"/>
                <w:szCs w:val="22"/>
                <w:highlight w:val="none"/>
              </w:rPr>
            </w:pP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2090401</w:t>
            </w:r>
          </w:p>
        </w:tc>
        <w:tc>
          <w:tcPr>
            <w:tcW w:w="4119"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 xml:space="preserve"> 其中:工伤保险待遇</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2" w:hRule="exac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exac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20902</w:t>
            </w:r>
          </w:p>
        </w:tc>
        <w:tc>
          <w:tcPr>
            <w:tcW w:w="4119"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b/>
                <w:bCs/>
                <w:szCs w:val="22"/>
                <w:highlight w:val="none"/>
              </w:rPr>
            </w:pPr>
            <w:r>
              <w:rPr>
                <w:rFonts w:hint="default" w:ascii="Times New Roman" w:hAnsi="Times New Roman" w:cs="Times New Roman"/>
                <w:b/>
                <w:bCs/>
                <w:szCs w:val="22"/>
                <w:highlight w:val="none"/>
                <w:lang w:val="en-US" w:eastAsia="zh-CN"/>
              </w:rPr>
              <w:t>七、失业保险基金支出</w:t>
            </w:r>
          </w:p>
        </w:tc>
        <w:tc>
          <w:tcPr>
            <w:tcW w:w="147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c>
          <w:tcPr>
            <w:tcW w:w="142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c>
          <w:tcPr>
            <w:tcW w:w="1268"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b/>
                <w:bCs/>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cs="Times New Roman"/>
                <w:szCs w:val="22"/>
                <w:highlight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cs="Times New Roman"/>
                <w:szCs w:val="22"/>
                <w:highlight w:val="none"/>
              </w:rPr>
            </w:pPr>
          </w:p>
        </w:tc>
        <w:tc>
          <w:tcPr>
            <w:tcW w:w="1470"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2090201</w:t>
            </w:r>
          </w:p>
        </w:tc>
        <w:tc>
          <w:tcPr>
            <w:tcW w:w="4119"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auto"/>
              <w:rPr>
                <w:rFonts w:hint="default" w:ascii="Times New Roman" w:hAnsi="Times New Roman" w:cs="Times New Roman"/>
                <w:szCs w:val="22"/>
                <w:highlight w:val="none"/>
              </w:rPr>
            </w:pPr>
            <w:r>
              <w:rPr>
                <w:rFonts w:hint="default" w:ascii="Times New Roman" w:hAnsi="Times New Roman" w:cs="Times New Roman"/>
                <w:szCs w:val="22"/>
                <w:highlight w:val="none"/>
                <w:lang w:val="en-US" w:eastAsia="zh-CN"/>
              </w:rPr>
              <w:t xml:space="preserve">  </w:t>
            </w:r>
            <w:r>
              <w:rPr>
                <w:rFonts w:hint="eastAsia" w:ascii="Times New Roman" w:hAnsi="Times New Roman" w:cs="Times New Roman"/>
                <w:szCs w:val="22"/>
                <w:highlight w:val="none"/>
                <w:lang w:val="en-US" w:eastAsia="zh-CN"/>
              </w:rPr>
              <w:t xml:space="preserve">  </w:t>
            </w:r>
            <w:r>
              <w:rPr>
                <w:rFonts w:hint="default" w:ascii="Times New Roman" w:hAnsi="Times New Roman" w:cs="Times New Roman"/>
                <w:szCs w:val="22"/>
                <w:highlight w:val="none"/>
                <w:lang w:val="en-US" w:eastAsia="zh-CN"/>
              </w:rPr>
              <w:t>其中:失业保险金</w:t>
            </w:r>
          </w:p>
        </w:tc>
        <w:tc>
          <w:tcPr>
            <w:tcW w:w="1470"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425"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c>
          <w:tcPr>
            <w:tcW w:w="1268"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cs="Times New Roman"/>
                <w:szCs w:val="22"/>
                <w:highlight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exact"/>
        </w:trPr>
        <w:tc>
          <w:tcPr>
            <w:tcW w:w="1393" w:type="dxa"/>
            <w:vMerge w:val="continue"/>
            <w:tcBorders>
              <w:top w:val="single" w:color="auto" w:sz="4" w:space="0"/>
              <w:left w:val="single" w:color="auto"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470"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2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68" w:type="dxa"/>
            <w:vMerge w:val="continue"/>
            <w:tcBorders>
              <w:top w:val="single" w:color="auto" w:sz="4" w:space="0"/>
              <w:left w:val="single" w:color="000000"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auto" w:sz="4" w:space="0"/>
              <w:left w:val="single" w:color="auto"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i w:val="0"/>
                <w:color w:val="000000"/>
                <w:sz w:val="20"/>
                <w:szCs w:val="20"/>
                <w:highlight w:val="none"/>
                <w:u w:val="none"/>
              </w:rPr>
            </w:pPr>
          </w:p>
        </w:tc>
        <w:tc>
          <w:tcPr>
            <w:tcW w:w="4119"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b/>
                <w:bCs/>
                <w:i w:val="0"/>
                <w:color w:val="000000"/>
                <w:sz w:val="20"/>
                <w:szCs w:val="20"/>
                <w:highlight w:val="none"/>
                <w:u w:val="none"/>
              </w:rPr>
            </w:pPr>
          </w:p>
        </w:tc>
        <w:tc>
          <w:tcPr>
            <w:tcW w:w="1470"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2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268" w:type="dxa"/>
            <w:vMerge w:val="continue"/>
            <w:tcBorders>
              <w:top w:val="single" w:color="auto" w:sz="4" w:space="0"/>
              <w:left w:val="single" w:color="000000"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675" w:type="dxa"/>
            <w:gridSpan w:val="5"/>
            <w:tcBorders>
              <w:top w:val="single" w:color="auto" w:sz="4" w:space="0"/>
              <w:left w:val="nil"/>
              <w:bottom w:val="nil"/>
              <w:right w:val="nil"/>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r>
              <w:rPr>
                <w:rFonts w:hint="eastAsia" w:ascii="Times New Roman" w:hAnsi="Times New Roman" w:cs="Times New Roman"/>
                <w:b w:val="0"/>
                <w:bCs w:val="0"/>
                <w:sz w:val="22"/>
                <w:szCs w:val="22"/>
                <w:highlight w:val="none"/>
                <w:lang w:val="en-US" w:eastAsia="zh-CN"/>
              </w:rPr>
              <w:t xml:space="preserve"> </w:t>
            </w:r>
          </w:p>
        </w:tc>
      </w:tr>
    </w:tbl>
    <w:tbl>
      <w:tblPr>
        <w:tblStyle w:val="15"/>
        <w:tblpPr w:leftFromText="180" w:rightFromText="180" w:vertAnchor="text" w:horzAnchor="page" w:tblpX="1360" w:tblpY="312"/>
        <w:tblOverlap w:val="never"/>
        <w:tblW w:w="94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93"/>
        <w:gridCol w:w="3327"/>
        <w:gridCol w:w="1620"/>
        <w:gridCol w:w="1730"/>
        <w:gridCol w:w="1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9400" w:type="dxa"/>
            <w:gridSpan w:val="5"/>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kern w:val="0"/>
                <w:sz w:val="20"/>
                <w:szCs w:val="20"/>
                <w:highlight w:val="none"/>
                <w:u w:val="none"/>
                <w:lang w:val="en-US" w:eastAsia="zh-Hans" w:bidi="ar"/>
              </w:rPr>
            </w:pPr>
            <w:r>
              <w:rPr>
                <w:rFonts w:hint="default" w:ascii="Times New Roman" w:hAnsi="Times New Roman" w:cs="Times New Roman"/>
                <w:b w:val="0"/>
                <w:bCs w:val="0"/>
                <w:i w:val="0"/>
                <w:color w:val="000000"/>
                <w:kern w:val="0"/>
                <w:sz w:val="20"/>
                <w:szCs w:val="20"/>
                <w:highlight w:val="none"/>
                <w:u w:val="none"/>
                <w:lang w:val="en-US" w:eastAsia="zh-Hans" w:bidi="ar"/>
              </w:rPr>
              <w:t>表</w:t>
            </w:r>
            <w:r>
              <w:rPr>
                <w:rFonts w:hint="default" w:ascii="Times New Roman" w:hAnsi="Times New Roman" w:cs="Times New Roman"/>
                <w:b w:val="0"/>
                <w:bCs w:val="0"/>
                <w:i w:val="0"/>
                <w:color w:val="000000"/>
                <w:kern w:val="0"/>
                <w:sz w:val="20"/>
                <w:szCs w:val="20"/>
                <w:highlight w:val="none"/>
                <w:u w:val="none"/>
                <w:lang w:eastAsia="zh-Hans" w:bidi="ar"/>
              </w:rPr>
              <w:t>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9400" w:type="dxa"/>
            <w:gridSpan w:val="5"/>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color w:val="000000"/>
                <w:kern w:val="0"/>
                <w:sz w:val="32"/>
                <w:szCs w:val="32"/>
                <w:highlight w:val="none"/>
                <w:u w:val="none"/>
                <w:lang w:val="en-US" w:eastAsia="zh-CN" w:bidi="ar"/>
              </w:rPr>
              <w:t xml:space="preserve">  2025年</w:t>
            </w:r>
            <w:r>
              <w:rPr>
                <w:rFonts w:hint="eastAsia" w:ascii="宋体" w:hAnsi="宋体" w:eastAsia="宋体" w:cs="宋体"/>
                <w:b/>
                <w:bCs/>
                <w:sz w:val="32"/>
                <w:szCs w:val="32"/>
                <w:highlight w:val="none"/>
                <w:lang w:val="en-US" w:eastAsia="zh-CN"/>
              </w:rPr>
              <w:t>吐鲁番市</w:t>
            </w:r>
            <w:r>
              <w:rPr>
                <w:rFonts w:hint="eastAsia" w:ascii="宋体" w:hAnsi="宋体" w:eastAsia="宋体" w:cs="宋体"/>
                <w:b/>
                <w:bCs/>
                <w:i w:val="0"/>
                <w:color w:val="000000"/>
                <w:kern w:val="0"/>
                <w:sz w:val="32"/>
                <w:szCs w:val="32"/>
                <w:highlight w:val="none"/>
                <w:u w:val="none"/>
                <w:lang w:val="en-US" w:eastAsia="zh-CN" w:bidi="ar"/>
              </w:rPr>
              <w:t>社会保险基金预算结余表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1393"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20"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730"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30" w:type="dxa"/>
            <w:shd w:val="clear" w:color="auto" w:fill="FFFFFF"/>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332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项 目</w:t>
            </w:r>
          </w:p>
        </w:tc>
        <w:tc>
          <w:tcPr>
            <w:tcW w:w="16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年年末累计结余预计数</w:t>
            </w: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年年末累计结余预算数</w:t>
            </w: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预算数为上年预计数的%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lang w:val="en-US"/>
              </w:rPr>
            </w:pPr>
            <w:r>
              <w:rPr>
                <w:rFonts w:hint="default" w:ascii="Times New Roman" w:hAnsi="Times New Roman" w:eastAsia="宋体" w:cs="Times New Roman"/>
                <w:b/>
                <w:bCs/>
                <w:i w:val="0"/>
                <w:color w:val="000000"/>
                <w:kern w:val="0"/>
                <w:sz w:val="20"/>
                <w:szCs w:val="20"/>
                <w:highlight w:val="none"/>
                <w:u w:val="none"/>
                <w:lang w:val="en-US" w:eastAsia="zh-CN" w:bidi="ar"/>
              </w:rPr>
              <w:t>2</w:t>
            </w:r>
            <w:r>
              <w:rPr>
                <w:rFonts w:hint="default" w:ascii="Times New Roman" w:hAnsi="Times New Roman" w:cs="Times New Roman"/>
                <w:b/>
                <w:bCs/>
                <w:i w:val="0"/>
                <w:color w:val="000000"/>
                <w:kern w:val="0"/>
                <w:sz w:val="20"/>
                <w:szCs w:val="20"/>
                <w:highlight w:val="none"/>
                <w:u w:val="none"/>
                <w:lang w:val="en-US" w:eastAsia="zh-CN" w:bidi="ar"/>
              </w:rPr>
              <w:t>3009</w:t>
            </w:r>
          </w:p>
        </w:tc>
        <w:tc>
          <w:tcPr>
            <w:tcW w:w="3327" w:type="dxa"/>
            <w:vMerge w:val="restart"/>
            <w:tcBorders>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社会保险基金</w:t>
            </w:r>
            <w:r>
              <w:rPr>
                <w:rFonts w:hint="default" w:ascii="Times New Roman" w:hAnsi="Times New Roman" w:cs="Times New Roman"/>
                <w:b/>
                <w:bCs/>
                <w:i w:val="0"/>
                <w:color w:val="000000"/>
                <w:kern w:val="0"/>
                <w:sz w:val="20"/>
                <w:szCs w:val="20"/>
                <w:highlight w:val="none"/>
                <w:u w:val="none"/>
                <w:lang w:val="en-US" w:eastAsia="zh-CN" w:bidi="ar"/>
              </w:rPr>
              <w:t>年终结余</w:t>
            </w:r>
            <w:r>
              <w:rPr>
                <w:rFonts w:hint="default" w:ascii="Times New Roman" w:hAnsi="Times New Roman" w:eastAsia="宋体" w:cs="Times New Roman"/>
                <w:b/>
                <w:bCs/>
                <w:i w:val="0"/>
                <w:color w:val="000000"/>
                <w:kern w:val="0"/>
                <w:sz w:val="20"/>
                <w:szCs w:val="20"/>
                <w:highlight w:val="none"/>
                <w:u w:val="none"/>
                <w:lang w:val="en-US" w:eastAsia="zh-CN" w:bidi="ar"/>
              </w:rPr>
              <w:t>合计</w:t>
            </w:r>
          </w:p>
        </w:tc>
        <w:tc>
          <w:tcPr>
            <w:tcW w:w="162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278065</w:t>
            </w:r>
          </w:p>
        </w:tc>
        <w:tc>
          <w:tcPr>
            <w:tcW w:w="173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290</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659</w:t>
            </w:r>
          </w:p>
        </w:tc>
        <w:tc>
          <w:tcPr>
            <w:tcW w:w="133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104.53%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62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cs="Times New Roman"/>
                <w:i w:val="0"/>
                <w:color w:val="000000"/>
                <w:kern w:val="0"/>
                <w:sz w:val="20"/>
                <w:szCs w:val="20"/>
                <w:highlight w:val="none"/>
                <w:u w:val="none"/>
                <w:lang w:val="en-US" w:eastAsia="zh-CN" w:bidi="ar"/>
              </w:rPr>
            </w:pPr>
            <w:r>
              <w:rPr>
                <w:rFonts w:hint="default" w:ascii="Times New Roman" w:hAnsi="Times New Roman" w:cs="Times New Roman"/>
                <w:i w:val="0"/>
                <w:color w:val="000000"/>
                <w:kern w:val="0"/>
                <w:sz w:val="20"/>
                <w:szCs w:val="20"/>
                <w:highlight w:val="none"/>
                <w:u w:val="none"/>
                <w:lang w:val="en-US" w:eastAsia="zh-CN" w:bidi="ar"/>
              </w:rPr>
              <w:t>2300911</w:t>
            </w:r>
          </w:p>
        </w:tc>
        <w:tc>
          <w:tcPr>
            <w:tcW w:w="332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一、企业职工基本养老保险基金</w:t>
            </w:r>
            <w:r>
              <w:rPr>
                <w:rFonts w:hint="default" w:ascii="Times New Roman" w:hAnsi="Times New Roman" w:cs="Times New Roman"/>
                <w:i w:val="0"/>
                <w:color w:val="000000"/>
                <w:kern w:val="0"/>
                <w:sz w:val="20"/>
                <w:szCs w:val="20"/>
                <w:highlight w:val="none"/>
                <w:u w:val="none"/>
                <w:lang w:val="en-US" w:eastAsia="zh-CN" w:bidi="ar"/>
              </w:rPr>
              <w:t>年终结余</w:t>
            </w:r>
          </w:p>
        </w:tc>
        <w:tc>
          <w:tcPr>
            <w:tcW w:w="162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2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2300916</w:t>
            </w:r>
          </w:p>
        </w:tc>
        <w:tc>
          <w:tcPr>
            <w:tcW w:w="332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二、机关事业基本养老保险基金</w:t>
            </w:r>
            <w:r>
              <w:rPr>
                <w:rFonts w:hint="default" w:ascii="Times New Roman" w:hAnsi="Times New Roman" w:cs="Times New Roman"/>
                <w:i w:val="0"/>
                <w:color w:val="000000"/>
                <w:kern w:val="0"/>
                <w:sz w:val="20"/>
                <w:szCs w:val="20"/>
                <w:highlight w:val="none"/>
                <w:u w:val="none"/>
                <w:lang w:val="en-US" w:eastAsia="zh-CN" w:bidi="ar"/>
              </w:rPr>
              <w:t>年终结余</w:t>
            </w:r>
          </w:p>
        </w:tc>
        <w:tc>
          <w:tcPr>
            <w:tcW w:w="162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66886</w:t>
            </w: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69</w:t>
            </w: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820 </w:t>
            </w: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104.39%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2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2300915</w:t>
            </w:r>
          </w:p>
        </w:tc>
        <w:tc>
          <w:tcPr>
            <w:tcW w:w="332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三</w:t>
            </w:r>
            <w:r>
              <w:rPr>
                <w:rFonts w:hint="default" w:ascii="Times New Roman" w:hAnsi="Times New Roman" w:eastAsia="宋体" w:cs="Times New Roman"/>
                <w:i w:val="0"/>
                <w:color w:val="000000"/>
                <w:kern w:val="0"/>
                <w:sz w:val="20"/>
                <w:szCs w:val="20"/>
                <w:highlight w:val="none"/>
                <w:u w:val="none"/>
                <w:lang w:val="en-US" w:eastAsia="zh-CN" w:bidi="ar"/>
              </w:rPr>
              <w:t>、</w:t>
            </w:r>
            <w:r>
              <w:rPr>
                <w:rFonts w:hint="default" w:ascii="Times New Roman" w:hAnsi="Times New Roman" w:cs="Times New Roman"/>
                <w:i w:val="0"/>
                <w:color w:val="000000"/>
                <w:kern w:val="0"/>
                <w:sz w:val="20"/>
                <w:szCs w:val="20"/>
                <w:highlight w:val="none"/>
                <w:u w:val="none"/>
                <w:lang w:val="en-US" w:eastAsia="zh-CN" w:bidi="ar"/>
              </w:rPr>
              <w:t>城乡居民</w:t>
            </w:r>
            <w:r>
              <w:rPr>
                <w:rFonts w:hint="default" w:ascii="Times New Roman" w:hAnsi="Times New Roman" w:eastAsia="宋体" w:cs="Times New Roman"/>
                <w:i w:val="0"/>
                <w:color w:val="000000"/>
                <w:kern w:val="0"/>
                <w:sz w:val="20"/>
                <w:szCs w:val="20"/>
                <w:highlight w:val="none"/>
                <w:u w:val="none"/>
                <w:lang w:val="en-US" w:eastAsia="zh-CN" w:bidi="ar"/>
              </w:rPr>
              <w:t>基本养老保险基金</w:t>
            </w:r>
            <w:r>
              <w:rPr>
                <w:rFonts w:hint="default" w:ascii="Times New Roman" w:hAnsi="Times New Roman" w:cs="Times New Roman"/>
                <w:i w:val="0"/>
                <w:color w:val="000000"/>
                <w:kern w:val="0"/>
                <w:sz w:val="20"/>
                <w:szCs w:val="20"/>
                <w:highlight w:val="none"/>
                <w:u w:val="none"/>
                <w:lang w:val="en-US" w:eastAsia="zh-CN" w:bidi="ar"/>
              </w:rPr>
              <w:t>年终结余</w:t>
            </w:r>
          </w:p>
        </w:tc>
        <w:tc>
          <w:tcPr>
            <w:tcW w:w="162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58506 </w:t>
            </w: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63</w:t>
            </w:r>
            <w: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674 </w:t>
            </w: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108.83%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2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2300913</w:t>
            </w:r>
          </w:p>
        </w:tc>
        <w:tc>
          <w:tcPr>
            <w:tcW w:w="332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lang w:eastAsia="zh-CN"/>
              </w:rPr>
            </w:pPr>
            <w:r>
              <w:rPr>
                <w:rFonts w:hint="default" w:ascii="Times New Roman" w:hAnsi="Times New Roman" w:cs="Times New Roman"/>
                <w:i w:val="0"/>
                <w:color w:val="000000"/>
                <w:sz w:val="20"/>
                <w:szCs w:val="20"/>
                <w:highlight w:val="none"/>
                <w:u w:val="none"/>
                <w:lang w:eastAsia="zh-CN"/>
              </w:rPr>
              <w:t>四、职工基本医疗保险基金年终结余</w:t>
            </w:r>
          </w:p>
        </w:tc>
        <w:tc>
          <w:tcPr>
            <w:tcW w:w="162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93432</w:t>
            </w: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95</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263 </w:t>
            </w: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2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cs="Times New Roman"/>
                <w:i w:val="0"/>
                <w:color w:val="000000"/>
                <w:kern w:val="0"/>
                <w:sz w:val="20"/>
                <w:szCs w:val="20"/>
                <w:highlight w:val="none"/>
                <w:u w:val="none"/>
                <w:lang w:val="en-US" w:eastAsia="zh-CN" w:bidi="ar"/>
              </w:rPr>
              <w:t>2300917</w:t>
            </w:r>
          </w:p>
        </w:tc>
        <w:tc>
          <w:tcPr>
            <w:tcW w:w="3327" w:type="dxa"/>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cs="Times New Roman"/>
                <w:i w:val="0"/>
                <w:color w:val="000000"/>
                <w:kern w:val="0"/>
                <w:sz w:val="20"/>
                <w:szCs w:val="20"/>
                <w:highlight w:val="none"/>
                <w:u w:val="none"/>
                <w:lang w:val="en-US" w:eastAsia="zh-CN" w:bidi="ar"/>
              </w:rPr>
              <w:t>五、城乡居民基本医疗保险基金年终结余</w:t>
            </w:r>
          </w:p>
        </w:tc>
        <w:tc>
          <w:tcPr>
            <w:tcW w:w="16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59241 </w:t>
            </w: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 xml:space="preserve">61902 </w:t>
            </w: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2300914</w:t>
            </w:r>
          </w:p>
        </w:tc>
        <w:tc>
          <w:tcPr>
            <w:tcW w:w="332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六</w:t>
            </w:r>
            <w:r>
              <w:rPr>
                <w:rFonts w:hint="default" w:ascii="Times New Roman" w:hAnsi="Times New Roman" w:eastAsia="宋体" w:cs="Times New Roman"/>
                <w:i w:val="0"/>
                <w:color w:val="000000"/>
                <w:kern w:val="0"/>
                <w:sz w:val="20"/>
                <w:szCs w:val="20"/>
                <w:highlight w:val="none"/>
                <w:u w:val="none"/>
                <w:lang w:val="en-US" w:eastAsia="zh-CN" w:bidi="ar"/>
              </w:rPr>
              <w:t>、</w:t>
            </w:r>
            <w:r>
              <w:rPr>
                <w:rFonts w:hint="default" w:ascii="Times New Roman" w:hAnsi="Times New Roman" w:cs="Times New Roman"/>
                <w:i w:val="0"/>
                <w:color w:val="000000"/>
                <w:kern w:val="0"/>
                <w:sz w:val="20"/>
                <w:szCs w:val="20"/>
                <w:highlight w:val="none"/>
                <w:u w:val="none"/>
                <w:lang w:val="en-US" w:eastAsia="zh-CN" w:bidi="ar"/>
              </w:rPr>
              <w:t>工伤保险基金年终结余</w:t>
            </w:r>
          </w:p>
        </w:tc>
        <w:tc>
          <w:tcPr>
            <w:tcW w:w="162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2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2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2300912</w:t>
            </w:r>
          </w:p>
        </w:tc>
        <w:tc>
          <w:tcPr>
            <w:tcW w:w="3327" w:type="dxa"/>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lang w:eastAsia="zh-CN"/>
              </w:rPr>
            </w:pPr>
            <w:r>
              <w:rPr>
                <w:rFonts w:hint="default" w:ascii="Times New Roman" w:hAnsi="Times New Roman" w:cs="Times New Roman"/>
                <w:i w:val="0"/>
                <w:color w:val="000000"/>
                <w:sz w:val="20"/>
                <w:szCs w:val="20"/>
                <w:highlight w:val="none"/>
                <w:u w:val="none"/>
                <w:lang w:eastAsia="zh-CN"/>
              </w:rPr>
              <w:t>七、失业保险基金年终结余</w:t>
            </w:r>
          </w:p>
        </w:tc>
        <w:tc>
          <w:tcPr>
            <w:tcW w:w="162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bl>
    <w:p>
      <w:pPr>
        <w:jc w:val="both"/>
        <w:rPr>
          <w:rFonts w:hint="default" w:ascii="Times New Roman" w:hAnsi="Times New Roman" w:cs="Times New Roman"/>
          <w:b w:val="0"/>
          <w:bCs w:val="0"/>
          <w:sz w:val="22"/>
          <w:szCs w:val="22"/>
          <w:highlight w:val="none"/>
          <w:lang w:val="en-US" w:eastAsia="zh-Hans"/>
        </w:rPr>
      </w:pPr>
    </w:p>
    <w:tbl>
      <w:tblPr>
        <w:tblStyle w:val="15"/>
        <w:tblpPr w:leftFromText="180" w:rightFromText="180" w:vertAnchor="text" w:horzAnchor="page" w:tblpX="1267" w:tblpY="6"/>
        <w:tblOverlap w:val="never"/>
        <w:tblW w:w="92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
        <w:gridCol w:w="4030"/>
        <w:gridCol w:w="1395"/>
        <w:gridCol w:w="1461"/>
        <w:gridCol w:w="144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944" w:type="dxa"/>
            <w:noWrap w:val="0"/>
            <w:vAlign w:val="center"/>
          </w:tcPr>
          <w:p>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b w:val="0"/>
                <w:bCs w:val="0"/>
                <w:sz w:val="22"/>
                <w:szCs w:val="22"/>
                <w:highlight w:val="none"/>
                <w:lang w:val="en-US" w:eastAsia="zh-CN"/>
              </w:rPr>
            </w:pPr>
            <w:r>
              <w:rPr>
                <w:rFonts w:hint="eastAsia" w:ascii="Times New Roman" w:hAnsi="Times New Roman" w:cs="Times New Roman"/>
                <w:b w:val="0"/>
                <w:bCs w:val="0"/>
                <w:sz w:val="22"/>
                <w:szCs w:val="22"/>
                <w:highlight w:val="none"/>
                <w:lang w:val="en-US" w:eastAsia="zh-CN"/>
              </w:rPr>
              <w:t xml:space="preserve"> </w:t>
            </w:r>
          </w:p>
          <w:p>
            <w:pPr>
              <w:keepNext w:val="0"/>
              <w:keepLines w:val="0"/>
              <w:widowControl/>
              <w:suppressLineNumbers w:val="0"/>
              <w:spacing w:before="0" w:beforeAutospacing="0" w:after="0" w:afterAutospacing="0"/>
              <w:ind w:left="0" w:right="0"/>
              <w:jc w:val="left"/>
              <w:textAlignment w:val="center"/>
              <w:rPr>
                <w:rFonts w:hint="eastAsia" w:ascii="Times New Roman" w:hAnsi="Times New Roman" w:cs="Times New Roman"/>
                <w:b w:val="0"/>
                <w:bCs w:val="0"/>
                <w:sz w:val="22"/>
                <w:szCs w:val="22"/>
                <w:highlight w:val="none"/>
                <w:lang w:val="en-US" w:eastAsia="zh-CN"/>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表2</w:t>
            </w:r>
            <w:r>
              <w:rPr>
                <w:rFonts w:hint="default" w:ascii="Times New Roman" w:hAnsi="Times New Roman" w:cs="Times New Roman"/>
                <w:i w:val="0"/>
                <w:color w:val="000000"/>
                <w:kern w:val="0"/>
                <w:sz w:val="20"/>
                <w:szCs w:val="20"/>
                <w:highlight w:val="none"/>
                <w:u w:val="none"/>
                <w:lang w:eastAsia="zh-CN" w:bidi="ar"/>
              </w:rPr>
              <w:t>4</w:t>
            </w:r>
          </w:p>
        </w:tc>
        <w:tc>
          <w:tcPr>
            <w:tcW w:w="403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395"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461"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44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1" w:hRule="atLeast"/>
        </w:trPr>
        <w:tc>
          <w:tcPr>
            <w:tcW w:w="9270" w:type="dxa"/>
            <w:gridSpan w:val="5"/>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bCs w:val="0"/>
                <w:i w:val="0"/>
                <w:color w:val="000000"/>
                <w:kern w:val="0"/>
                <w:sz w:val="32"/>
                <w:szCs w:val="32"/>
                <w:highlight w:val="none"/>
                <w:u w:val="none"/>
                <w:lang w:val="en-US" w:eastAsia="zh-CN" w:bidi="ar"/>
              </w:rPr>
              <w:t xml:space="preserve">   2025</w:t>
            </w:r>
            <w:r>
              <w:rPr>
                <w:rFonts w:hint="default" w:ascii="Times New Roman" w:hAnsi="Times New Roman" w:eastAsia="宋体" w:cs="Times New Roman"/>
                <w:b/>
                <w:bCs w:val="0"/>
                <w:i w:val="0"/>
                <w:color w:val="000000"/>
                <w:kern w:val="0"/>
                <w:sz w:val="32"/>
                <w:szCs w:val="32"/>
                <w:highlight w:val="none"/>
                <w:u w:val="none"/>
                <w:lang w:val="en-US" w:eastAsia="zh-CN" w:bidi="ar"/>
              </w:rPr>
              <w:t>年</w:t>
            </w:r>
            <w:r>
              <w:rPr>
                <w:rFonts w:hint="eastAsia" w:cs="Times New Roman"/>
                <w:b/>
                <w:bCs w:val="0"/>
                <w:i w:val="0"/>
                <w:color w:val="000000"/>
                <w:kern w:val="0"/>
                <w:sz w:val="32"/>
                <w:szCs w:val="32"/>
                <w:highlight w:val="none"/>
                <w:u w:val="none"/>
                <w:lang w:val="en-US" w:eastAsia="zh-CN" w:bidi="ar"/>
              </w:rPr>
              <w:t>吐鲁番市</w:t>
            </w:r>
            <w:r>
              <w:rPr>
                <w:rFonts w:hint="default" w:ascii="Times New Roman" w:hAnsi="Times New Roman" w:eastAsia="宋体" w:cs="Times New Roman"/>
                <w:b/>
                <w:bCs w:val="0"/>
                <w:i w:val="0"/>
                <w:color w:val="000000"/>
                <w:kern w:val="0"/>
                <w:sz w:val="32"/>
                <w:szCs w:val="32"/>
                <w:highlight w:val="none"/>
                <w:u w:val="none"/>
                <w:lang w:val="en-US" w:eastAsia="zh-CN" w:bidi="ar"/>
              </w:rPr>
              <w:t>本级社会保险基金预算收入表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trPr>
        <w:tc>
          <w:tcPr>
            <w:tcW w:w="944"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95"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61"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40" w:type="dxa"/>
            <w:shd w:val="clear" w:color="auto" w:fill="FFFFFF"/>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944"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4030" w:type="dxa"/>
            <w:tcBorders>
              <w:top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项</w:t>
            </w:r>
            <w:r>
              <w:rPr>
                <w:rFonts w:hint="eastAsia" w:ascii="Times New Roman" w:hAnsi="Times New Roman" w:cs="Times New Roman"/>
                <w:b/>
                <w:bCs/>
                <w:i w:val="0"/>
                <w:color w:val="000000"/>
                <w:kern w:val="0"/>
                <w:sz w:val="20"/>
                <w:szCs w:val="20"/>
                <w:highlight w:val="none"/>
                <w:u w:val="none"/>
                <w:lang w:val="en-US" w:eastAsia="zh-CN" w:bidi="ar"/>
              </w:rPr>
              <w:t xml:space="preserve">    </w:t>
            </w:r>
            <w:r>
              <w:rPr>
                <w:rFonts w:hint="default" w:ascii="Times New Roman" w:hAnsi="Times New Roman" w:eastAsia="宋体" w:cs="Times New Roman"/>
                <w:b/>
                <w:bCs/>
                <w:i w:val="0"/>
                <w:color w:val="000000"/>
                <w:kern w:val="0"/>
                <w:sz w:val="20"/>
                <w:szCs w:val="20"/>
                <w:highlight w:val="none"/>
                <w:u w:val="none"/>
                <w:lang w:val="en-US" w:eastAsia="zh-CN" w:bidi="ar"/>
              </w:rPr>
              <w:t>目</w:t>
            </w:r>
          </w:p>
        </w:tc>
        <w:tc>
          <w:tcPr>
            <w:tcW w:w="1395"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w:t>
            </w: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w:t>
            </w:r>
          </w:p>
        </w:tc>
        <w:tc>
          <w:tcPr>
            <w:tcW w:w="1461"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年预算数</w:t>
            </w:r>
          </w:p>
        </w:tc>
        <w:tc>
          <w:tcPr>
            <w:tcW w:w="1440"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w:t>
            </w:r>
          </w:p>
        </w:tc>
        <w:tc>
          <w:tcPr>
            <w:tcW w:w="40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社会保险基金收入合计</w:t>
            </w:r>
          </w:p>
        </w:tc>
        <w:tc>
          <w:tcPr>
            <w:tcW w:w="1395"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147,690</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151,318</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102.</w:t>
            </w:r>
            <w:r>
              <w:rPr>
                <w:rFonts w:hint="eastAsia" w:ascii="Times New Roman" w:hAnsi="Times New Roman" w:cs="Times New Roman"/>
                <w:b/>
                <w:bCs/>
                <w:i w:val="0"/>
                <w:iCs w:val="0"/>
                <w:color w:val="000000" w:themeColor="text1"/>
                <w:kern w:val="0"/>
                <w:sz w:val="21"/>
                <w:szCs w:val="21"/>
                <w:highlight w:val="none"/>
                <w:u w:val="none"/>
                <w:lang w:val="en-US" w:eastAsia="zh-CN" w:bidi="ar"/>
                <w14:textFill>
                  <w14:solidFill>
                    <w14:schemeClr w14:val="tx1"/>
                  </w14:solidFill>
                </w14:textFill>
              </w:rPr>
              <w:t>5</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p>
        </w:tc>
        <w:tc>
          <w:tcPr>
            <w:tcW w:w="4030" w:type="dxa"/>
            <w:vMerge w:val="restart"/>
            <w:tcBorders>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106</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426</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110</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020</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103.</w:t>
            </w:r>
            <w:r>
              <w:rPr>
                <w:rFonts w:hint="eastAsia" w:ascii="Times New Roman" w:hAnsi="Times New Roman" w:cs="Times New Roman"/>
                <w:b/>
                <w:bCs/>
                <w:i w:val="0"/>
                <w:iCs w:val="0"/>
                <w:color w:val="000000" w:themeColor="text1"/>
                <w:kern w:val="0"/>
                <w:sz w:val="21"/>
                <w:szCs w:val="21"/>
                <w:highlight w:val="none"/>
                <w:u w:val="none"/>
                <w:lang w:val="en-US" w:eastAsia="zh-CN" w:bidi="ar"/>
                <w14:textFill>
                  <w14:solidFill>
                    <w14:schemeClr w14:val="tx1"/>
                  </w14:solidFill>
                </w14:textFill>
              </w:rPr>
              <w:t>4</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社会保险基金财政补贴收入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36</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385</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37</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772</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利息</w:t>
            </w:r>
            <w:r>
              <w:rPr>
                <w:rFonts w:hint="default" w:ascii="Times New Roman" w:hAnsi="Times New Roman" w:eastAsia="宋体" w:cs="Times New Roman"/>
                <w:i w:val="0"/>
                <w:color w:val="000000"/>
                <w:kern w:val="0"/>
                <w:sz w:val="20"/>
                <w:szCs w:val="20"/>
                <w:highlight w:val="none"/>
                <w:u w:val="none"/>
                <w:lang w:val="en-US" w:eastAsia="zh-CN" w:bidi="ar"/>
              </w:rPr>
              <w:t>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725</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866</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108.</w:t>
            </w:r>
            <w:r>
              <w:rPr>
                <w:rFonts w:hint="eastAsia" w:ascii="Times New Roman" w:hAnsi="Times New Roman" w:cs="Times New Roman"/>
                <w:b/>
                <w:bCs/>
                <w:i w:val="0"/>
                <w:iCs w:val="0"/>
                <w:color w:val="000000" w:themeColor="text1"/>
                <w:kern w:val="0"/>
                <w:sz w:val="21"/>
                <w:szCs w:val="21"/>
                <w:highlight w:val="none"/>
                <w:u w:val="none"/>
                <w:lang w:val="en-US" w:eastAsia="zh-CN" w:bidi="ar"/>
                <w14:textFill>
                  <w14:solidFill>
                    <w14:schemeClr w14:val="tx1"/>
                  </w14:solidFill>
                </w14:textFill>
              </w:rPr>
              <w:t>2</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一、企业职工基本养老保险基金收入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1020101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其中:企业职工基本养老保险费收入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102010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企业职工基本养老保险基金财政补贴收入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102010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企业职工基本养老保险基金利息收入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10211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二、机关事业基本养老保险基金收入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20,642</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21,385</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103.60%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1021101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其中:机关事业单位基本养老保险费收入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14</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838</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15,589</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105.06%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102110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399" w:leftChars="190" w:right="0" w:firstLine="0" w:firstLineChars="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机关事业单位基本养老保险基金财政补贴收入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5</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400</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5,400</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100.00%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102110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机关事业单位基本养老保险基金利息收入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130</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136</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104.62%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10210</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三、城乡居民基本养老保险基金收入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1021001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其中:城乡居民基本养老保险费收入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102100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城乡居民基本养老保险基金财政补贴收入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102100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 xml:space="preserve"> 城乡居民基本养老保险基金利息收入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10203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四、职工基本医疗保险基金收入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2"/>
                <w:sz w:val="21"/>
                <w:szCs w:val="21"/>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72,969</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2"/>
                <w:sz w:val="21"/>
                <w:szCs w:val="21"/>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76,857</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b/>
                <w:bCs/>
                <w:i w:val="0"/>
                <w:color w:val="000000" w:themeColor="text1"/>
                <w:kern w:val="2"/>
                <w:sz w:val="21"/>
                <w:szCs w:val="21"/>
                <w:highlight w:val="none"/>
                <w:u w:val="no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105.33%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1020301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其中:职工基本医疗保险费收入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71</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194</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75,007</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105.36%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102030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职工基本医疗保险基金财政补贴收入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102030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职工基本医疗保险基金利息收入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995</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050</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105.53%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10212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五、城乡居民基本医疗保险基金收入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54,079</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53,076</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98.15%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1021201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其中:城乡居民基本医疗保险费收入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20</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394</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19,424</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95.24%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102120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城乡居民基本医疗保险基金财政补贴收入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eastAsia="宋体"/>
                <w:szCs w:val="22"/>
                <w:lang w:val="en-US" w:eastAsia="zh-CN"/>
              </w:rPr>
            </w:pPr>
            <w:r>
              <w:rPr>
                <w:rFonts w:hint="eastAsia"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30985</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32,372</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104.48%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102120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城乡居民基本医疗保险基金利息收入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600</w:t>
            </w: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680</w:t>
            </w: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113.33%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10204</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六、工伤保险基金收入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1020401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其中:工伤保险费收入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102040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eastAsia"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工伤保险基金财政补贴收入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102040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eastAsia"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工伤保险基金利息收入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10202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七、失业保险基金收入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1020201</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eastAsia"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eastAsia="宋体" w:cs="Times New Roman"/>
                <w:i w:val="0"/>
                <w:color w:val="000000"/>
                <w:kern w:val="0"/>
                <w:sz w:val="20"/>
                <w:szCs w:val="20"/>
                <w:highlight w:val="none"/>
                <w:u w:val="none"/>
                <w:lang w:val="en-US" w:eastAsia="zh-CN" w:bidi="ar"/>
              </w:rPr>
              <w:t xml:space="preserve"> 其中:</w:t>
            </w:r>
            <w:r>
              <w:rPr>
                <w:rFonts w:hint="default" w:ascii="Times New Roman" w:hAnsi="Times New Roman" w:cs="Times New Roman"/>
                <w:i w:val="0"/>
                <w:color w:val="000000"/>
                <w:kern w:val="0"/>
                <w:sz w:val="20"/>
                <w:szCs w:val="20"/>
                <w:highlight w:val="none"/>
                <w:u w:val="none"/>
                <w:lang w:val="en-US" w:eastAsia="zh-CN" w:bidi="ar"/>
              </w:rPr>
              <w:t>失业</w:t>
            </w:r>
            <w:r>
              <w:rPr>
                <w:rFonts w:hint="default" w:ascii="Times New Roman" w:hAnsi="Times New Roman" w:eastAsia="宋体" w:cs="Times New Roman"/>
                <w:i w:val="0"/>
                <w:color w:val="000000"/>
                <w:kern w:val="0"/>
                <w:sz w:val="20"/>
                <w:szCs w:val="20"/>
                <w:highlight w:val="none"/>
                <w:u w:val="none"/>
                <w:lang w:val="en-US" w:eastAsia="zh-CN" w:bidi="ar"/>
              </w:rPr>
              <w:t>保险费收入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102020</w:t>
            </w:r>
            <w:r>
              <w:rPr>
                <w:rFonts w:hint="default" w:ascii="Times New Roman" w:hAnsi="Times New Roman" w:cs="Times New Roman"/>
                <w:i w:val="0"/>
                <w:color w:val="000000"/>
                <w:kern w:val="0"/>
                <w:sz w:val="20"/>
                <w:szCs w:val="20"/>
                <w:highlight w:val="none"/>
                <w:u w:val="none"/>
                <w:lang w:val="en-US" w:eastAsia="zh-CN" w:bidi="ar"/>
              </w:rPr>
              <w:t>2</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eastAsia"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失业保险</w:t>
            </w:r>
            <w:r>
              <w:rPr>
                <w:rFonts w:hint="default" w:ascii="Times New Roman" w:hAnsi="Times New Roman" w:eastAsia="宋体" w:cs="Times New Roman"/>
                <w:i w:val="0"/>
                <w:color w:val="000000"/>
                <w:kern w:val="0"/>
                <w:sz w:val="20"/>
                <w:szCs w:val="20"/>
                <w:highlight w:val="none"/>
                <w:u w:val="none"/>
                <w:lang w:val="en-US" w:eastAsia="zh-CN" w:bidi="ar"/>
              </w:rPr>
              <w:t>财政补贴收入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102020</w:t>
            </w:r>
            <w:r>
              <w:rPr>
                <w:rFonts w:hint="default" w:ascii="Times New Roman" w:hAnsi="Times New Roman" w:cs="Times New Roman"/>
                <w:i w:val="0"/>
                <w:color w:val="000000"/>
                <w:kern w:val="0"/>
                <w:sz w:val="20"/>
                <w:szCs w:val="20"/>
                <w:highlight w:val="none"/>
                <w:u w:val="none"/>
                <w:lang w:val="en-US" w:eastAsia="zh-CN" w:bidi="ar"/>
              </w:rPr>
              <w:t>3</w:t>
            </w:r>
          </w:p>
        </w:tc>
        <w:tc>
          <w:tcPr>
            <w:tcW w:w="4030"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w:t>
            </w:r>
            <w:r>
              <w:rPr>
                <w:rFonts w:hint="eastAsia" w:ascii="Times New Roman" w:hAnsi="Times New Roman" w:cs="Times New Roman"/>
                <w:i w:val="0"/>
                <w:color w:val="000000"/>
                <w:kern w:val="0"/>
                <w:sz w:val="20"/>
                <w:szCs w:val="20"/>
                <w:highlight w:val="none"/>
                <w:u w:val="none"/>
                <w:lang w:val="en-US" w:eastAsia="zh-CN" w:bidi="ar"/>
              </w:rPr>
              <w:t xml:space="preserve">  </w:t>
            </w:r>
            <w:r>
              <w:rPr>
                <w:rFonts w:hint="default" w:ascii="Times New Roman" w:hAnsi="Times New Roman" w:cs="Times New Roman"/>
                <w:i w:val="0"/>
                <w:color w:val="000000"/>
                <w:kern w:val="0"/>
                <w:sz w:val="20"/>
                <w:szCs w:val="20"/>
                <w:highlight w:val="none"/>
                <w:u w:val="none"/>
                <w:lang w:val="en-US" w:eastAsia="zh-CN" w:bidi="ar"/>
              </w:rPr>
              <w:t>失业保险</w:t>
            </w:r>
            <w:r>
              <w:rPr>
                <w:rFonts w:hint="default" w:ascii="Times New Roman" w:hAnsi="Times New Roman" w:eastAsia="宋体" w:cs="Times New Roman"/>
                <w:i w:val="0"/>
                <w:color w:val="000000"/>
                <w:kern w:val="0"/>
                <w:sz w:val="20"/>
                <w:szCs w:val="20"/>
                <w:highlight w:val="none"/>
                <w:u w:val="none"/>
                <w:lang w:val="en-US" w:eastAsia="zh-CN" w:bidi="ar"/>
              </w:rPr>
              <w:t>利息收入</w:t>
            </w:r>
          </w:p>
        </w:tc>
        <w:tc>
          <w:tcPr>
            <w:tcW w:w="139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94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4030"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9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1"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bl>
    <w:p>
      <w:pPr>
        <w:jc w:val="both"/>
        <w:rPr>
          <w:rFonts w:hint="default" w:ascii="Times New Roman" w:hAnsi="Times New Roman" w:cs="Times New Roman"/>
          <w:b w:val="0"/>
          <w:bCs w:val="0"/>
          <w:sz w:val="22"/>
          <w:szCs w:val="22"/>
          <w:highlight w:val="none"/>
          <w:lang w:val="en-US" w:eastAsia="zh-Hans"/>
        </w:rPr>
      </w:pPr>
      <w:r>
        <w:rPr>
          <w:rFonts w:hint="eastAsia" w:ascii="Times New Roman" w:hAnsi="Times New Roman" w:cs="Times New Roman"/>
          <w:b w:val="0"/>
          <w:bCs w:val="0"/>
          <w:sz w:val="22"/>
          <w:szCs w:val="22"/>
          <w:highlight w:val="none"/>
          <w:lang w:val="en-US" w:eastAsia="zh-CN"/>
        </w:rPr>
        <w:t xml:space="preserve"> </w:t>
      </w:r>
    </w:p>
    <w:p>
      <w:pPr>
        <w:jc w:val="both"/>
        <w:rPr>
          <w:rFonts w:hint="default" w:ascii="Times New Roman" w:hAnsi="Times New Roman" w:cs="Times New Roman"/>
          <w:b w:val="0"/>
          <w:bCs w:val="0"/>
          <w:sz w:val="22"/>
          <w:szCs w:val="22"/>
          <w:highlight w:val="none"/>
          <w:lang w:val="en-US" w:eastAsia="zh-Hans"/>
        </w:rPr>
      </w:pPr>
      <w:r>
        <w:rPr>
          <w:rFonts w:hint="eastAsia" w:ascii="Times New Roman" w:hAnsi="Times New Roman" w:cs="Times New Roman"/>
          <w:b w:val="0"/>
          <w:bCs w:val="0"/>
          <w:sz w:val="22"/>
          <w:szCs w:val="22"/>
          <w:highlight w:val="none"/>
          <w:lang w:val="en-US" w:eastAsia="zh-CN"/>
        </w:rPr>
        <w:t xml:space="preserve"> </w:t>
      </w:r>
    </w:p>
    <w:tbl>
      <w:tblPr>
        <w:tblStyle w:val="15"/>
        <w:tblW w:w="9197" w:type="dxa"/>
        <w:tblInd w:w="-3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139"/>
        <w:gridCol w:w="3306"/>
        <w:gridCol w:w="1693"/>
        <w:gridCol w:w="1594"/>
        <w:gridCol w:w="14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6" w:hRule="atLeast"/>
        </w:trPr>
        <w:tc>
          <w:tcPr>
            <w:tcW w:w="1139" w:type="dxa"/>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表2</w:t>
            </w:r>
            <w:r>
              <w:rPr>
                <w:rFonts w:hint="default" w:ascii="Times New Roman" w:hAnsi="Times New Roman" w:cs="Times New Roman"/>
                <w:i w:val="0"/>
                <w:color w:val="000000"/>
                <w:kern w:val="0"/>
                <w:sz w:val="20"/>
                <w:szCs w:val="20"/>
                <w:highlight w:val="none"/>
                <w:u w:val="none"/>
                <w:lang w:eastAsia="zh-CN" w:bidi="ar"/>
              </w:rPr>
              <w:t>5</w:t>
            </w:r>
          </w:p>
        </w:tc>
        <w:tc>
          <w:tcPr>
            <w:tcW w:w="3306"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69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594"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c>
          <w:tcPr>
            <w:tcW w:w="1465"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4"/>
                <w:szCs w:val="24"/>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8" w:hRule="atLeast"/>
        </w:trPr>
        <w:tc>
          <w:tcPr>
            <w:tcW w:w="9197" w:type="dxa"/>
            <w:gridSpan w:val="5"/>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32"/>
                <w:szCs w:val="32"/>
                <w:highlight w:val="none"/>
                <w:u w:val="none"/>
                <w:lang w:val="en-US" w:eastAsia="zh-CN" w:bidi="ar"/>
              </w:rPr>
              <w:t xml:space="preserve"> 2025</w:t>
            </w:r>
            <w:r>
              <w:rPr>
                <w:rFonts w:hint="default" w:ascii="Times New Roman" w:hAnsi="Times New Roman" w:eastAsia="宋体" w:cs="Times New Roman"/>
                <w:b/>
                <w:i w:val="0"/>
                <w:color w:val="000000"/>
                <w:kern w:val="0"/>
                <w:sz w:val="32"/>
                <w:szCs w:val="32"/>
                <w:highlight w:val="none"/>
                <w:u w:val="none"/>
                <w:lang w:val="en-US" w:eastAsia="zh-CN" w:bidi="ar"/>
              </w:rPr>
              <w:t>年</w:t>
            </w:r>
            <w:r>
              <w:rPr>
                <w:rFonts w:hint="eastAsia" w:cs="Times New Roman"/>
                <w:b/>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本级社会保险基金预算支出表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6" w:hRule="atLeast"/>
        </w:trPr>
        <w:tc>
          <w:tcPr>
            <w:tcW w:w="1139"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693"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594" w:type="dxa"/>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65" w:type="dxa"/>
            <w:shd w:val="clear" w:color="auto" w:fill="FFFFFF"/>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6" w:hRule="atLeast"/>
        </w:trPr>
        <w:tc>
          <w:tcPr>
            <w:tcW w:w="1139"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3306" w:type="dxa"/>
            <w:tcBorders>
              <w:top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项 目</w:t>
            </w:r>
          </w:p>
        </w:tc>
        <w:tc>
          <w:tcPr>
            <w:tcW w:w="1693"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w:t>
            </w: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w:t>
            </w:r>
          </w:p>
        </w:tc>
        <w:tc>
          <w:tcPr>
            <w:tcW w:w="1594"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年预算数</w:t>
            </w:r>
          </w:p>
        </w:tc>
        <w:tc>
          <w:tcPr>
            <w:tcW w:w="1465" w:type="dxa"/>
            <w:tcBorders>
              <w:top w:val="single" w:color="000000" w:sz="4" w:space="0"/>
              <w:left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Hans" w:bidi="ar"/>
              </w:rPr>
              <w:t>完成</w:t>
            </w:r>
            <w:r>
              <w:rPr>
                <w:rFonts w:hint="default" w:ascii="Times New Roman" w:hAnsi="Times New Roman" w:eastAsia="宋体" w:cs="Times New Roman"/>
                <w:b/>
                <w:bCs/>
                <w:i w:val="0"/>
                <w:color w:val="000000"/>
                <w:kern w:val="0"/>
                <w:sz w:val="20"/>
                <w:szCs w:val="20"/>
                <w:highlight w:val="none"/>
                <w:u w:val="none"/>
                <w:lang w:val="en-US" w:eastAsia="zh-CN" w:bidi="ar"/>
              </w:rPr>
              <w:t>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社会保险基金支出合计</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lang w:val="en-US"/>
              </w:rPr>
            </w:pPr>
            <w:r>
              <w:rPr>
                <w:rFonts w:hint="eastAsia" w:ascii="Times New Roman" w:hAnsi="Times New Roman" w:cs="Times New Roman"/>
                <w:b/>
                <w:bCs/>
                <w:i w:val="0"/>
                <w:iCs w:val="0"/>
                <w:color w:val="000000" w:themeColor="text1"/>
                <w:kern w:val="0"/>
                <w:sz w:val="21"/>
                <w:szCs w:val="21"/>
                <w:highlight w:val="none"/>
                <w:u w:val="none"/>
                <w:lang w:val="en-US" w:eastAsia="zh-CN" w:bidi="ar"/>
                <w14:textFill>
                  <w14:solidFill>
                    <w14:schemeClr w14:val="tx1"/>
                  </w14:solidFill>
                </w14:textFill>
              </w:rPr>
              <w:t>147468</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151,450</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20901</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一、企业职工基本养老保险基金支出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2090101</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其中:基本养老金</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20911</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二、机关事业基本养老保险基金支出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23,527</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26,008</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110.</w:t>
            </w:r>
            <w:r>
              <w:rPr>
                <w:rFonts w:hint="eastAsia"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6</w:t>
            </w: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2091101</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其中:基本养老金支出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23</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443</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25,917</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110.</w:t>
            </w:r>
            <w:r>
              <w:rPr>
                <w:rFonts w:hint="eastAsia"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6</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20910</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三、城乡居民基本养老保险基金支出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2091001</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其中:基</w:t>
            </w:r>
            <w:r>
              <w:rPr>
                <w:rFonts w:hint="default" w:ascii="Times New Roman" w:hAnsi="Times New Roman" w:cs="Times New Roman"/>
                <w:i w:val="0"/>
                <w:color w:val="000000"/>
                <w:kern w:val="0"/>
                <w:sz w:val="20"/>
                <w:szCs w:val="20"/>
                <w:highlight w:val="none"/>
                <w:u w:val="none"/>
                <w:lang w:val="en-US" w:eastAsia="zh-CN" w:bidi="ar"/>
              </w:rPr>
              <w:t>础</w:t>
            </w:r>
            <w:r>
              <w:rPr>
                <w:rFonts w:hint="default" w:ascii="Times New Roman" w:hAnsi="Times New Roman" w:eastAsia="宋体" w:cs="Times New Roman"/>
                <w:i w:val="0"/>
                <w:color w:val="000000"/>
                <w:kern w:val="0"/>
                <w:sz w:val="20"/>
                <w:szCs w:val="20"/>
                <w:highlight w:val="none"/>
                <w:u w:val="none"/>
                <w:lang w:val="en-US" w:eastAsia="zh-CN" w:bidi="ar"/>
              </w:rPr>
              <w:t>养老金支出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20903</w:t>
            </w:r>
          </w:p>
        </w:tc>
        <w:tc>
          <w:tcPr>
            <w:tcW w:w="3306"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四、职工基本医疗保险基金支出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72,690</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75,027</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103.2%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2090301</w:t>
            </w:r>
          </w:p>
        </w:tc>
        <w:tc>
          <w:tcPr>
            <w:tcW w:w="3306" w:type="dxa"/>
            <w:vMerge w:val="restart"/>
            <w:tcBorders>
              <w:top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其中:职工基本医疗保险统筹基金</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50890</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51986</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102.15%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2090302</w:t>
            </w:r>
          </w:p>
        </w:tc>
        <w:tc>
          <w:tcPr>
            <w:tcW w:w="3306" w:type="dxa"/>
            <w:vMerge w:val="restart"/>
            <w:tcBorders>
              <w:top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职工基本医疗保险个人账户基金</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21800</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 xml:space="preserve">      23041</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105.69%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000000" w:sz="4" w:space="0"/>
              <w:bottom w:val="single" w:color="000000"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20912</w:t>
            </w:r>
          </w:p>
        </w:tc>
        <w:tc>
          <w:tcPr>
            <w:tcW w:w="3306" w:type="dxa"/>
            <w:vMerge w:val="restart"/>
            <w:tcBorders>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五、城乡居民基本医疗保险基金支出</w:t>
            </w:r>
          </w:p>
        </w:tc>
        <w:tc>
          <w:tcPr>
            <w:tcW w:w="16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lang w:val="en-US"/>
              </w:rPr>
            </w:pPr>
            <w:r>
              <w:rPr>
                <w:rFonts w:hint="eastAsia" w:ascii="Times New Roman" w:hAnsi="Times New Roman" w:cs="Times New Roman"/>
                <w:b/>
                <w:bCs/>
                <w:i w:val="0"/>
                <w:iCs w:val="0"/>
                <w:color w:val="000000" w:themeColor="text1"/>
                <w:kern w:val="0"/>
                <w:sz w:val="21"/>
                <w:szCs w:val="21"/>
                <w:highlight w:val="none"/>
                <w:u w:val="none"/>
                <w:lang w:val="en-US" w:eastAsia="zh-CN" w:bidi="ar"/>
                <w14:textFill>
                  <w14:solidFill>
                    <w14:schemeClr w14:val="tx1"/>
                  </w14:solidFill>
                </w14:textFill>
              </w:rPr>
              <w:t>51251</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50,415</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themeColor="text1"/>
                <w:kern w:val="0"/>
                <w:sz w:val="21"/>
                <w:szCs w:val="21"/>
                <w:highlight w:val="none"/>
                <w:u w:val="none"/>
                <w:lang w:val="en-US" w:eastAsia="zh-CN" w:bidi="ar"/>
                <w14:textFill>
                  <w14:solidFill>
                    <w14:schemeClr w14:val="tx1"/>
                  </w14:solidFill>
                </w14:textFill>
              </w:rPr>
              <w:t>98.4%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2091201</w:t>
            </w:r>
          </w:p>
        </w:tc>
        <w:tc>
          <w:tcPr>
            <w:tcW w:w="3306" w:type="dxa"/>
            <w:vMerge w:val="restart"/>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其中:城乡居民基本医疗保险基金医疗待遇支出</w:t>
            </w:r>
          </w:p>
        </w:tc>
        <w:tc>
          <w:tcPr>
            <w:tcW w:w="1693" w:type="dxa"/>
            <w:vMerge w:val="restart"/>
            <w:tcBorders>
              <w:top w:val="single" w:color="000000" w:sz="4" w:space="0"/>
              <w:left w:val="single" w:color="auto"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44</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512</w:t>
            </w:r>
          </w:p>
        </w:tc>
        <w:tc>
          <w:tcPr>
            <w:tcW w:w="1594"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44,126</w:t>
            </w:r>
          </w:p>
        </w:tc>
        <w:tc>
          <w:tcPr>
            <w:tcW w:w="1465"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99.1%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000000" w:sz="4" w:space="0"/>
              <w:left w:val="single" w:color="auto"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000000"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2091202</w:t>
            </w:r>
          </w:p>
        </w:tc>
        <w:tc>
          <w:tcPr>
            <w:tcW w:w="3306" w:type="dxa"/>
            <w:vMerge w:val="restart"/>
            <w:tcBorders>
              <w:top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城乡居民大病保险支出</w:t>
            </w:r>
          </w:p>
        </w:tc>
        <w:tc>
          <w:tcPr>
            <w:tcW w:w="1693"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6</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267</w:t>
            </w:r>
          </w:p>
        </w:tc>
        <w:tc>
          <w:tcPr>
            <w:tcW w:w="1594"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6,290</w:t>
            </w:r>
          </w:p>
        </w:tc>
        <w:tc>
          <w:tcPr>
            <w:tcW w:w="1465"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pageBreakBefore w:val="0"/>
              <w:widowControl/>
              <w:suppressLineNumbers w:val="0"/>
              <w:shd w:val="clear"/>
              <w:kinsoku/>
              <w:wordWrap/>
              <w:overflowPunct/>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100.</w:t>
            </w:r>
            <w:r>
              <w:rPr>
                <w:rFonts w:hint="eastAsia"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4</w:t>
            </w:r>
            <w:r>
              <w:rPr>
                <w:rFonts w:hint="default" w:ascii="Times New Roman" w:hAnsi="Times New Roman" w:eastAsia="宋体" w:cs="Times New Roman"/>
                <w:b w:val="0"/>
                <w:bCs w:val="0"/>
                <w:i w:val="0"/>
                <w:iCs w:val="0"/>
                <w:color w:val="000000" w:themeColor="text1"/>
                <w:kern w:val="0"/>
                <w:sz w:val="21"/>
                <w:szCs w:val="21"/>
                <w:highlight w:val="none"/>
                <w:u w:val="none"/>
                <w:lang w:val="en-US" w:eastAsia="zh-CN" w:bidi="ar"/>
                <w14:textFill>
                  <w14:solidFill>
                    <w14:schemeClr w14:val="tx1"/>
                  </w14:solidFill>
                </w14:textFill>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auto" w:sz="4" w:space="0"/>
              <w:left w:val="single" w:color="auto"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auto" w:sz="4" w:space="0"/>
              <w:left w:val="single" w:color="000000"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20904</w:t>
            </w:r>
          </w:p>
        </w:tc>
        <w:tc>
          <w:tcPr>
            <w:tcW w:w="3306" w:type="dxa"/>
            <w:vMerge w:val="restart"/>
            <w:tcBorders>
              <w:top w:val="single" w:color="auto" w:sz="4" w:space="0"/>
              <w:bottom w:val="single" w:color="auto" w:sz="4" w:space="0"/>
              <w:right w:val="single" w:color="auto"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六、工伤保险基金支出</w:t>
            </w:r>
          </w:p>
        </w:tc>
        <w:tc>
          <w:tcPr>
            <w:tcW w:w="1693"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594"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c>
          <w:tcPr>
            <w:tcW w:w="1465" w:type="dxa"/>
            <w:vMerge w:val="restart"/>
            <w:tcBorders>
              <w:top w:val="single" w:color="auto" w:sz="4" w:space="0"/>
              <w:left w:val="single" w:color="auto"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bCs/>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bottom w:val="single" w:color="auto" w:sz="4" w:space="0"/>
              <w:right w:val="single" w:color="auto"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auto" w:sz="4" w:space="0"/>
              <w:left w:val="single" w:color="auto"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auto" w:sz="4" w:space="0"/>
              <w:left w:val="single" w:color="000000" w:sz="4" w:space="0"/>
              <w:bottom w:val="single" w:color="auto" w:sz="4" w:space="0"/>
              <w:right w:val="single" w:color="auto"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2090401</w:t>
            </w:r>
          </w:p>
        </w:tc>
        <w:tc>
          <w:tcPr>
            <w:tcW w:w="3306"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其中:工伤保险待遇</w:t>
            </w:r>
          </w:p>
        </w:tc>
        <w:tc>
          <w:tcPr>
            <w:tcW w:w="1693"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20902</w:t>
            </w:r>
          </w:p>
        </w:tc>
        <w:tc>
          <w:tcPr>
            <w:tcW w:w="3306"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七、失业保险基金支出</w:t>
            </w:r>
          </w:p>
        </w:tc>
        <w:tc>
          <w:tcPr>
            <w:tcW w:w="1693"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2090201</w:t>
            </w:r>
          </w:p>
        </w:tc>
        <w:tc>
          <w:tcPr>
            <w:tcW w:w="3306" w:type="dxa"/>
            <w:vMerge w:val="restart"/>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 xml:space="preserve">  其中:失业保险金</w:t>
            </w:r>
          </w:p>
        </w:tc>
        <w:tc>
          <w:tcPr>
            <w:tcW w:w="1693"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restart"/>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306"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93"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6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139"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3306" w:type="dxa"/>
            <w:vMerge w:val="continue"/>
            <w:tcBorders>
              <w:top w:val="single" w:color="auto" w:sz="4" w:space="0"/>
              <w:bottom w:val="single" w:color="auto" w:sz="4" w:space="0"/>
              <w:right w:val="single" w:color="000000" w:sz="4" w:space="0"/>
            </w:tcBorders>
            <w:shd w:val="clear" w:color="auto" w:fill="auto"/>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693"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594"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465" w:type="dxa"/>
            <w:vMerge w:val="continue"/>
            <w:tcBorders>
              <w:top w:val="single" w:color="auto" w:sz="4" w:space="0"/>
              <w:left w:val="single" w:color="000000" w:sz="4" w:space="0"/>
              <w:bottom w:val="single" w:color="auto"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r>
    </w:tbl>
    <w:tbl>
      <w:tblPr>
        <w:tblStyle w:val="15"/>
        <w:tblpPr w:leftFromText="180" w:rightFromText="180" w:vertAnchor="text" w:horzAnchor="page" w:tblpX="1360" w:tblpY="312"/>
        <w:tblOverlap w:val="never"/>
        <w:tblW w:w="94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1393"/>
        <w:gridCol w:w="3547"/>
        <w:gridCol w:w="1400"/>
        <w:gridCol w:w="1730"/>
        <w:gridCol w:w="13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9400" w:type="dxa"/>
            <w:gridSpan w:val="5"/>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left"/>
              <w:textAlignment w:val="center"/>
              <w:rPr>
                <w:rFonts w:hint="default" w:ascii="Times New Roman" w:hAnsi="Times New Roman" w:eastAsia="宋体" w:cs="Times New Roman"/>
                <w:b w:val="0"/>
                <w:bCs w:val="0"/>
                <w:i w:val="0"/>
                <w:color w:val="000000"/>
                <w:kern w:val="0"/>
                <w:sz w:val="20"/>
                <w:szCs w:val="20"/>
                <w:highlight w:val="none"/>
                <w:u w:val="none"/>
                <w:lang w:val="en-US" w:eastAsia="zh-Hans"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 xml:space="preserve"> </w:t>
            </w:r>
          </w:p>
          <w:p>
            <w:pPr>
              <w:keepNext w:val="0"/>
              <w:keepLines w:val="0"/>
              <w:widowControl/>
              <w:suppressLineNumbers w:val="0"/>
              <w:adjustRightInd w:val="0"/>
              <w:snapToGrid w:val="0"/>
              <w:spacing w:before="0" w:beforeAutospacing="0" w:after="0" w:afterAutospacing="0"/>
              <w:ind w:left="0" w:right="0"/>
              <w:jc w:val="left"/>
              <w:textAlignment w:val="center"/>
              <w:rPr>
                <w:rFonts w:hint="default" w:ascii="Times New Roman" w:hAnsi="Times New Roman" w:eastAsia="宋体" w:cs="Times New Roman"/>
                <w:b/>
                <w:bCs/>
                <w:i w:val="0"/>
                <w:color w:val="000000"/>
                <w:kern w:val="0"/>
                <w:sz w:val="20"/>
                <w:szCs w:val="20"/>
                <w:highlight w:val="none"/>
                <w:u w:val="none"/>
                <w:lang w:val="en-US" w:eastAsia="zh-Hans" w:bidi="ar"/>
              </w:rPr>
            </w:pPr>
            <w:r>
              <w:rPr>
                <w:rFonts w:hint="default" w:ascii="Times New Roman" w:hAnsi="Times New Roman" w:eastAsia="宋体" w:cs="Times New Roman"/>
                <w:b w:val="0"/>
                <w:bCs w:val="0"/>
                <w:i w:val="0"/>
                <w:color w:val="000000"/>
                <w:kern w:val="0"/>
                <w:sz w:val="20"/>
                <w:szCs w:val="20"/>
                <w:highlight w:val="none"/>
                <w:u w:val="none"/>
                <w:lang w:val="en-US" w:eastAsia="zh-Hans" w:bidi="ar"/>
              </w:rPr>
              <w:t>表26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9400" w:type="dxa"/>
            <w:gridSpan w:val="5"/>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firstLine="1606" w:firstLineChars="500"/>
              <w:jc w:val="both"/>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32"/>
                <w:szCs w:val="32"/>
                <w:highlight w:val="none"/>
                <w:u w:val="none"/>
                <w:lang w:val="en-US" w:eastAsia="zh-CN" w:bidi="ar"/>
              </w:rPr>
              <w:t>2025</w:t>
            </w:r>
            <w:r>
              <w:rPr>
                <w:rFonts w:hint="default" w:ascii="Times New Roman" w:hAnsi="Times New Roman" w:eastAsia="宋体" w:cs="Times New Roman"/>
                <w:b/>
                <w:bCs/>
                <w:i w:val="0"/>
                <w:color w:val="000000"/>
                <w:kern w:val="0"/>
                <w:sz w:val="32"/>
                <w:szCs w:val="32"/>
                <w:highlight w:val="none"/>
                <w:u w:val="none"/>
                <w:lang w:val="en-US" w:eastAsia="zh-CN" w:bidi="ar"/>
              </w:rPr>
              <w:t>年</w:t>
            </w:r>
            <w:r>
              <w:rPr>
                <w:rFonts w:hint="eastAsia" w:ascii="Times New Roman" w:hAnsi="Times New Roman" w:eastAsia="宋体"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bCs/>
                <w:i w:val="0"/>
                <w:color w:val="000000"/>
                <w:kern w:val="0"/>
                <w:sz w:val="32"/>
                <w:szCs w:val="32"/>
                <w:highlight w:val="none"/>
                <w:u w:val="none"/>
                <w:lang w:val="en-US" w:eastAsia="zh-Hans" w:bidi="ar"/>
              </w:rPr>
              <w:t>本级</w:t>
            </w:r>
            <w:r>
              <w:rPr>
                <w:rFonts w:hint="default" w:ascii="Times New Roman" w:hAnsi="Times New Roman" w:eastAsia="宋体" w:cs="Times New Roman"/>
                <w:b/>
                <w:bCs/>
                <w:i w:val="0"/>
                <w:color w:val="000000"/>
                <w:kern w:val="0"/>
                <w:sz w:val="32"/>
                <w:szCs w:val="32"/>
                <w:highlight w:val="none"/>
                <w:u w:val="none"/>
                <w:lang w:val="en-US" w:eastAsia="zh-CN" w:bidi="ar"/>
              </w:rPr>
              <w:t>社会保险基金预算结余表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10" w:hRule="atLeast"/>
        </w:trPr>
        <w:tc>
          <w:tcPr>
            <w:tcW w:w="1393" w:type="dxa"/>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3547" w:type="dxa"/>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400" w:type="dxa"/>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730" w:type="dxa"/>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p>
        </w:tc>
        <w:tc>
          <w:tcPr>
            <w:tcW w:w="1330" w:type="dxa"/>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科目编码</w:t>
            </w:r>
          </w:p>
        </w:tc>
        <w:tc>
          <w:tcPr>
            <w:tcW w:w="3547"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项 目</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2024</w:t>
            </w:r>
            <w:r>
              <w:rPr>
                <w:rFonts w:hint="default" w:ascii="Times New Roman" w:hAnsi="Times New Roman" w:eastAsia="宋体" w:cs="Times New Roman"/>
                <w:b/>
                <w:bCs/>
                <w:i w:val="0"/>
                <w:color w:val="000000"/>
                <w:kern w:val="0"/>
                <w:sz w:val="20"/>
                <w:szCs w:val="20"/>
                <w:highlight w:val="none"/>
                <w:u w:val="none"/>
                <w:lang w:val="en-US" w:eastAsia="zh-CN" w:bidi="ar"/>
              </w:rPr>
              <w:t>年年末累计结余预计数</w:t>
            </w: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2025</w:t>
            </w:r>
            <w:r>
              <w:rPr>
                <w:rFonts w:hint="default" w:ascii="Times New Roman" w:hAnsi="Times New Roman" w:eastAsia="宋体" w:cs="Times New Roman"/>
                <w:b/>
                <w:bCs/>
                <w:i w:val="0"/>
                <w:color w:val="000000"/>
                <w:kern w:val="0"/>
                <w:sz w:val="20"/>
                <w:szCs w:val="20"/>
                <w:highlight w:val="none"/>
                <w:u w:val="none"/>
                <w:lang w:val="en-US" w:eastAsia="zh-CN" w:bidi="ar"/>
              </w:rPr>
              <w:t>年年末累计结余预算数</w:t>
            </w: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预算数为上年预计数的%</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23009</w:t>
            </w:r>
          </w:p>
        </w:tc>
        <w:tc>
          <w:tcPr>
            <w:tcW w:w="3547" w:type="dxa"/>
            <w:vMerge w:val="restart"/>
            <w:tcBorders>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both"/>
              <w:textAlignment w:val="center"/>
              <w:rPr>
                <w:rFonts w:hint="eastAsia" w:ascii="Times New Roman" w:hAnsi="Times New Roman" w:eastAsia="宋体" w:cs="Times New Roman"/>
                <w:b/>
                <w:bCs/>
                <w:i w:val="0"/>
                <w:color w:val="000000"/>
                <w:kern w:val="0"/>
                <w:sz w:val="20"/>
                <w:szCs w:val="20"/>
                <w:highlight w:val="none"/>
                <w:u w:val="none"/>
                <w:lang w:val="en-US" w:eastAsia="zh-CN" w:bidi="ar"/>
              </w:rPr>
            </w:pPr>
            <w:r>
              <w:rPr>
                <w:rFonts w:hint="default" w:ascii="Times New Roman" w:hAnsi="Times New Roman" w:eastAsia="宋体" w:cs="Times New Roman"/>
                <w:b/>
                <w:bCs/>
                <w:i w:val="0"/>
                <w:color w:val="000000"/>
                <w:kern w:val="0"/>
                <w:sz w:val="20"/>
                <w:szCs w:val="20"/>
                <w:highlight w:val="none"/>
                <w:u w:val="none"/>
                <w:lang w:val="en-US" w:eastAsia="zh-CN" w:bidi="ar"/>
              </w:rPr>
              <w:t>社会保险基金年终结余合计</w:t>
            </w:r>
          </w:p>
        </w:tc>
        <w:tc>
          <w:tcPr>
            <w:tcW w:w="140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164</w:t>
            </w:r>
            <w:r>
              <w:rPr>
                <w:rFonts w:hint="default" w:ascii="Times New Roman" w:hAnsi="Times New Roman" w:eastAsia="宋体" w:cs="Times New Roman"/>
                <w:b/>
                <w:bCs/>
                <w:i w:val="0"/>
                <w:color w:val="000000"/>
                <w:kern w:val="0"/>
                <w:sz w:val="20"/>
                <w:szCs w:val="20"/>
                <w:highlight w:val="none"/>
                <w:u w:val="none"/>
                <w:lang w:val="en-US" w:eastAsia="zh-CN" w:bidi="ar"/>
              </w:rPr>
              <w:t>,</w:t>
            </w:r>
            <w:r>
              <w:rPr>
                <w:rFonts w:hint="eastAsia" w:ascii="Times New Roman" w:hAnsi="Times New Roman" w:eastAsia="宋体" w:cs="Times New Roman"/>
                <w:b/>
                <w:bCs/>
                <w:i w:val="0"/>
                <w:color w:val="000000"/>
                <w:kern w:val="0"/>
                <w:sz w:val="20"/>
                <w:szCs w:val="20"/>
                <w:highlight w:val="none"/>
                <w:u w:val="none"/>
                <w:lang w:val="en-US" w:eastAsia="zh-CN" w:bidi="ar"/>
              </w:rPr>
              <w:t>725</w:t>
            </w:r>
          </w:p>
        </w:tc>
        <w:tc>
          <w:tcPr>
            <w:tcW w:w="173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169</w:t>
            </w:r>
            <w:r>
              <w:rPr>
                <w:rFonts w:hint="default" w:ascii="Times New Roman" w:hAnsi="Times New Roman" w:eastAsia="宋体" w:cs="Times New Roman"/>
                <w:b/>
                <w:bCs/>
                <w:i w:val="0"/>
                <w:color w:val="000000"/>
                <w:kern w:val="0"/>
                <w:sz w:val="20"/>
                <w:szCs w:val="20"/>
                <w:highlight w:val="none"/>
                <w:u w:val="none"/>
                <w:lang w:val="en-US" w:eastAsia="zh-CN" w:bidi="ar"/>
              </w:rPr>
              <w:t>,</w:t>
            </w:r>
            <w:r>
              <w:rPr>
                <w:rFonts w:hint="eastAsia" w:ascii="Times New Roman" w:hAnsi="Times New Roman" w:eastAsia="宋体" w:cs="Times New Roman"/>
                <w:b/>
                <w:bCs/>
                <w:i w:val="0"/>
                <w:color w:val="000000"/>
                <w:kern w:val="0"/>
                <w:sz w:val="20"/>
                <w:szCs w:val="20"/>
                <w:highlight w:val="none"/>
                <w:u w:val="none"/>
                <w:lang w:val="en-US" w:eastAsia="zh-CN" w:bidi="ar"/>
              </w:rPr>
              <w:t>708</w:t>
            </w:r>
          </w:p>
        </w:tc>
        <w:tc>
          <w:tcPr>
            <w:tcW w:w="1330" w:type="dxa"/>
            <w:vMerge w:val="restart"/>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20"/>
                <w:szCs w:val="20"/>
                <w:highlight w:val="none"/>
                <w:u w:val="none"/>
                <w:lang w:val="en-US" w:eastAsia="zh-CN" w:bidi="ar"/>
              </w:rPr>
            </w:pPr>
            <w:r>
              <w:rPr>
                <w:rFonts w:hint="eastAsia" w:ascii="Times New Roman" w:hAnsi="Times New Roman" w:eastAsia="宋体" w:cs="Times New Roman"/>
                <w:b/>
                <w:bCs/>
                <w:i w:val="0"/>
                <w:color w:val="000000"/>
                <w:kern w:val="0"/>
                <w:sz w:val="20"/>
                <w:szCs w:val="20"/>
                <w:highlight w:val="none"/>
                <w:u w:val="none"/>
                <w:lang w:val="en-US" w:eastAsia="zh-CN" w:bidi="ar"/>
              </w:rPr>
              <w:t>103.0%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3547" w:type="dxa"/>
            <w:vMerge w:val="continue"/>
            <w:tcBorders>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40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continue"/>
            <w:tcBorders>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2300911</w:t>
            </w:r>
          </w:p>
        </w:tc>
        <w:tc>
          <w:tcPr>
            <w:tcW w:w="354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一、企业职工基本养老保险基金年终结余</w:t>
            </w:r>
          </w:p>
        </w:tc>
        <w:tc>
          <w:tcPr>
            <w:tcW w:w="140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354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40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2300916</w:t>
            </w:r>
          </w:p>
        </w:tc>
        <w:tc>
          <w:tcPr>
            <w:tcW w:w="354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二、机关事业基本养老保险基金年终结余</w:t>
            </w:r>
          </w:p>
        </w:tc>
        <w:tc>
          <w:tcPr>
            <w:tcW w:w="140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12</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052</w:t>
            </w: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12</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543</w:t>
            </w: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104.1%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354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40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2300915</w:t>
            </w:r>
          </w:p>
        </w:tc>
        <w:tc>
          <w:tcPr>
            <w:tcW w:w="354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三、城乡居民基本养老保险基金年终结余</w:t>
            </w:r>
          </w:p>
        </w:tc>
        <w:tc>
          <w:tcPr>
            <w:tcW w:w="140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354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40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2300913</w:t>
            </w:r>
          </w:p>
        </w:tc>
        <w:tc>
          <w:tcPr>
            <w:tcW w:w="354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both"/>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四、职工基本医疗保险基金年终结余</w:t>
            </w:r>
          </w:p>
        </w:tc>
        <w:tc>
          <w:tcPr>
            <w:tcW w:w="140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93</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432</w:t>
            </w: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95</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263</w:t>
            </w: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101.9%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354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40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1"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2300917</w:t>
            </w:r>
          </w:p>
        </w:tc>
        <w:tc>
          <w:tcPr>
            <w:tcW w:w="3547" w:type="dxa"/>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五、城乡居民基本医疗保险基金年终结余</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59</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241</w:t>
            </w: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61</w:t>
            </w:r>
            <w:r>
              <w:rPr>
                <w:rFonts w:hint="default" w:ascii="Times New Roman" w:hAnsi="Times New Roman" w:eastAsia="宋体" w:cs="Times New Roman"/>
                <w:b w:val="0"/>
                <w:bCs w:val="0"/>
                <w:i w:val="0"/>
                <w:color w:val="000000"/>
                <w:kern w:val="0"/>
                <w:sz w:val="20"/>
                <w:szCs w:val="20"/>
                <w:highlight w:val="none"/>
                <w:u w:val="none"/>
                <w:lang w:val="en-US" w:eastAsia="zh-CN" w:bidi="ar"/>
              </w:rPr>
              <w:t>,</w:t>
            </w:r>
            <w:r>
              <w:rPr>
                <w:rFonts w:hint="eastAsia" w:ascii="Times New Roman" w:hAnsi="Times New Roman" w:eastAsia="宋体" w:cs="Times New Roman"/>
                <w:b w:val="0"/>
                <w:bCs w:val="0"/>
                <w:i w:val="0"/>
                <w:color w:val="000000"/>
                <w:kern w:val="0"/>
                <w:sz w:val="20"/>
                <w:szCs w:val="20"/>
                <w:highlight w:val="none"/>
                <w:u w:val="none"/>
                <w:lang w:val="en-US" w:eastAsia="zh-CN" w:bidi="ar"/>
              </w:rPr>
              <w:t>902</w:t>
            </w: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eastAsia" w:ascii="Times New Roman" w:hAnsi="Times New Roman" w:eastAsia="宋体" w:cs="Times New Roman"/>
                <w:b w:val="0"/>
                <w:bCs w:val="0"/>
                <w:i w:val="0"/>
                <w:color w:val="000000"/>
                <w:kern w:val="0"/>
                <w:sz w:val="20"/>
                <w:szCs w:val="20"/>
                <w:highlight w:val="none"/>
                <w:u w:val="none"/>
                <w:lang w:val="en-US" w:eastAsia="zh-CN" w:bidi="ar"/>
              </w:rPr>
              <w:t>104.5%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0" w:hRule="atLeast"/>
        </w:trPr>
        <w:tc>
          <w:tcPr>
            <w:tcW w:w="1393"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2300914</w:t>
            </w:r>
          </w:p>
        </w:tc>
        <w:tc>
          <w:tcPr>
            <w:tcW w:w="3547" w:type="dxa"/>
            <w:vMerge w:val="restart"/>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both"/>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r>
              <w:rPr>
                <w:rFonts w:hint="default" w:ascii="Times New Roman" w:hAnsi="Times New Roman" w:eastAsia="宋体" w:cs="Times New Roman"/>
                <w:b w:val="0"/>
                <w:bCs w:val="0"/>
                <w:i w:val="0"/>
                <w:color w:val="000000"/>
                <w:kern w:val="0"/>
                <w:sz w:val="20"/>
                <w:szCs w:val="20"/>
                <w:highlight w:val="none"/>
                <w:u w:val="none"/>
                <w:lang w:val="en-US" w:eastAsia="zh-CN" w:bidi="ar"/>
              </w:rPr>
              <w:t>六、工伤保险基金年终结余</w:t>
            </w:r>
          </w:p>
        </w:tc>
        <w:tc>
          <w:tcPr>
            <w:tcW w:w="140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both"/>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7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c>
          <w:tcPr>
            <w:tcW w:w="1330" w:type="dxa"/>
            <w:vMerge w:val="restart"/>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eastAsia="宋体" w:cs="Times New Roman"/>
                <w:b w:val="0"/>
                <w:bCs w:val="0"/>
                <w:i w:val="0"/>
                <w:color w:val="000000"/>
                <w:kern w:val="0"/>
                <w:sz w:val="20"/>
                <w:szCs w:val="20"/>
                <w:highlight w:val="none"/>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393"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547" w:type="dxa"/>
            <w:vMerge w:val="continue"/>
            <w:tcBorders>
              <w:top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40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vMerge w:val="continue"/>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7" w:hRule="atLeast"/>
        </w:trPr>
        <w:tc>
          <w:tcPr>
            <w:tcW w:w="1393"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val="en-US" w:eastAsia="zh-CN" w:bidi="ar"/>
              </w:rPr>
              <w:t>2300912</w:t>
            </w:r>
          </w:p>
        </w:tc>
        <w:tc>
          <w:tcPr>
            <w:tcW w:w="3547" w:type="dxa"/>
            <w:tcBorders>
              <w:top w:val="single" w:color="000000" w:sz="4" w:space="0"/>
              <w:bottom w:val="single" w:color="000000" w:sz="4" w:space="0"/>
              <w:right w:val="single" w:color="000000" w:sz="4" w:space="0"/>
            </w:tcBorders>
            <w:shd w:val="clear" w:color="auto" w:fill="FFFFFF"/>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lang w:eastAsia="zh-CN"/>
              </w:rPr>
            </w:pPr>
            <w:r>
              <w:rPr>
                <w:rFonts w:hint="default" w:ascii="Times New Roman" w:hAnsi="Times New Roman" w:cs="Times New Roman"/>
                <w:i w:val="0"/>
                <w:color w:val="000000"/>
                <w:sz w:val="20"/>
                <w:szCs w:val="20"/>
                <w:highlight w:val="none"/>
                <w:u w:val="none"/>
                <w:lang w:eastAsia="zh-CN"/>
              </w:rPr>
              <w:t>七、失业保险基金年终结余</w:t>
            </w:r>
          </w:p>
        </w:tc>
        <w:tc>
          <w:tcPr>
            <w:tcW w:w="140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0" w:type="dxa"/>
            <w:tcBorders>
              <w:top w:val="single" w:color="000000" w:sz="4" w:space="0"/>
              <w:left w:val="single" w:color="000000" w:sz="4" w:space="0"/>
              <w:bottom w:val="single" w:color="000000" w:sz="4" w:space="0"/>
              <w:right w:val="single" w:color="000000" w:sz="4" w:space="0"/>
            </w:tcBorders>
            <w:shd w:val="clear" w:color="auto" w:fill="FFFFFF"/>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bl>
    <w:p>
      <w:pPr>
        <w:keepNext w:val="0"/>
        <w:keepLines w:val="0"/>
        <w:widowControl/>
        <w:suppressLineNumbers w:val="0"/>
        <w:adjustRightInd w:val="0"/>
        <w:snapToGrid w:val="0"/>
        <w:spacing w:before="0" w:beforeAutospacing="0" w:after="0" w:afterAutospacing="0"/>
        <w:ind w:left="0" w:right="0"/>
        <w:jc w:val="center"/>
        <w:textAlignment w:val="center"/>
        <w:rPr>
          <w:rFonts w:hint="default" w:ascii="Times New Roman" w:hAnsi="Times New Roman" w:cs="Times New Roman"/>
          <w:b w:val="0"/>
          <w:bCs w:val="0"/>
          <w:sz w:val="22"/>
          <w:szCs w:val="22"/>
          <w:highlight w:val="none"/>
          <w:lang w:val="en-US" w:eastAsia="zh-Hans"/>
        </w:rPr>
      </w:pPr>
      <w:r>
        <w:rPr>
          <w:rFonts w:hint="eastAsia" w:ascii="Times New Roman" w:hAnsi="Times New Roman" w:cs="Times New Roman"/>
          <w:b w:val="0"/>
          <w:bCs w:val="0"/>
          <w:sz w:val="22"/>
          <w:szCs w:val="22"/>
          <w:highlight w:val="none"/>
          <w:lang w:val="en-US" w:eastAsia="zh-CN"/>
        </w:rPr>
        <w:t xml:space="preserve"> </w:t>
      </w:r>
    </w:p>
    <w:p>
      <w:pPr>
        <w:widowControl/>
        <w:jc w:val="both"/>
        <w:outlineLvl w:val="1"/>
        <w:rPr>
          <w:rFonts w:hint="default" w:ascii="Times New Roman" w:hAnsi="Times New Roman" w:eastAsia="黑体" w:cs="Times New Roman"/>
          <w:b/>
          <w:bCs/>
          <w:kern w:val="0"/>
          <w:sz w:val="32"/>
          <w:szCs w:val="32"/>
          <w:lang w:val="en-US" w:eastAsia="zh-Hans"/>
        </w:rPr>
      </w:pPr>
      <w:bookmarkStart w:id="6" w:name="OLE_LINK5"/>
      <w:r>
        <w:rPr>
          <w:rFonts w:hint="eastAsia" w:ascii="Times New Roman" w:hAnsi="Times New Roman" w:cs="Times New Roman"/>
          <w:b w:val="0"/>
          <w:bCs w:val="0"/>
          <w:sz w:val="22"/>
          <w:szCs w:val="22"/>
          <w:highlight w:val="none"/>
          <w:lang w:val="en-US" w:eastAsia="zh-CN"/>
        </w:rPr>
        <w:t xml:space="preserve"> </w:t>
      </w:r>
    </w:p>
    <w:p>
      <w:pPr>
        <w:pStyle w:val="2"/>
        <w:rPr>
          <w:rFonts w:hint="default" w:ascii="Times New Roman" w:hAnsi="Times New Roman" w:eastAsia="黑体" w:cs="Times New Roman"/>
          <w:b/>
          <w:bCs/>
          <w:kern w:val="0"/>
          <w:sz w:val="32"/>
          <w:szCs w:val="32"/>
          <w:lang w:val="en-US" w:eastAsia="zh-Hans"/>
        </w:rPr>
      </w:pPr>
    </w:p>
    <w:p>
      <w:pPr>
        <w:pStyle w:val="2"/>
        <w:rPr>
          <w:rFonts w:hint="default" w:ascii="Times New Roman" w:hAnsi="Times New Roman" w:eastAsia="黑体" w:cs="Times New Roman"/>
          <w:b/>
          <w:bCs/>
          <w:kern w:val="0"/>
          <w:sz w:val="32"/>
          <w:szCs w:val="32"/>
          <w:lang w:val="en-US" w:eastAsia="zh-Hans"/>
        </w:rPr>
      </w:pPr>
    </w:p>
    <w:p>
      <w:pPr>
        <w:pStyle w:val="2"/>
        <w:rPr>
          <w:rFonts w:hint="default" w:ascii="Times New Roman" w:hAnsi="Times New Roman" w:eastAsia="黑体" w:cs="Times New Roman"/>
          <w:b/>
          <w:bCs/>
          <w:kern w:val="0"/>
          <w:sz w:val="32"/>
          <w:szCs w:val="32"/>
          <w:lang w:val="en-US" w:eastAsia="zh-Hans"/>
        </w:rPr>
      </w:pPr>
    </w:p>
    <w:p>
      <w:pPr>
        <w:pStyle w:val="2"/>
        <w:rPr>
          <w:rFonts w:hint="default" w:ascii="Times New Roman" w:hAnsi="Times New Roman" w:eastAsia="黑体" w:cs="Times New Roman"/>
          <w:b/>
          <w:bCs/>
          <w:kern w:val="0"/>
          <w:sz w:val="32"/>
          <w:szCs w:val="32"/>
          <w:lang w:val="en-US" w:eastAsia="zh-Hans"/>
        </w:rPr>
      </w:pPr>
    </w:p>
    <w:p>
      <w:pPr>
        <w:pStyle w:val="2"/>
        <w:rPr>
          <w:rFonts w:hint="default" w:ascii="Times New Roman" w:hAnsi="Times New Roman" w:eastAsia="黑体" w:cs="Times New Roman"/>
          <w:b/>
          <w:bCs/>
          <w:kern w:val="0"/>
          <w:sz w:val="32"/>
          <w:szCs w:val="32"/>
          <w:lang w:val="en-US" w:eastAsia="zh-Hans"/>
        </w:rPr>
      </w:pPr>
    </w:p>
    <w:p>
      <w:pPr>
        <w:pStyle w:val="2"/>
        <w:rPr>
          <w:rFonts w:hint="default" w:ascii="Times New Roman" w:hAnsi="Times New Roman" w:eastAsia="黑体" w:cs="Times New Roman"/>
          <w:b/>
          <w:bCs/>
          <w:kern w:val="0"/>
          <w:sz w:val="32"/>
          <w:szCs w:val="32"/>
          <w:lang w:val="en-US" w:eastAsia="zh-Hans"/>
        </w:rPr>
      </w:pPr>
    </w:p>
    <w:p>
      <w:pPr>
        <w:widowControl/>
        <w:ind w:firstLine="321" w:firstLineChars="100"/>
        <w:jc w:val="both"/>
        <w:outlineLvl w:val="1"/>
        <w:rPr>
          <w:rFonts w:hint="default" w:ascii="Times New Roman" w:hAnsi="Times New Roman" w:cs="Times New Roman"/>
          <w:b/>
          <w:bCs/>
          <w:sz w:val="32"/>
          <w:szCs w:val="32"/>
          <w:lang w:val="en-US" w:eastAsia="zh-Hans"/>
        </w:rPr>
      </w:pPr>
      <w:r>
        <w:rPr>
          <w:rFonts w:hint="default" w:ascii="Times New Roman" w:hAnsi="Times New Roman" w:eastAsia="黑体" w:cs="Times New Roman"/>
          <w:b/>
          <w:bCs/>
          <w:kern w:val="0"/>
          <w:sz w:val="32"/>
          <w:szCs w:val="32"/>
          <w:lang w:val="en-US" w:eastAsia="zh-Hans"/>
        </w:rPr>
        <w:t>第三部分</w:t>
      </w:r>
      <w:r>
        <w:rPr>
          <w:rFonts w:hint="default" w:ascii="Times New Roman" w:hAnsi="Times New Roman" w:eastAsia="黑体" w:cs="Times New Roman"/>
          <w:b/>
          <w:bCs/>
          <w:kern w:val="0"/>
          <w:sz w:val="32"/>
          <w:szCs w:val="32"/>
          <w:lang w:eastAsia="zh-Hans"/>
        </w:rPr>
        <w:t xml:space="preserve"> </w:t>
      </w:r>
      <w:r>
        <w:rPr>
          <w:rFonts w:hint="eastAsia" w:ascii="Times New Roman" w:hAnsi="Times New Roman" w:eastAsia="黑体" w:cs="Times New Roman"/>
          <w:b/>
          <w:bCs/>
          <w:kern w:val="0"/>
          <w:sz w:val="32"/>
          <w:szCs w:val="32"/>
          <w:lang w:val="en-US" w:eastAsia="zh-CN"/>
        </w:rPr>
        <w:t>本级汇总的</w:t>
      </w:r>
      <w:r>
        <w:rPr>
          <w:rFonts w:hint="eastAsia" w:eastAsia="黑体" w:cs="Times New Roman"/>
          <w:b/>
          <w:bCs/>
          <w:kern w:val="0"/>
          <w:sz w:val="32"/>
          <w:szCs w:val="32"/>
          <w:lang w:val="en-US" w:eastAsia="zh-CN"/>
        </w:rPr>
        <w:t>财政拨款</w:t>
      </w:r>
      <w:r>
        <w:rPr>
          <w:rFonts w:hint="default" w:ascii="Times New Roman" w:hAnsi="Times New Roman" w:eastAsia="黑体" w:cs="Times New Roman"/>
          <w:b/>
          <w:bCs/>
          <w:kern w:val="0"/>
          <w:sz w:val="32"/>
          <w:szCs w:val="32"/>
          <w:lang w:val="en-US" w:eastAsia="zh-Hans"/>
        </w:rPr>
        <w:t>“三公”经费预算情况说明</w:t>
      </w:r>
    </w:p>
    <w:tbl>
      <w:tblPr>
        <w:tblStyle w:val="15"/>
        <w:tblW w:w="4997"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875"/>
        <w:gridCol w:w="264"/>
        <w:gridCol w:w="1818"/>
        <w:gridCol w:w="791"/>
        <w:gridCol w:w="1167"/>
        <w:gridCol w:w="19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8" w:hRule="atLeast"/>
        </w:trPr>
        <w:tc>
          <w:tcPr>
            <w:tcW w:w="1770" w:type="pct"/>
            <w:gridSpan w:val="2"/>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1"/>
                <w:szCs w:val="21"/>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u w:val="none"/>
                <w:lang w:val="en-US"/>
              </w:rPr>
            </w:pPr>
            <w:r>
              <w:rPr>
                <w:rFonts w:hint="default" w:ascii="Times New Roman" w:hAnsi="Times New Roman" w:eastAsia="宋体" w:cs="Times New Roman"/>
                <w:i w:val="0"/>
                <w:color w:val="000000"/>
                <w:kern w:val="0"/>
                <w:sz w:val="21"/>
                <w:szCs w:val="21"/>
                <w:u w:val="none"/>
                <w:lang w:val="en-US" w:eastAsia="zh-CN" w:bidi="ar"/>
              </w:rPr>
              <w:t>表2</w:t>
            </w:r>
            <w:r>
              <w:rPr>
                <w:rFonts w:hint="eastAsia" w:ascii="Times New Roman" w:hAnsi="Times New Roman" w:cs="Times New Roman"/>
                <w:i w:val="0"/>
                <w:color w:val="000000"/>
                <w:kern w:val="0"/>
                <w:sz w:val="21"/>
                <w:szCs w:val="21"/>
                <w:u w:val="none"/>
                <w:lang w:val="en-US" w:eastAsia="zh-CN" w:bidi="ar"/>
              </w:rPr>
              <w:t>7</w:t>
            </w:r>
          </w:p>
        </w:tc>
        <w:tc>
          <w:tcPr>
            <w:tcW w:w="1025"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1104" w:type="pct"/>
            <w:gridSpan w:val="2"/>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1099"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8" w:hRule="atLeast"/>
        </w:trPr>
        <w:tc>
          <w:tcPr>
            <w:tcW w:w="5000" w:type="pct"/>
            <w:gridSpan w:val="6"/>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30"/>
                <w:szCs w:val="30"/>
                <w:u w:val="none"/>
              </w:rPr>
            </w:pPr>
            <w:bookmarkStart w:id="7" w:name="OLE_LINK4" w:colFirst="0" w:colLast="3"/>
            <w:r>
              <w:rPr>
                <w:rFonts w:hint="eastAsia" w:ascii="宋体" w:hAnsi="宋体" w:eastAsia="宋体" w:cs="宋体"/>
                <w:b/>
                <w:i w:val="0"/>
                <w:color w:val="000000"/>
                <w:kern w:val="0"/>
                <w:sz w:val="30"/>
                <w:szCs w:val="30"/>
                <w:u w:val="none"/>
                <w:lang w:val="en-US" w:eastAsia="zh-CN" w:bidi="ar"/>
              </w:rPr>
              <w:t>202</w:t>
            </w:r>
            <w:r>
              <w:rPr>
                <w:rFonts w:hint="eastAsia" w:ascii="宋体" w:hAnsi="宋体" w:cs="宋体"/>
                <w:b/>
                <w:i w:val="0"/>
                <w:color w:val="000000"/>
                <w:kern w:val="0"/>
                <w:sz w:val="30"/>
                <w:szCs w:val="30"/>
                <w:u w:val="none"/>
                <w:lang w:val="en-US" w:eastAsia="zh-CN" w:bidi="ar"/>
              </w:rPr>
              <w:t>5</w:t>
            </w:r>
            <w:r>
              <w:rPr>
                <w:rFonts w:hint="eastAsia" w:ascii="宋体" w:hAnsi="宋体" w:eastAsia="宋体" w:cs="宋体"/>
                <w:b/>
                <w:i w:val="0"/>
                <w:color w:val="000000"/>
                <w:kern w:val="0"/>
                <w:sz w:val="30"/>
                <w:szCs w:val="30"/>
                <w:u w:val="none"/>
                <w:lang w:val="en-US" w:eastAsia="zh-CN" w:bidi="ar"/>
              </w:rPr>
              <w:t>吐鲁番市本级财政拨款“三公”经费支出预算表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85" w:hRule="atLeast"/>
        </w:trPr>
        <w:tc>
          <w:tcPr>
            <w:tcW w:w="1621" w:type="pct"/>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1620" w:type="pct"/>
            <w:gridSpan w:val="3"/>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u w:val="none"/>
              </w:rPr>
            </w:pPr>
          </w:p>
        </w:tc>
        <w:tc>
          <w:tcPr>
            <w:tcW w:w="1758" w:type="pct"/>
            <w:gridSpan w:val="2"/>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1"/>
                <w:szCs w:val="21"/>
                <w:u w:val="none"/>
              </w:rPr>
            </w:pPr>
            <w:r>
              <w:rPr>
                <w:rFonts w:hint="default" w:ascii="Times New Roman" w:hAnsi="Times New Roman" w:eastAsia="宋体" w:cs="Times New Roman"/>
                <w:i w:val="0"/>
                <w:color w:val="000000"/>
                <w:kern w:val="0"/>
                <w:sz w:val="21"/>
                <w:szCs w:val="21"/>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726" w:hRule="atLeast"/>
        </w:trPr>
        <w:tc>
          <w:tcPr>
            <w:tcW w:w="1770" w:type="pct"/>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项    目</w:t>
            </w:r>
          </w:p>
        </w:tc>
        <w:tc>
          <w:tcPr>
            <w:tcW w:w="1025"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2024年预算数</w:t>
            </w:r>
          </w:p>
        </w:tc>
        <w:tc>
          <w:tcPr>
            <w:tcW w:w="1104" w:type="pct"/>
            <w:gridSpan w:val="2"/>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2025年预算数</w:t>
            </w:r>
          </w:p>
        </w:tc>
        <w:tc>
          <w:tcPr>
            <w:tcW w:w="1099" w:type="pc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i w:val="0"/>
                <w:color w:val="000000"/>
                <w:sz w:val="24"/>
                <w:szCs w:val="24"/>
                <w:u w:val="none"/>
              </w:rPr>
            </w:pPr>
            <w:r>
              <w:rPr>
                <w:rFonts w:hint="eastAsia" w:ascii="宋体" w:hAnsi="宋体" w:eastAsia="宋体" w:cs="宋体"/>
                <w:b/>
                <w:bCs/>
                <w:i w:val="0"/>
                <w:iCs w:val="0"/>
                <w:color w:val="000000"/>
                <w:kern w:val="0"/>
                <w:sz w:val="24"/>
                <w:szCs w:val="24"/>
                <w:u w:val="none"/>
                <w:lang w:val="en-US" w:eastAsia="zh-CN" w:bidi="ar"/>
              </w:rPr>
              <w:t>比上年预算数增(减)%</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i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  计</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1549</w:t>
            </w: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default"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1546.29</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-0.17%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b/>
                <w:i w:val="0"/>
                <w:color w:val="000000"/>
                <w:sz w:val="21"/>
                <w:szCs w:val="21"/>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1.因公出国（境）费用</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sz w:val="21"/>
                <w:szCs w:val="21"/>
                <w:lang w:val="en-US" w:eastAsia="zh-CN"/>
              </w:rPr>
            </w:pPr>
            <w:r>
              <w:rPr>
                <w:rFonts w:hint="eastAsia" w:ascii="宋体" w:hAnsi="宋体" w:cs="宋体"/>
                <w:i w:val="0"/>
                <w:color w:val="000000"/>
                <w:sz w:val="21"/>
                <w:szCs w:val="21"/>
                <w:u w:val="none"/>
                <w:lang w:val="en-US" w:eastAsia="zh-CN"/>
              </w:rPr>
              <w:t>0</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color w:val="000000"/>
                <w:sz w:val="21"/>
                <w:szCs w:val="21"/>
                <w:highlight w:val="red"/>
                <w:u w:val="none"/>
              </w:rPr>
            </w:pPr>
            <w:r>
              <w:rPr>
                <w:rFonts w:hint="eastAsia" w:ascii="宋体" w:hAnsi="宋体" w:eastAsia="宋体" w:cs="宋体"/>
                <w:i w:val="0"/>
                <w:iCs w:val="0"/>
                <w:color w:val="000000" w:themeColor="text1"/>
                <w:kern w:val="0"/>
                <w:sz w:val="21"/>
                <w:szCs w:val="21"/>
                <w:highlight w:val="none"/>
                <w:u w:val="none"/>
                <w:lang w:val="en-US" w:eastAsia="zh-CN" w:bidi="ar"/>
                <w14:textFill>
                  <w14:solidFill>
                    <w14:schemeClr w14:val="tx1"/>
                  </w14:solidFill>
                </w14:textFill>
              </w:rPr>
              <w:t>2.公务接待费</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340</w:t>
            </w: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337.29</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-0.81%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highlight w:val="red"/>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both"/>
              <w:textAlignment w:val="bottom"/>
              <w:rPr>
                <w:rFonts w:hint="eastAsia" w:ascii="宋体" w:hAnsi="宋体" w:eastAsia="宋体" w:cs="宋体"/>
                <w:i w:val="0"/>
                <w:color w:val="000000"/>
                <w:sz w:val="21"/>
                <w:szCs w:val="21"/>
                <w:highlight w:val="red"/>
                <w:u w:val="none"/>
              </w:rPr>
            </w:pPr>
            <w:r>
              <w:rPr>
                <w:rFonts w:hint="eastAsia" w:ascii="宋体" w:hAnsi="宋体" w:eastAsia="宋体" w:cs="宋体"/>
                <w:i w:val="0"/>
                <w:iCs w:val="0"/>
                <w:color w:val="000000"/>
                <w:kern w:val="0"/>
                <w:sz w:val="21"/>
                <w:szCs w:val="21"/>
                <w:highlight w:val="none"/>
                <w:u w:val="none"/>
                <w:lang w:val="en-US" w:eastAsia="zh-CN" w:bidi="ar"/>
              </w:rPr>
              <w:t>3.公务用车费</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1209</w:t>
            </w: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adjustRightInd w:val="0"/>
              <w:snapToGrid w:val="0"/>
              <w:spacing w:before="0" w:beforeAutospacing="0" w:after="0" w:afterAutospacing="0"/>
              <w:ind w:left="0" w:right="0"/>
              <w:jc w:val="right"/>
              <w:textAlignment w:val="center"/>
              <w:rPr>
                <w:rFonts w:hint="default"/>
                <w:sz w:val="21"/>
                <w:szCs w:val="21"/>
                <w:lang w:val="en-US" w:eastAsia="zh-CN"/>
              </w:rPr>
            </w:pPr>
            <w:r>
              <w:rPr>
                <w:rFonts w:hint="eastAsia" w:ascii="宋体" w:hAnsi="宋体" w:eastAsia="宋体" w:cs="宋体"/>
                <w:i w:val="0"/>
                <w:iCs w:val="0"/>
                <w:color w:val="000000"/>
                <w:kern w:val="0"/>
                <w:sz w:val="21"/>
                <w:szCs w:val="21"/>
                <w:u w:val="none"/>
                <w:lang w:val="en-US" w:eastAsia="zh-CN" w:bidi="ar"/>
              </w:rPr>
              <w:t>1209</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6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其中：（1）公务用车运行维护费</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sz w:val="21"/>
                <w:szCs w:val="21"/>
                <w:lang w:val="en-US" w:eastAsia="zh-CN"/>
              </w:rPr>
            </w:pPr>
            <w:r>
              <w:rPr>
                <w:rFonts w:hint="eastAsia" w:ascii="宋体" w:hAnsi="宋体" w:eastAsia="宋体" w:cs="宋体"/>
                <w:i w:val="0"/>
                <w:iCs w:val="0"/>
                <w:color w:val="000000"/>
                <w:kern w:val="0"/>
                <w:sz w:val="21"/>
                <w:szCs w:val="21"/>
                <w:u w:val="none"/>
                <w:lang w:val="en-US" w:eastAsia="zh-CN" w:bidi="ar"/>
              </w:rPr>
              <w:t>1209</w:t>
            </w: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default"/>
                <w:sz w:val="21"/>
                <w:szCs w:val="21"/>
                <w:lang w:val="en-US" w:eastAsia="zh-CN"/>
              </w:rPr>
            </w:pPr>
            <w:r>
              <w:rPr>
                <w:rFonts w:hint="eastAsia" w:ascii="宋体" w:hAnsi="宋体" w:eastAsia="宋体" w:cs="宋体"/>
                <w:i w:val="0"/>
                <w:iCs w:val="0"/>
                <w:color w:val="000000"/>
                <w:kern w:val="0"/>
                <w:sz w:val="21"/>
                <w:szCs w:val="21"/>
                <w:u w:val="none"/>
                <w:lang w:val="en-US" w:eastAsia="zh-CN" w:bidi="ar"/>
              </w:rPr>
              <w:t>1209</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right"/>
              <w:textAlignment w:val="bottom"/>
              <w:rPr>
                <w:rFonts w:hint="eastAsia" w:ascii="宋体" w:hAnsi="宋体" w:eastAsia="宋体" w:cs="宋体"/>
                <w:i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top"/>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40" w:hRule="atLeast"/>
        </w:trPr>
        <w:tc>
          <w:tcPr>
            <w:tcW w:w="1770"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i w:val="0"/>
                <w:color w:val="000000"/>
                <w:sz w:val="21"/>
                <w:szCs w:val="21"/>
                <w:u w:val="none"/>
              </w:rPr>
            </w:pPr>
            <w:r>
              <w:rPr>
                <w:rFonts w:hint="eastAsia" w:ascii="宋体" w:hAnsi="宋体" w:cs="宋体"/>
                <w:i w:val="0"/>
                <w:iCs w:val="0"/>
                <w:color w:val="000000"/>
                <w:kern w:val="0"/>
                <w:sz w:val="21"/>
                <w:szCs w:val="21"/>
                <w:u w:val="none"/>
                <w:lang w:val="en-US" w:eastAsia="zh-CN" w:bidi="ar"/>
              </w:rPr>
              <w:t xml:space="preserve">    </w:t>
            </w:r>
            <w:r>
              <w:rPr>
                <w:rFonts w:hint="eastAsia" w:ascii="宋体" w:hAnsi="宋体" w:eastAsia="宋体" w:cs="宋体"/>
                <w:i w:val="0"/>
                <w:iCs w:val="0"/>
                <w:color w:val="000000"/>
                <w:kern w:val="0"/>
                <w:sz w:val="21"/>
                <w:szCs w:val="21"/>
                <w:u w:val="none"/>
                <w:lang w:val="en-US" w:eastAsia="zh-CN" w:bidi="ar"/>
              </w:rPr>
              <w:t>（2）公务用车购置费</w:t>
            </w:r>
          </w:p>
        </w:tc>
        <w:tc>
          <w:tcPr>
            <w:tcW w:w="1025"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rPr>
            </w:pPr>
          </w:p>
        </w:tc>
        <w:tc>
          <w:tcPr>
            <w:tcW w:w="1104" w:type="pct"/>
            <w:gridSpan w:val="2"/>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default" w:ascii="宋体" w:hAnsi="宋体" w:eastAsia="宋体" w:cs="宋体"/>
                <w:i w:val="0"/>
                <w:color w:val="000000"/>
                <w:sz w:val="21"/>
                <w:szCs w:val="21"/>
                <w:u w:val="none"/>
                <w:lang w:val="en-US" w:eastAsia="zh-CN"/>
              </w:rPr>
            </w:pPr>
            <w:r>
              <w:rPr>
                <w:rFonts w:hint="eastAsia" w:ascii="宋体" w:hAnsi="宋体" w:cs="宋体"/>
                <w:i w:val="0"/>
                <w:color w:val="000000"/>
                <w:sz w:val="21"/>
                <w:szCs w:val="21"/>
                <w:u w:val="none"/>
                <w:lang w:val="en-US" w:eastAsia="zh-CN"/>
              </w:rPr>
              <w:t>0</w:t>
            </w:r>
          </w:p>
        </w:tc>
        <w:tc>
          <w:tcPr>
            <w:tcW w:w="1099" w:type="pct"/>
            <w:vMerge w:val="restart"/>
            <w:tcBorders>
              <w:top w:val="single" w:color="000000" w:sz="4" w:space="0"/>
              <w:left w:val="single" w:color="000000" w:sz="4" w:space="0"/>
              <w:bottom w:val="single" w:color="000000" w:sz="4" w:space="0"/>
              <w:right w:val="single" w:color="000000" w:sz="4" w:space="0"/>
            </w:tcBorders>
            <w:noWrap w:val="0"/>
            <w:vAlign w:val="bottom"/>
          </w:tcPr>
          <w:p>
            <w:pPr>
              <w:keepNext w:val="0"/>
              <w:keepLines w:val="0"/>
              <w:suppressLineNumbers w:val="0"/>
              <w:spacing w:before="0" w:beforeAutospacing="0" w:after="0" w:afterAutospacing="0"/>
              <w:ind w:left="0" w:right="0"/>
              <w:jc w:val="right"/>
              <w:rPr>
                <w:rFonts w:hint="eastAsia" w:ascii="宋体" w:hAnsi="宋体" w:eastAsia="宋体" w:cs="宋体"/>
                <w:i w:val="0"/>
                <w:color w:val="000000"/>
                <w:sz w:val="21"/>
                <w:szCs w:val="21"/>
                <w:u w:val="none"/>
                <w:lang w:val="en-US" w:eastAsia="zh-CN"/>
              </w:rPr>
            </w:pPr>
          </w:p>
        </w:tc>
      </w:tr>
      <w:bookmarkEnd w:id="7"/>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2" w:hRule="atLeast"/>
        </w:trPr>
        <w:tc>
          <w:tcPr>
            <w:tcW w:w="1770"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u w:val="none"/>
              </w:rPr>
            </w:pPr>
          </w:p>
        </w:tc>
        <w:tc>
          <w:tcPr>
            <w:tcW w:w="1025"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u w:val="none"/>
              </w:rPr>
            </w:pPr>
          </w:p>
        </w:tc>
        <w:tc>
          <w:tcPr>
            <w:tcW w:w="1104" w:type="pct"/>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u w:val="none"/>
              </w:rPr>
            </w:pPr>
          </w:p>
        </w:tc>
        <w:tc>
          <w:tcPr>
            <w:tcW w:w="1099" w:type="pct"/>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u w:val="none"/>
              </w:rPr>
            </w:pPr>
          </w:p>
        </w:tc>
      </w:tr>
    </w:tbl>
    <w:p>
      <w:pPr>
        <w:pStyle w:val="8"/>
        <w:rPr>
          <w:rFonts w:hint="eastAsia"/>
        </w:rPr>
      </w:pPr>
    </w:p>
    <w:p>
      <w:pPr>
        <w:autoSpaceDE w:val="0"/>
        <w:autoSpaceDN w:val="0"/>
        <w:spacing w:line="600" w:lineRule="exact"/>
        <w:ind w:firstLine="627" w:firstLineChars="200"/>
        <w:rPr>
          <w:rFonts w:eastAsia="楷体_GB2312"/>
          <w:b/>
          <w:spacing w:val="-4"/>
          <w:sz w:val="32"/>
          <w:szCs w:val="32"/>
        </w:rPr>
      </w:pPr>
      <w:r>
        <w:rPr>
          <w:rFonts w:hint="eastAsia" w:ascii="Times New Roman" w:hAnsi="Times New Roman" w:eastAsia="楷体_GB2312" w:cs="楷体_GB2312"/>
          <w:b/>
          <w:spacing w:val="-4"/>
          <w:sz w:val="32"/>
          <w:szCs w:val="32"/>
        </w:rPr>
        <w:t>一、</w:t>
      </w:r>
      <w:r>
        <w:rPr>
          <w:rFonts w:hint="eastAsia" w:ascii="Times New Roman" w:hAnsi="Times New Roman" w:eastAsia="楷体_GB2312" w:cs="Times New Roman"/>
          <w:b/>
          <w:spacing w:val="-4"/>
          <w:sz w:val="32"/>
          <w:szCs w:val="32"/>
        </w:rPr>
        <w:t>吐鲁番市本级</w:t>
      </w:r>
      <w:r>
        <w:rPr>
          <w:rFonts w:hint="eastAsia" w:ascii="Times New Roman" w:hAnsi="Times New Roman" w:eastAsia="楷体_GB2312" w:cs="楷体_GB2312"/>
          <w:b/>
          <w:spacing w:val="-4"/>
          <w:sz w:val="32"/>
          <w:szCs w:val="32"/>
        </w:rPr>
        <w:t>部门（单位）人员及车辆基本情况</w:t>
      </w:r>
    </w:p>
    <w:p>
      <w:pPr>
        <w:autoSpaceDE w:val="0"/>
        <w:autoSpaceDN w:val="0"/>
        <w:spacing w:line="600" w:lineRule="exact"/>
        <w:ind w:firstLine="640" w:firstLineChars="200"/>
        <w:rPr>
          <w:rFonts w:hint="eastAsia" w:ascii="Times New Roman" w:hAnsi="Times New Roman" w:eastAsia="仿宋_GB2312" w:cs="Times New Roman"/>
          <w:color w:val="000000" w:themeColor="text1"/>
          <w:kern w:val="0"/>
          <w:sz w:val="32"/>
          <w:szCs w:val="32"/>
          <w:lang w:val="en-US" w:eastAsia="zh-CN"/>
          <w14:textFill>
            <w14:solidFill>
              <w14:schemeClr w14:val="tx1"/>
            </w14:solidFill>
          </w14:textFill>
        </w:rPr>
      </w:pPr>
      <w:r>
        <w:rPr>
          <w:rFonts w:hint="eastAsia" w:ascii="Times New Roman" w:hAnsi="Times New Roman" w:eastAsia="仿宋_GB2312" w:cs="Times New Roman"/>
          <w:color w:val="000000" w:themeColor="text1"/>
          <w:kern w:val="0"/>
          <w:sz w:val="32"/>
          <w:szCs w:val="32"/>
          <w:lang w:val="en-US" w:eastAsia="zh-CN"/>
          <w14:textFill>
            <w14:solidFill>
              <w14:schemeClr w14:val="tx1"/>
            </w14:solidFill>
          </w14:textFill>
        </w:rPr>
        <w:t xml:space="preserve">2025年吐鲁番市本级共135个一级预算单位，财政供养人员共计4273人，人员构成：行政人员2179人，事业人员2094人，离休人员6人（退休人员根据机关事业单位养老保险制度改革工作要求已经交由社保局管理）；公务用车总数589辆。 </w:t>
      </w:r>
    </w:p>
    <w:p>
      <w:pPr>
        <w:autoSpaceDE w:val="0"/>
        <w:autoSpaceDN w:val="0"/>
        <w:spacing w:line="600" w:lineRule="exact"/>
        <w:ind w:firstLine="627" w:firstLineChars="200"/>
        <w:rPr>
          <w:rFonts w:eastAsia="楷体_GB2312"/>
          <w:b/>
          <w:spacing w:val="-4"/>
          <w:sz w:val="32"/>
          <w:szCs w:val="32"/>
        </w:rPr>
      </w:pPr>
      <w:r>
        <w:rPr>
          <w:rFonts w:hint="eastAsia" w:ascii="Times New Roman" w:hAnsi="Times New Roman" w:eastAsia="楷体_GB2312" w:cs="楷体_GB2312"/>
          <w:b/>
          <w:spacing w:val="-4"/>
          <w:sz w:val="32"/>
          <w:szCs w:val="32"/>
        </w:rPr>
        <w:t>二、</w:t>
      </w:r>
      <w:r>
        <w:rPr>
          <w:rFonts w:hint="eastAsia" w:ascii="Times New Roman" w:hAnsi="Times New Roman" w:eastAsia="楷体_GB2312" w:cs="楷体_GB2312"/>
          <w:b/>
          <w:spacing w:val="-4"/>
          <w:sz w:val="32"/>
          <w:szCs w:val="32"/>
          <w:lang w:val="en-US" w:eastAsia="zh-CN"/>
        </w:rPr>
        <w:t>财政拨款</w:t>
      </w:r>
      <w:r>
        <w:rPr>
          <w:rFonts w:ascii="Times New Roman" w:hAnsi="Times New Roman" w:eastAsia="楷体_GB2312" w:cs="Times New Roman"/>
          <w:b/>
          <w:spacing w:val="-4"/>
          <w:sz w:val="32"/>
          <w:szCs w:val="32"/>
        </w:rPr>
        <w:t>“</w:t>
      </w:r>
      <w:r>
        <w:rPr>
          <w:rFonts w:hint="eastAsia" w:ascii="Times New Roman" w:hAnsi="Times New Roman" w:eastAsia="楷体_GB2312" w:cs="楷体_GB2312"/>
          <w:b/>
          <w:spacing w:val="-4"/>
          <w:sz w:val="32"/>
          <w:szCs w:val="32"/>
        </w:rPr>
        <w:t>三公</w:t>
      </w:r>
      <w:r>
        <w:rPr>
          <w:rFonts w:ascii="Times New Roman" w:hAnsi="Times New Roman" w:eastAsia="楷体_GB2312" w:cs="Times New Roman"/>
          <w:b/>
          <w:spacing w:val="-4"/>
          <w:sz w:val="32"/>
          <w:szCs w:val="32"/>
        </w:rPr>
        <w:t>”</w:t>
      </w:r>
      <w:r>
        <w:rPr>
          <w:rFonts w:hint="eastAsia" w:ascii="Times New Roman" w:hAnsi="Times New Roman" w:eastAsia="楷体_GB2312" w:cs="楷体_GB2312"/>
          <w:b/>
          <w:spacing w:val="-4"/>
          <w:sz w:val="32"/>
          <w:szCs w:val="32"/>
        </w:rPr>
        <w:t>经费全口径说明</w:t>
      </w:r>
    </w:p>
    <w:p>
      <w:pPr>
        <w:spacing w:line="560" w:lineRule="exact"/>
        <w:ind w:firstLine="640" w:firstLineChars="200"/>
        <w:rPr>
          <w:rFonts w:hint="eastAsia" w:ascii="仿宋_GB2312" w:hAnsi="仿宋_GB2312" w:eastAsia="仿宋_GB2312" w:cs="仿宋_GB2312"/>
          <w:sz w:val="32"/>
          <w:szCs w:val="32"/>
        </w:rPr>
      </w:pPr>
      <w:r>
        <w:rPr>
          <w:rFonts w:ascii="Times New Roman" w:hAnsi="Times New Roman" w:eastAsia="仿宋_GB2312" w:cs="Times New Roman"/>
          <w:color w:val="000000"/>
          <w:kern w:val="0"/>
          <w:sz w:val="32"/>
          <w:szCs w:val="32"/>
        </w:rPr>
        <w:t>1.</w:t>
      </w:r>
      <w:r>
        <w:rPr>
          <w:rFonts w:hint="eastAsia" w:ascii="Times New Roman" w:hAnsi="Times New Roman" w:eastAsia="仿宋_GB2312" w:cs="仿宋_GB2312"/>
          <w:color w:val="000000"/>
          <w:spacing w:val="-6"/>
          <w:kern w:val="0"/>
          <w:sz w:val="32"/>
          <w:szCs w:val="32"/>
        </w:rPr>
        <w:t>因公出国（境）费用：</w:t>
      </w:r>
      <w:r>
        <w:rPr>
          <w:rFonts w:hint="eastAsia" w:ascii="仿宋_GB2312" w:hAnsi="仿宋_GB2312" w:eastAsia="仿宋_GB2312" w:cs="仿宋_GB2312"/>
          <w:sz w:val="32"/>
          <w:szCs w:val="32"/>
        </w:rPr>
        <w:t>反映市本级行政事业单位工作人员公务出国（境）的</w:t>
      </w:r>
      <w:r>
        <w:rPr>
          <w:rFonts w:hint="eastAsia" w:ascii="仿宋_GB2312" w:hAnsi="仿宋_GB2312" w:eastAsia="仿宋_GB2312" w:cs="仿宋_GB2312"/>
          <w:sz w:val="32"/>
          <w:szCs w:val="32"/>
          <w:lang w:val="en-US" w:eastAsia="zh-CN"/>
        </w:rPr>
        <w:t>国际旅费、国外城市间交通费、</w:t>
      </w:r>
      <w:r>
        <w:rPr>
          <w:rFonts w:hint="eastAsia" w:ascii="仿宋_GB2312" w:hAnsi="仿宋_GB2312" w:eastAsia="仿宋_GB2312" w:cs="仿宋_GB2312"/>
          <w:sz w:val="32"/>
          <w:szCs w:val="32"/>
        </w:rPr>
        <w:t>住宿费</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伙食费、</w:t>
      </w:r>
      <w:r>
        <w:rPr>
          <w:rFonts w:hint="eastAsia" w:ascii="仿宋_GB2312" w:hAnsi="仿宋_GB2312" w:eastAsia="仿宋_GB2312" w:cs="仿宋_GB2312"/>
          <w:sz w:val="32"/>
          <w:szCs w:val="32"/>
          <w:lang w:val="en-US" w:eastAsia="zh-CN"/>
        </w:rPr>
        <w:t>公</w:t>
      </w:r>
      <w:r>
        <w:rPr>
          <w:rFonts w:hint="eastAsia" w:ascii="仿宋_GB2312" w:hAnsi="仿宋_GB2312" w:eastAsia="仿宋_GB2312" w:cs="仿宋_GB2312"/>
          <w:sz w:val="32"/>
          <w:szCs w:val="32"/>
        </w:rPr>
        <w:t>杂费、培训费等支出。</w:t>
      </w:r>
    </w:p>
    <w:p>
      <w:pPr>
        <w:spacing w:line="560" w:lineRule="exact"/>
        <w:ind w:firstLine="640" w:firstLineChars="200"/>
        <w:rPr>
          <w:rFonts w:ascii="仿宋_GB2312" w:hAnsi="仿宋_GB2312" w:eastAsia="仿宋_GB2312" w:cs="仿宋_GB2312"/>
          <w:sz w:val="32"/>
          <w:szCs w:val="32"/>
        </w:rPr>
      </w:pPr>
      <w:r>
        <w:rPr>
          <w:rFonts w:ascii="Times New Roman" w:hAnsi="Times New Roman" w:eastAsia="仿宋_GB2312" w:cs="Times New Roman"/>
          <w:color w:val="000000"/>
          <w:kern w:val="0"/>
          <w:sz w:val="32"/>
          <w:szCs w:val="32"/>
        </w:rPr>
        <w:t>2.</w:t>
      </w:r>
      <w:r>
        <w:rPr>
          <w:rFonts w:hint="eastAsia" w:ascii="Times New Roman" w:hAnsi="Times New Roman" w:eastAsia="仿宋_GB2312" w:cs="仿宋_GB2312"/>
          <w:color w:val="000000"/>
          <w:kern w:val="0"/>
          <w:sz w:val="32"/>
          <w:szCs w:val="32"/>
        </w:rPr>
        <w:t>公务接待费：</w:t>
      </w:r>
      <w:r>
        <w:rPr>
          <w:rFonts w:hint="eastAsia" w:ascii="仿宋_GB2312" w:hAnsi="仿宋_GB2312" w:eastAsia="仿宋_GB2312" w:cs="仿宋_GB2312"/>
          <w:sz w:val="32"/>
          <w:szCs w:val="32"/>
        </w:rPr>
        <w:t>反映市本级行政事业单位按规定开支的各类公务接待费用。</w:t>
      </w:r>
      <w:r>
        <w:rPr>
          <w:rFonts w:hint="default" w:ascii="Times New Roman" w:hAnsi="Times New Roman" w:eastAsia="仿宋_GB2312" w:cs="Times New Roman"/>
          <w:color w:val="000000"/>
          <w:kern w:val="0"/>
          <w:sz w:val="32"/>
          <w:szCs w:val="32"/>
          <w:highlight w:val="none"/>
          <w:lang w:val="en-US" w:eastAsia="zh-Hans" w:bidi="ar"/>
        </w:rPr>
        <w:t>包括</w:t>
      </w:r>
      <w:r>
        <w:rPr>
          <w:rFonts w:hint="eastAsia" w:ascii="Times New Roman" w:hAnsi="Times New Roman" w:eastAsia="仿宋_GB2312" w:cs="Times New Roman"/>
          <w:color w:val="000000"/>
          <w:kern w:val="0"/>
          <w:sz w:val="32"/>
          <w:szCs w:val="32"/>
          <w:highlight w:val="none"/>
          <w:lang w:val="en-US" w:eastAsia="zh-CN" w:bidi="ar"/>
        </w:rPr>
        <w:t>用餐费、会议室租赁费</w:t>
      </w:r>
      <w:r>
        <w:rPr>
          <w:rFonts w:hint="default" w:ascii="Times New Roman" w:hAnsi="Times New Roman" w:eastAsia="仿宋_GB2312" w:cs="Times New Roman"/>
          <w:color w:val="000000"/>
          <w:kern w:val="0"/>
          <w:sz w:val="32"/>
          <w:szCs w:val="32"/>
          <w:highlight w:val="none"/>
          <w:lang w:val="en-US" w:eastAsia="zh-Hans" w:bidi="ar"/>
        </w:rPr>
        <w:t>等。</w:t>
      </w:r>
    </w:p>
    <w:p>
      <w:pPr>
        <w:spacing w:line="560" w:lineRule="exact"/>
        <w:ind w:firstLine="640" w:firstLineChars="200"/>
        <w:rPr>
          <w:rFonts w:hint="eastAsia" w:ascii="仿宋_GB2312" w:hAnsi="仿宋_GB2312" w:eastAsia="仿宋_GB2312" w:cs="仿宋_GB2312"/>
          <w:sz w:val="32"/>
          <w:szCs w:val="32"/>
        </w:rPr>
      </w:pPr>
      <w:r>
        <w:rPr>
          <w:rFonts w:ascii="Times New Roman" w:hAnsi="Times New Roman" w:eastAsia="仿宋_GB2312" w:cs="Times New Roman"/>
          <w:color w:val="000000"/>
          <w:kern w:val="0"/>
          <w:sz w:val="32"/>
          <w:szCs w:val="32"/>
        </w:rPr>
        <w:t>3.</w:t>
      </w:r>
      <w:r>
        <w:rPr>
          <w:rFonts w:hint="eastAsia" w:ascii="Times New Roman" w:hAnsi="Times New Roman" w:eastAsia="仿宋_GB2312" w:cs="仿宋_GB2312"/>
          <w:color w:val="000000"/>
          <w:kern w:val="0"/>
          <w:sz w:val="32"/>
          <w:szCs w:val="32"/>
        </w:rPr>
        <w:t>公务用车购置：</w:t>
      </w:r>
      <w:r>
        <w:rPr>
          <w:rFonts w:hint="eastAsia" w:ascii="仿宋_GB2312" w:hAnsi="仿宋_GB2312" w:eastAsia="仿宋_GB2312" w:cs="仿宋_GB2312"/>
          <w:sz w:val="32"/>
          <w:szCs w:val="32"/>
        </w:rPr>
        <w:t>反映市本级行政事业单位公务用车车辆购置支出（含车辆购置税</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牌照费</w:t>
      </w:r>
      <w:r>
        <w:rPr>
          <w:rFonts w:hint="eastAsia" w:ascii="仿宋_GB2312" w:hAnsi="仿宋_GB2312" w:eastAsia="仿宋_GB2312" w:cs="仿宋_GB2312"/>
          <w:sz w:val="32"/>
          <w:szCs w:val="32"/>
        </w:rPr>
        <w:t>）。</w:t>
      </w:r>
    </w:p>
    <w:p>
      <w:pPr>
        <w:spacing w:line="560" w:lineRule="exact"/>
        <w:ind w:firstLine="640" w:firstLineChars="200"/>
        <w:rPr>
          <w:rFonts w:eastAsia="仿宋_GB2312"/>
          <w:color w:val="000000"/>
          <w:kern w:val="0"/>
          <w:sz w:val="32"/>
          <w:szCs w:val="32"/>
        </w:rPr>
      </w:pPr>
      <w:r>
        <w:rPr>
          <w:rFonts w:ascii="Times New Roman" w:hAnsi="Times New Roman" w:eastAsia="仿宋_GB2312" w:cs="Times New Roman"/>
          <w:color w:val="000000"/>
          <w:kern w:val="0"/>
          <w:sz w:val="32"/>
          <w:szCs w:val="32"/>
        </w:rPr>
        <w:t>4.</w:t>
      </w:r>
      <w:r>
        <w:rPr>
          <w:rFonts w:hint="eastAsia" w:ascii="Times New Roman" w:hAnsi="Times New Roman" w:eastAsia="仿宋_GB2312" w:cs="仿宋_GB2312"/>
          <w:color w:val="000000"/>
          <w:kern w:val="0"/>
          <w:sz w:val="32"/>
          <w:szCs w:val="32"/>
        </w:rPr>
        <w:t>公务用车运行维护费：</w:t>
      </w:r>
      <w:r>
        <w:rPr>
          <w:rFonts w:hint="eastAsia" w:ascii="仿宋_GB2312" w:hAnsi="仿宋_GB2312" w:eastAsia="仿宋_GB2312" w:cs="仿宋_GB2312"/>
          <w:sz w:val="32"/>
          <w:szCs w:val="32"/>
        </w:rPr>
        <w:t>反映市本级行政事业单位</w:t>
      </w:r>
      <w:r>
        <w:rPr>
          <w:rFonts w:hint="eastAsia" w:ascii="仿宋_GB2312" w:hAnsi="仿宋_GB2312" w:eastAsia="仿宋_GB2312" w:cs="仿宋_GB2312"/>
          <w:sz w:val="32"/>
          <w:szCs w:val="32"/>
          <w:lang w:val="en-US" w:eastAsia="zh-CN"/>
        </w:rPr>
        <w:t>按规定保留的公务用车、新能源汽车充电费、维修费、过桥过路费、保险费、</w:t>
      </w:r>
      <w:r>
        <w:rPr>
          <w:rFonts w:hint="eastAsia" w:ascii="仿宋_GB2312" w:hAnsi="仿宋_GB2312" w:eastAsia="仿宋_GB2312" w:cs="仿宋_GB2312"/>
          <w:sz w:val="32"/>
          <w:szCs w:val="32"/>
        </w:rPr>
        <w:t>安全奖励费用等支出。</w:t>
      </w:r>
    </w:p>
    <w:p>
      <w:pPr>
        <w:autoSpaceDE w:val="0"/>
        <w:autoSpaceDN w:val="0"/>
        <w:spacing w:line="600" w:lineRule="exact"/>
        <w:ind w:firstLine="627" w:firstLineChars="200"/>
        <w:rPr>
          <w:rFonts w:eastAsia="楷体_GB2312"/>
          <w:b/>
          <w:bCs w:val="0"/>
          <w:spacing w:val="-4"/>
          <w:sz w:val="32"/>
          <w:szCs w:val="32"/>
        </w:rPr>
      </w:pPr>
      <w:r>
        <w:rPr>
          <w:rFonts w:hint="eastAsia" w:ascii="Times New Roman" w:hAnsi="Times New Roman" w:eastAsia="楷体_GB2312" w:cs="楷体_GB2312"/>
          <w:b/>
          <w:bCs w:val="0"/>
          <w:spacing w:val="-4"/>
          <w:sz w:val="32"/>
          <w:szCs w:val="32"/>
        </w:rPr>
        <w:t>三、</w:t>
      </w:r>
      <w:r>
        <w:rPr>
          <w:rFonts w:hint="eastAsia" w:ascii="Times New Roman" w:hAnsi="Times New Roman" w:eastAsia="楷体_GB2312" w:cs="楷体_GB2312"/>
          <w:b/>
          <w:bCs w:val="0"/>
          <w:spacing w:val="-4"/>
          <w:sz w:val="32"/>
          <w:szCs w:val="32"/>
          <w:lang w:val="en-US" w:eastAsia="zh-CN"/>
        </w:rPr>
        <w:t>财政拨款</w:t>
      </w:r>
      <w:r>
        <w:rPr>
          <w:rFonts w:ascii="Times New Roman" w:hAnsi="Times New Roman" w:eastAsia="楷体_GB2312" w:cs="Times New Roman"/>
          <w:b/>
          <w:bCs w:val="0"/>
          <w:spacing w:val="-4"/>
          <w:sz w:val="32"/>
          <w:szCs w:val="32"/>
        </w:rPr>
        <w:t>“</w:t>
      </w:r>
      <w:r>
        <w:rPr>
          <w:rFonts w:hint="eastAsia" w:ascii="Times New Roman" w:hAnsi="Times New Roman" w:eastAsia="楷体_GB2312" w:cs="楷体_GB2312"/>
          <w:b/>
          <w:bCs w:val="0"/>
          <w:spacing w:val="-4"/>
          <w:sz w:val="32"/>
          <w:szCs w:val="32"/>
        </w:rPr>
        <w:t>三公</w:t>
      </w:r>
      <w:r>
        <w:rPr>
          <w:rFonts w:ascii="Times New Roman" w:hAnsi="Times New Roman" w:eastAsia="楷体_GB2312" w:cs="Times New Roman"/>
          <w:b/>
          <w:bCs w:val="0"/>
          <w:spacing w:val="-4"/>
          <w:sz w:val="32"/>
          <w:szCs w:val="32"/>
        </w:rPr>
        <w:t>”</w:t>
      </w:r>
      <w:r>
        <w:rPr>
          <w:rFonts w:hint="eastAsia" w:ascii="Times New Roman" w:hAnsi="Times New Roman" w:eastAsia="楷体_GB2312" w:cs="楷体_GB2312"/>
          <w:b/>
          <w:bCs w:val="0"/>
          <w:spacing w:val="-4"/>
          <w:sz w:val="32"/>
          <w:szCs w:val="32"/>
        </w:rPr>
        <w:t>经费预算总额情况</w:t>
      </w:r>
    </w:p>
    <w:p>
      <w:pPr>
        <w:spacing w:line="560" w:lineRule="exact"/>
        <w:ind w:firstLine="607" w:firstLineChars="200"/>
        <w:rPr>
          <w:rFonts w:hint="eastAsia" w:ascii="仿宋_GB2312" w:hAnsi="仿宋_GB2312" w:eastAsia="仿宋_GB2312" w:cs="仿宋_GB2312"/>
          <w:b/>
          <w:bCs w:val="0"/>
          <w:color w:val="000000"/>
          <w:spacing w:val="-9"/>
          <w:sz w:val="32"/>
          <w:szCs w:val="32"/>
          <w:lang w:val="en-US" w:eastAsia="zh-CN"/>
        </w:rPr>
      </w:pPr>
      <w:r>
        <w:rPr>
          <w:rFonts w:hint="eastAsia" w:ascii="仿宋_GB2312" w:hAnsi="仿宋_GB2312" w:eastAsia="仿宋_GB2312" w:cs="仿宋_GB2312"/>
          <w:b/>
          <w:bCs w:val="0"/>
          <w:color w:val="000000"/>
          <w:spacing w:val="-9"/>
          <w:sz w:val="32"/>
          <w:szCs w:val="32"/>
          <w:lang w:val="en-US" w:eastAsia="zh-CN"/>
        </w:rPr>
        <w:t>1.基本情况</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04" w:firstLineChars="200"/>
        <w:jc w:val="both"/>
        <w:textAlignment w:val="auto"/>
        <w:outlineLvl w:val="9"/>
        <w:rPr>
          <w:rFonts w:hint="default" w:ascii="Times New Roman" w:hAnsi="Times New Roman" w:eastAsia="仿宋_GB2312" w:cs="Times New Roman"/>
          <w:b/>
          <w:bCs/>
          <w:color w:val="000000"/>
          <w:kern w:val="0"/>
          <w:sz w:val="32"/>
          <w:szCs w:val="32"/>
          <w:highlight w:val="none"/>
          <w:lang w:eastAsia="zh-Hans" w:bidi="ar"/>
        </w:rPr>
      </w:pPr>
      <w:r>
        <w:rPr>
          <w:rFonts w:hint="eastAsia" w:ascii="仿宋_GB2312" w:hAnsi="仿宋_GB2312" w:eastAsia="仿宋_GB2312" w:cs="仿宋_GB2312"/>
          <w:bCs/>
          <w:color w:val="000000"/>
          <w:spacing w:val="-9"/>
          <w:sz w:val="32"/>
          <w:szCs w:val="32"/>
          <w:lang w:val="en-US" w:eastAsia="zh-CN"/>
        </w:rPr>
        <w:t>2025年，吐鲁番市本级“三公”经费预算支出1546.29万元，较上年1549万元，同比下降0.17%，</w:t>
      </w:r>
      <w:r>
        <w:rPr>
          <w:rFonts w:hint="default" w:ascii="Times New Roman" w:hAnsi="Times New Roman" w:eastAsia="仿宋_GB2312" w:cs="Times New Roman"/>
          <w:b w:val="0"/>
          <w:bCs w:val="0"/>
          <w:color w:val="000000"/>
          <w:kern w:val="0"/>
          <w:sz w:val="32"/>
          <w:szCs w:val="32"/>
          <w:highlight w:val="none"/>
          <w:lang w:val="en-US" w:eastAsia="zh-Hans" w:bidi="ar"/>
        </w:rPr>
        <w:t>其中公务接待费</w:t>
      </w:r>
      <w:r>
        <w:rPr>
          <w:rFonts w:hint="eastAsia" w:ascii="Times New Roman" w:hAnsi="Times New Roman" w:eastAsia="仿宋_GB2312" w:cs="Times New Roman"/>
          <w:b w:val="0"/>
          <w:bCs w:val="0"/>
          <w:color w:val="000000"/>
          <w:kern w:val="0"/>
          <w:sz w:val="32"/>
          <w:szCs w:val="32"/>
          <w:highlight w:val="none"/>
          <w:lang w:val="en-US" w:eastAsia="zh-CN" w:bidi="ar"/>
        </w:rPr>
        <w:t>337.29</w:t>
      </w:r>
      <w:r>
        <w:rPr>
          <w:rFonts w:hint="default" w:ascii="Times New Roman" w:hAnsi="Times New Roman" w:eastAsia="仿宋_GB2312" w:cs="Times New Roman"/>
          <w:color w:val="000000"/>
          <w:kern w:val="0"/>
          <w:sz w:val="32"/>
          <w:szCs w:val="32"/>
          <w:highlight w:val="none"/>
          <w:lang w:val="en-US" w:eastAsia="zh-Hans" w:bidi="ar"/>
        </w:rPr>
        <w:t>万元，因公出国（境）费用</w:t>
      </w:r>
      <w:r>
        <w:rPr>
          <w:rFonts w:hint="eastAsia" w:ascii="Times New Roman" w:hAnsi="Times New Roman" w:eastAsia="仿宋_GB2312" w:cs="Times New Roman"/>
          <w:color w:val="000000"/>
          <w:kern w:val="0"/>
          <w:sz w:val="32"/>
          <w:szCs w:val="32"/>
          <w:highlight w:val="none"/>
          <w:lang w:val="en-US" w:eastAsia="zh-CN" w:bidi="ar"/>
        </w:rPr>
        <w:t>0</w:t>
      </w:r>
      <w:r>
        <w:rPr>
          <w:rFonts w:hint="default" w:ascii="Times New Roman" w:hAnsi="Times New Roman" w:eastAsia="仿宋_GB2312" w:cs="Times New Roman"/>
          <w:color w:val="000000"/>
          <w:kern w:val="0"/>
          <w:sz w:val="32"/>
          <w:szCs w:val="32"/>
          <w:highlight w:val="none"/>
          <w:lang w:val="en-US" w:eastAsia="zh-Hans" w:bidi="ar"/>
        </w:rPr>
        <w:t>万元，公车费用</w:t>
      </w:r>
      <w:r>
        <w:rPr>
          <w:rFonts w:hint="eastAsia" w:ascii="Times New Roman" w:hAnsi="Times New Roman" w:eastAsia="仿宋_GB2312" w:cs="Times New Roman"/>
          <w:color w:val="000000"/>
          <w:kern w:val="0"/>
          <w:sz w:val="32"/>
          <w:szCs w:val="32"/>
          <w:highlight w:val="none"/>
          <w:lang w:val="en-US" w:eastAsia="zh-CN" w:bidi="ar"/>
        </w:rPr>
        <w:t>1209</w:t>
      </w:r>
      <w:r>
        <w:rPr>
          <w:rFonts w:hint="default" w:ascii="Times New Roman" w:hAnsi="Times New Roman" w:eastAsia="仿宋_GB2312" w:cs="Times New Roman"/>
          <w:color w:val="000000"/>
          <w:kern w:val="0"/>
          <w:sz w:val="32"/>
          <w:szCs w:val="32"/>
          <w:highlight w:val="none"/>
          <w:lang w:val="en-US" w:eastAsia="zh-Hans" w:bidi="ar"/>
        </w:rPr>
        <w:t>万元（</w:t>
      </w:r>
      <w:r>
        <w:rPr>
          <w:rFonts w:hint="eastAsia" w:ascii="Times New Roman" w:hAnsi="Times New Roman" w:eastAsia="仿宋_GB2312" w:cs="Times New Roman"/>
          <w:color w:val="000000"/>
          <w:kern w:val="0"/>
          <w:sz w:val="32"/>
          <w:szCs w:val="32"/>
          <w:highlight w:val="none"/>
          <w:lang w:val="en-US" w:eastAsia="zh-CN" w:bidi="ar"/>
        </w:rPr>
        <w:t>其中：</w:t>
      </w:r>
      <w:r>
        <w:rPr>
          <w:rFonts w:hint="default" w:ascii="Times New Roman" w:hAnsi="Times New Roman" w:eastAsia="仿宋_GB2312" w:cs="Times New Roman"/>
          <w:color w:val="000000"/>
          <w:kern w:val="0"/>
          <w:sz w:val="32"/>
          <w:szCs w:val="32"/>
          <w:highlight w:val="none"/>
          <w:lang w:val="en-US" w:eastAsia="zh-Hans" w:bidi="ar"/>
        </w:rPr>
        <w:t>车辆购置费</w:t>
      </w:r>
      <w:r>
        <w:rPr>
          <w:rFonts w:hint="eastAsia" w:ascii="Times New Roman" w:hAnsi="Times New Roman" w:eastAsia="仿宋_GB2312" w:cs="Times New Roman"/>
          <w:color w:val="000000"/>
          <w:kern w:val="0"/>
          <w:sz w:val="32"/>
          <w:szCs w:val="32"/>
          <w:highlight w:val="none"/>
          <w:lang w:val="en-US" w:eastAsia="zh-CN" w:bidi="ar"/>
        </w:rPr>
        <w:t>0</w:t>
      </w:r>
      <w:r>
        <w:rPr>
          <w:rFonts w:hint="default" w:ascii="Times New Roman" w:hAnsi="Times New Roman" w:eastAsia="仿宋_GB2312" w:cs="Times New Roman"/>
          <w:color w:val="000000"/>
          <w:kern w:val="0"/>
          <w:sz w:val="32"/>
          <w:szCs w:val="32"/>
          <w:highlight w:val="none"/>
          <w:lang w:val="en-US" w:eastAsia="zh-Hans" w:bidi="ar"/>
        </w:rPr>
        <w:t>万元，车辆运行及维护费</w:t>
      </w:r>
      <w:r>
        <w:rPr>
          <w:rFonts w:hint="eastAsia" w:ascii="Times New Roman" w:hAnsi="Times New Roman" w:eastAsia="仿宋_GB2312" w:cs="Times New Roman"/>
          <w:color w:val="000000"/>
          <w:kern w:val="0"/>
          <w:sz w:val="32"/>
          <w:szCs w:val="32"/>
          <w:highlight w:val="none"/>
          <w:lang w:val="en-US" w:eastAsia="zh-CN" w:bidi="ar"/>
        </w:rPr>
        <w:t>1209</w:t>
      </w:r>
      <w:r>
        <w:rPr>
          <w:rFonts w:hint="default" w:ascii="Times New Roman" w:hAnsi="Times New Roman" w:eastAsia="仿宋_GB2312" w:cs="Times New Roman"/>
          <w:color w:val="000000"/>
          <w:kern w:val="0"/>
          <w:sz w:val="32"/>
          <w:szCs w:val="32"/>
          <w:highlight w:val="none"/>
          <w:lang w:val="en-US" w:eastAsia="zh-Hans" w:bidi="ar"/>
        </w:rPr>
        <w:t>万元）。</w:t>
      </w:r>
    </w:p>
    <w:p>
      <w:pPr>
        <w:autoSpaceDE w:val="0"/>
        <w:autoSpaceDN w:val="0"/>
        <w:spacing w:line="600" w:lineRule="exact"/>
        <w:ind w:firstLine="643" w:firstLineChars="200"/>
        <w:rPr>
          <w:rFonts w:hint="eastAsia" w:ascii="仿宋_GB2312" w:hAnsi="仿宋_GB2312" w:eastAsia="仿宋_GB2312" w:cs="仿宋_GB2312"/>
          <w:b/>
          <w:color w:val="000000" w:themeColor="text1"/>
          <w:kern w:val="0"/>
          <w:sz w:val="32"/>
          <w:szCs w:val="32"/>
          <w:highlight w:val="none"/>
          <w14:textFill>
            <w14:solidFill>
              <w14:schemeClr w14:val="tx1"/>
            </w14:solidFill>
          </w14:textFill>
        </w:rPr>
      </w:pPr>
      <w:r>
        <w:rPr>
          <w:rFonts w:hint="eastAsia" w:ascii="仿宋_GB2312" w:hAnsi="仿宋_GB2312" w:eastAsia="仿宋_GB2312" w:cs="仿宋_GB2312"/>
          <w:b/>
          <w:color w:val="000000" w:themeColor="text1"/>
          <w:kern w:val="0"/>
          <w:sz w:val="32"/>
          <w:szCs w:val="32"/>
          <w:highlight w:val="none"/>
          <w14:textFill>
            <w14:solidFill>
              <w14:schemeClr w14:val="tx1"/>
            </w14:solidFill>
          </w14:textFill>
        </w:rPr>
        <w:t>2.增减变化原因</w:t>
      </w:r>
    </w:p>
    <w:p>
      <w:pPr>
        <w:spacing w:line="560" w:lineRule="exact"/>
        <w:ind w:firstLine="604" w:firstLineChars="200"/>
        <w:rPr>
          <w:rFonts w:hint="eastAsia" w:ascii="Times New Roman" w:hAnsi="Times New Roman" w:eastAsia="黑体" w:cs="黑体"/>
          <w:b/>
          <w:bCs/>
          <w:kern w:val="0"/>
          <w:sz w:val="44"/>
          <w:szCs w:val="44"/>
        </w:rPr>
      </w:pPr>
      <w:r>
        <w:rPr>
          <w:rFonts w:hint="eastAsia" w:ascii="仿宋_GB2312" w:hAnsi="仿宋_GB2312" w:eastAsia="仿宋_GB2312" w:cs="仿宋_GB2312"/>
          <w:bCs/>
          <w:color w:val="000000"/>
          <w:spacing w:val="-9"/>
          <w:sz w:val="32"/>
          <w:szCs w:val="32"/>
          <w:lang w:val="en-US" w:eastAsia="zh-CN"/>
        </w:rPr>
        <w:t>2025年，市本级</w:t>
      </w:r>
      <w:r>
        <w:rPr>
          <w:rFonts w:hint="eastAsia" w:ascii="仿宋_GB2312" w:hAnsi="仿宋_GB2312" w:eastAsia="仿宋_GB2312" w:cs="仿宋_GB2312"/>
          <w:bCs/>
          <w:color w:val="000000" w:themeColor="text1"/>
          <w:spacing w:val="-9"/>
          <w:sz w:val="32"/>
          <w:szCs w:val="32"/>
          <w:highlight w:val="none"/>
          <w14:textFill>
            <w14:solidFill>
              <w14:schemeClr w14:val="tx1"/>
            </w14:solidFill>
          </w14:textFill>
        </w:rPr>
        <w:t>“三公</w:t>
      </w:r>
      <w:r>
        <w:rPr>
          <w:rFonts w:hint="eastAsia" w:ascii="仿宋_GB2312" w:hAnsi="仿宋_GB2312" w:eastAsia="仿宋_GB2312" w:cs="仿宋_GB2312"/>
          <w:bCs/>
          <w:color w:val="000000" w:themeColor="text1"/>
          <w:spacing w:val="-9"/>
          <w:sz w:val="32"/>
          <w:szCs w:val="32"/>
          <w14:textFill>
            <w14:solidFill>
              <w14:schemeClr w14:val="tx1"/>
            </w14:solidFill>
          </w14:textFill>
        </w:rPr>
        <w:t>”经费</w:t>
      </w:r>
      <w:r>
        <w:rPr>
          <w:rFonts w:hint="eastAsia" w:ascii="仿宋_GB2312" w:hAnsi="仿宋_GB2312" w:eastAsia="仿宋_GB2312" w:cs="仿宋_GB2312"/>
          <w:bCs/>
          <w:color w:val="000000" w:themeColor="text1"/>
          <w:spacing w:val="-9"/>
          <w:sz w:val="32"/>
          <w:szCs w:val="32"/>
          <w:lang w:val="en-US" w:eastAsia="zh-CN"/>
          <w14:textFill>
            <w14:solidFill>
              <w14:schemeClr w14:val="tx1"/>
            </w14:solidFill>
          </w14:textFill>
        </w:rPr>
        <w:t>有所</w:t>
      </w:r>
      <w:r>
        <w:rPr>
          <w:rFonts w:hint="eastAsia" w:ascii="仿宋_GB2312" w:hAnsi="仿宋_GB2312" w:eastAsia="仿宋_GB2312" w:cs="仿宋_GB2312"/>
          <w:bCs/>
          <w:color w:val="000000"/>
          <w:spacing w:val="-9"/>
          <w:sz w:val="32"/>
          <w:szCs w:val="32"/>
          <w:lang w:eastAsia="zh-CN"/>
        </w:rPr>
        <w:t>下降，</w:t>
      </w:r>
      <w:r>
        <w:rPr>
          <w:rFonts w:hint="eastAsia" w:ascii="仿宋_GB2312" w:hAnsi="仿宋_GB2312" w:eastAsia="仿宋_GB2312" w:cs="仿宋_GB2312"/>
          <w:bCs/>
          <w:color w:val="000000"/>
          <w:spacing w:val="-9"/>
          <w:sz w:val="32"/>
          <w:szCs w:val="32"/>
          <w:lang w:val="en-US" w:eastAsia="zh-CN"/>
        </w:rPr>
        <w:t>主要是公务接待费下降0.81%，减少2.71万元。主要原因是：</w:t>
      </w:r>
      <w:r>
        <w:rPr>
          <w:rFonts w:hint="eastAsia" w:ascii="仿宋_GB2312" w:hAnsi="仿宋_GB2312" w:eastAsia="仿宋_GB2312" w:cs="仿宋_GB2312"/>
          <w:bCs/>
          <w:color w:val="000000"/>
          <w:spacing w:val="-9"/>
          <w:sz w:val="32"/>
          <w:szCs w:val="32"/>
        </w:rPr>
        <w:t>吐鲁番市本级各部门单位</w:t>
      </w:r>
      <w:r>
        <w:rPr>
          <w:rFonts w:hint="eastAsia" w:ascii="仿宋_GB2312" w:hAnsi="仿宋_GB2312" w:eastAsia="仿宋_GB2312" w:cs="仿宋_GB2312"/>
          <w:bCs/>
          <w:color w:val="000000"/>
          <w:spacing w:val="-9"/>
          <w:sz w:val="32"/>
          <w:szCs w:val="32"/>
          <w:lang w:val="en-US" w:eastAsia="zh-CN"/>
        </w:rPr>
        <w:t>严格落实党中央、国务院关于习惯过</w:t>
      </w:r>
      <w:r>
        <w:rPr>
          <w:rFonts w:hint="eastAsia" w:ascii="仿宋_GB2312" w:hAnsi="仿宋_GB2312" w:eastAsia="仿宋_GB2312" w:cs="仿宋_GB2312"/>
          <w:bCs/>
          <w:color w:val="000000"/>
          <w:spacing w:val="-9"/>
          <w:sz w:val="32"/>
          <w:szCs w:val="32"/>
        </w:rPr>
        <w:t>紧日子</w:t>
      </w:r>
      <w:r>
        <w:rPr>
          <w:rFonts w:hint="eastAsia" w:ascii="仿宋_GB2312" w:hAnsi="仿宋_GB2312" w:eastAsia="仿宋_GB2312" w:cs="仿宋_GB2312"/>
          <w:bCs/>
          <w:color w:val="000000"/>
          <w:spacing w:val="-9"/>
          <w:sz w:val="32"/>
          <w:szCs w:val="32"/>
          <w:lang w:val="en-US" w:eastAsia="zh-CN"/>
        </w:rPr>
        <w:t>工作要求</w:t>
      </w:r>
      <w:r>
        <w:rPr>
          <w:rFonts w:hint="eastAsia" w:ascii="仿宋_GB2312" w:hAnsi="仿宋_GB2312" w:eastAsia="仿宋_GB2312" w:cs="仿宋_GB2312"/>
          <w:bCs/>
          <w:color w:val="000000"/>
          <w:spacing w:val="-9"/>
          <w:sz w:val="32"/>
          <w:szCs w:val="32"/>
        </w:rPr>
        <w:t>，</w:t>
      </w:r>
      <w:r>
        <w:rPr>
          <w:rFonts w:hint="eastAsia" w:ascii="仿宋_GB2312" w:hAnsi="仿宋_GB2312" w:eastAsia="仿宋_GB2312" w:cs="仿宋_GB2312"/>
          <w:bCs/>
          <w:color w:val="000000"/>
          <w:spacing w:val="-9"/>
          <w:sz w:val="32"/>
          <w:szCs w:val="32"/>
          <w:lang w:val="en-US" w:eastAsia="zh-CN"/>
        </w:rPr>
        <w:t>坚持精打细算、厉行勤俭节约，</w:t>
      </w:r>
      <w:r>
        <w:rPr>
          <w:rFonts w:hint="eastAsia" w:ascii="仿宋_GB2312" w:hAnsi="仿宋_GB2312" w:eastAsia="仿宋_GB2312" w:cs="仿宋_GB2312"/>
          <w:bCs/>
          <w:color w:val="000000"/>
          <w:spacing w:val="-9"/>
          <w:sz w:val="32"/>
          <w:szCs w:val="32"/>
        </w:rPr>
        <w:t>认真贯彻执行中央八项规定、自治区十条规定，坚持艰苦奋斗、勤俭节约的原则，从严控制“三公”经费，做到只减不增。</w:t>
      </w:r>
    </w:p>
    <w:bookmarkEnd w:id="6"/>
    <w:p>
      <w:pPr>
        <w:spacing w:line="600" w:lineRule="exact"/>
        <w:ind w:firstLine="1807" w:firstLineChars="500"/>
        <w:jc w:val="both"/>
        <w:rPr>
          <w:rFonts w:hint="eastAsia" w:ascii="Times New Roman" w:hAnsi="Times New Roman" w:eastAsia="黑体" w:cs="黑体"/>
          <w:b/>
          <w:bCs/>
          <w:kern w:val="0"/>
          <w:sz w:val="36"/>
          <w:szCs w:val="36"/>
        </w:rPr>
      </w:pPr>
    </w:p>
    <w:p>
      <w:pPr>
        <w:spacing w:line="600" w:lineRule="exact"/>
        <w:ind w:firstLine="1807" w:firstLineChars="500"/>
        <w:jc w:val="both"/>
        <w:rPr>
          <w:rFonts w:hint="eastAsia" w:ascii="Times New Roman" w:hAnsi="Times New Roman" w:eastAsia="黑体" w:cs="黑体"/>
          <w:b/>
          <w:bCs/>
          <w:kern w:val="0"/>
          <w:sz w:val="36"/>
          <w:szCs w:val="36"/>
        </w:rPr>
      </w:pPr>
    </w:p>
    <w:p>
      <w:pPr>
        <w:spacing w:line="600" w:lineRule="exact"/>
        <w:ind w:firstLine="1807" w:firstLineChars="500"/>
        <w:jc w:val="both"/>
        <w:rPr>
          <w:rFonts w:hint="eastAsia" w:eastAsia="黑体"/>
          <w:b/>
          <w:bCs/>
          <w:sz w:val="36"/>
          <w:szCs w:val="36"/>
          <w:lang w:eastAsia="zh-CN"/>
        </w:rPr>
      </w:pPr>
      <w:r>
        <w:rPr>
          <w:rFonts w:hint="eastAsia" w:ascii="Times New Roman" w:hAnsi="Times New Roman" w:eastAsia="黑体" w:cs="黑体"/>
          <w:b/>
          <w:bCs/>
          <w:kern w:val="0"/>
          <w:sz w:val="36"/>
          <w:szCs w:val="36"/>
        </w:rPr>
        <w:t>第四部分</w:t>
      </w:r>
      <w:r>
        <w:rPr>
          <w:rFonts w:hint="eastAsia" w:ascii="Times New Roman" w:hAnsi="Times New Roman" w:eastAsia="黑体" w:cs="黑体"/>
          <w:b/>
          <w:bCs/>
          <w:kern w:val="0"/>
          <w:sz w:val="36"/>
          <w:szCs w:val="36"/>
          <w:lang w:val="en-US" w:eastAsia="zh-CN"/>
        </w:rPr>
        <w:t xml:space="preserve"> </w:t>
      </w:r>
      <w:r>
        <w:rPr>
          <w:rFonts w:hint="eastAsia" w:ascii="Times New Roman" w:hAnsi="Times New Roman" w:eastAsia="黑体" w:cs="黑体"/>
          <w:b/>
          <w:bCs/>
          <w:kern w:val="0"/>
          <w:sz w:val="36"/>
          <w:szCs w:val="36"/>
        </w:rPr>
        <w:t>转移支付安排情况说明</w:t>
      </w:r>
    </w:p>
    <w:p>
      <w:pPr>
        <w:pStyle w:val="6"/>
        <w:keepNext w:val="0"/>
        <w:keepLines w:val="0"/>
        <w:pageBreakBefore w:val="0"/>
        <w:widowControl w:val="0"/>
        <w:kinsoku/>
        <w:wordWrap/>
        <w:overflowPunct/>
        <w:topLinePunct w:val="0"/>
        <w:autoSpaceDE w:val="0"/>
        <w:autoSpaceDN w:val="0"/>
        <w:bidi w:val="0"/>
        <w:adjustRightInd/>
        <w:snapToGrid w:val="0"/>
        <w:spacing w:before="0" w:line="560" w:lineRule="exact"/>
        <w:ind w:firstLine="640" w:firstLineChars="200"/>
        <w:jc w:val="left"/>
        <w:textAlignment w:val="auto"/>
        <w:rPr>
          <w:rFonts w:hint="eastAsia" w:ascii="仿宋_GB2312" w:hAnsi="仿宋_GB2312" w:eastAsia="仿宋_GB2312" w:cs="仿宋_GB2312"/>
          <w:lang w:val="en-US" w:eastAsia="zh-CN"/>
        </w:rPr>
      </w:pPr>
    </w:p>
    <w:p>
      <w:pPr>
        <w:pStyle w:val="6"/>
        <w:keepNext w:val="0"/>
        <w:keepLines w:val="0"/>
        <w:pageBreakBefore w:val="0"/>
        <w:widowControl w:val="0"/>
        <w:kinsoku/>
        <w:wordWrap/>
        <w:overflowPunct/>
        <w:topLinePunct w:val="0"/>
        <w:autoSpaceDE w:val="0"/>
        <w:autoSpaceDN w:val="0"/>
        <w:bidi w:val="0"/>
        <w:adjustRightInd/>
        <w:snapToGrid w:val="0"/>
        <w:spacing w:before="0" w:line="540" w:lineRule="exact"/>
        <w:ind w:left="0" w:leftChars="0" w:firstLine="640" w:firstLineChars="200"/>
        <w:jc w:val="left"/>
        <w:textAlignment w:val="auto"/>
        <w:rPr>
          <w:rFonts w:hint="eastAsia" w:ascii="Times New Roman" w:hAnsi="Times New Roman" w:eastAsia="楷体_GB2312" w:cs="楷体_GB2312"/>
          <w:b/>
          <w:spacing w:val="-4"/>
          <w:sz w:val="32"/>
          <w:szCs w:val="32"/>
        </w:rPr>
      </w:pPr>
      <w:r>
        <w:rPr>
          <w:rFonts w:hint="eastAsia" w:ascii="仿宋_GB2312" w:hAnsi="仿宋_GB2312" w:eastAsia="仿宋_GB2312" w:cs="仿宋_GB2312"/>
          <w:lang w:val="en-US" w:eastAsia="zh-CN"/>
        </w:rPr>
        <w:t>根据《中华人民共和国预算法》和《中华人民共和国预算法实施条例》的有关规定，按照2025年预算工作要求，依据自治区财政厅提前下达我市2025年转移支付情况和吐鲁番市本级财政收支预算情况，编制了2025年度吐鲁番市预算草案。现将预算中吐鲁番市对下一般公共预算对下转移支付情况说明如下：</w:t>
      </w:r>
    </w:p>
    <w:p>
      <w:pPr>
        <w:keepNext w:val="0"/>
        <w:keepLines w:val="0"/>
        <w:pageBreakBefore w:val="0"/>
        <w:widowControl w:val="0"/>
        <w:kinsoku/>
        <w:wordWrap/>
        <w:overflowPunct/>
        <w:topLinePunct w:val="0"/>
        <w:autoSpaceDE w:val="0"/>
        <w:autoSpaceDN w:val="0"/>
        <w:bidi w:val="0"/>
        <w:adjustRightInd/>
        <w:spacing w:line="540" w:lineRule="exact"/>
        <w:ind w:firstLine="624" w:firstLineChars="200"/>
        <w:jc w:val="left"/>
        <w:textAlignment w:val="auto"/>
        <w:rPr>
          <w:rFonts w:hint="eastAsia" w:ascii="黑体" w:hAnsi="黑体" w:eastAsia="黑体" w:cs="黑体"/>
          <w:b w:val="0"/>
          <w:bCs/>
          <w:spacing w:val="-4"/>
          <w:sz w:val="32"/>
          <w:szCs w:val="32"/>
        </w:rPr>
      </w:pPr>
      <w:r>
        <w:rPr>
          <w:rFonts w:hint="eastAsia" w:ascii="黑体" w:hAnsi="黑体" w:eastAsia="黑体" w:cs="黑体"/>
          <w:b w:val="0"/>
          <w:bCs/>
          <w:spacing w:val="-4"/>
          <w:sz w:val="32"/>
          <w:szCs w:val="32"/>
        </w:rPr>
        <w:t>一、一般公共预算对下转移支付情况</w:t>
      </w:r>
    </w:p>
    <w:p>
      <w:pPr>
        <w:pStyle w:val="6"/>
        <w:keepNext w:val="0"/>
        <w:keepLines w:val="0"/>
        <w:pageBreakBefore w:val="0"/>
        <w:widowControl w:val="0"/>
        <w:kinsoku/>
        <w:wordWrap/>
        <w:overflowPunct/>
        <w:topLinePunct w:val="0"/>
        <w:autoSpaceDE w:val="0"/>
        <w:autoSpaceDN w:val="0"/>
        <w:bidi w:val="0"/>
        <w:adjustRightInd/>
        <w:snapToGrid w:val="0"/>
        <w:spacing w:before="0" w:line="540" w:lineRule="exact"/>
        <w:ind w:left="0" w:leftChars="0" w:firstLine="643" w:firstLineChars="200"/>
        <w:jc w:val="left"/>
        <w:textAlignment w:val="auto"/>
        <w:rPr>
          <w:rFonts w:hint="eastAsia" w:ascii="楷体" w:hAnsi="楷体" w:eastAsia="楷体" w:cs="楷体"/>
          <w:b/>
          <w:bCs/>
          <w:lang w:val="en-US" w:eastAsia="zh-CN"/>
        </w:rPr>
      </w:pPr>
      <w:r>
        <w:rPr>
          <w:rFonts w:hint="eastAsia" w:ascii="楷体" w:hAnsi="楷体" w:eastAsia="楷体" w:cs="楷体"/>
          <w:b/>
          <w:bCs/>
          <w:lang w:val="en-US" w:eastAsia="zh-CN"/>
        </w:rPr>
        <w:t>(一)关于自治区财政提前下达吐鲁番市一般公共预算情况</w:t>
      </w:r>
    </w:p>
    <w:p>
      <w:pPr>
        <w:pStyle w:val="6"/>
        <w:keepNext w:val="0"/>
        <w:keepLines w:val="0"/>
        <w:pageBreakBefore w:val="0"/>
        <w:widowControl w:val="0"/>
        <w:kinsoku/>
        <w:wordWrap/>
        <w:overflowPunct/>
        <w:topLinePunct w:val="0"/>
        <w:autoSpaceDE w:val="0"/>
        <w:autoSpaceDN w:val="0"/>
        <w:bidi w:val="0"/>
        <w:adjustRightInd/>
        <w:snapToGrid w:val="0"/>
        <w:spacing w:before="0" w:line="540" w:lineRule="exact"/>
        <w:ind w:left="0" w:leftChars="0" w:firstLine="640" w:firstLineChars="200"/>
        <w:jc w:val="left"/>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lang w:val="en-US" w:eastAsia="zh-CN"/>
        </w:rPr>
        <w:t>2025年，自治区提前预告知吐鲁番市一般公共预算转移支付补助 599496万元，比2024年416002万元，增加183494万元，增长44.11%，其中：市本级97797万元、高昌区190544万元，鄯善县165022万元，托克逊县146133万元。预告知返还性及一般性转移支付补助 569433万元，比2024年增加170437万元，增长42.72 %。专项转移支付补助30063万元，比上年增加13057万元，同比增长76.78%，增加的主要原因是2025年按照财权事权和支出责任划分改革要求，财政对地方事权和支出责任更加明晰，专项转移支付补助有所增加，如：自然资源海洋气象等提前下达10000万元。2025年自治区财政提前下达吐鲁番市转移支付中，有特定用途的一般性转移支付以及专项转移支付补助，吐鲁番市本级财政按照提前下达转移支付的有关规定，全部提前下达吐鲁番市本级部门和各区（县）。</w:t>
      </w:r>
    </w:p>
    <w:p>
      <w:pPr>
        <w:pStyle w:val="6"/>
        <w:keepNext w:val="0"/>
        <w:keepLines w:val="0"/>
        <w:pageBreakBefore w:val="0"/>
        <w:widowControl w:val="0"/>
        <w:kinsoku/>
        <w:wordWrap/>
        <w:overflowPunct/>
        <w:topLinePunct w:val="0"/>
        <w:autoSpaceDE w:val="0"/>
        <w:autoSpaceDN w:val="0"/>
        <w:bidi w:val="0"/>
        <w:adjustRightInd/>
        <w:snapToGrid w:val="0"/>
        <w:spacing w:before="0" w:line="540" w:lineRule="exact"/>
        <w:ind w:left="0" w:leftChars="0" w:firstLine="643" w:firstLineChars="200"/>
        <w:jc w:val="left"/>
        <w:textAlignment w:val="auto"/>
        <w:rPr>
          <w:rFonts w:hint="eastAsia" w:ascii="楷体_GB2312" w:hAnsi="楷体_GB2312" w:eastAsia="楷体_GB2312" w:cs="楷体_GB2312"/>
          <w:b/>
          <w:bCs/>
          <w:lang w:val="en-US" w:eastAsia="zh-CN"/>
        </w:rPr>
      </w:pPr>
      <w:r>
        <w:rPr>
          <w:rFonts w:hint="eastAsia" w:ascii="楷体_GB2312" w:hAnsi="楷体_GB2312" w:eastAsia="楷体_GB2312" w:cs="楷体_GB2312"/>
          <w:b/>
          <w:bCs/>
          <w:lang w:val="en-US" w:eastAsia="zh-CN"/>
        </w:rPr>
        <w:t>（二）关于吐鲁番市财政对区（县）转移支付情况</w:t>
      </w:r>
    </w:p>
    <w:p>
      <w:pPr>
        <w:pStyle w:val="6"/>
        <w:keepNext w:val="0"/>
        <w:keepLines w:val="0"/>
        <w:pageBreakBefore w:val="0"/>
        <w:widowControl w:val="0"/>
        <w:kinsoku/>
        <w:wordWrap/>
        <w:overflowPunct/>
        <w:topLinePunct w:val="0"/>
        <w:autoSpaceDE w:val="0"/>
        <w:autoSpaceDN w:val="0"/>
        <w:bidi w:val="0"/>
        <w:adjustRightInd/>
        <w:snapToGrid w:val="0"/>
        <w:spacing w:before="0" w:line="540" w:lineRule="exact"/>
        <w:ind w:firstLine="640" w:firstLineChars="200"/>
        <w:jc w:val="left"/>
        <w:textAlignment w:val="auto"/>
        <w:rPr>
          <w:rFonts w:hint="eastAsia" w:ascii="仿宋" w:hAnsi="仿宋" w:eastAsia="仿宋" w:cs="仿宋"/>
          <w:highlight w:val="none"/>
          <w:lang w:val="en-US" w:eastAsia="zh-CN"/>
        </w:rPr>
      </w:pPr>
      <w:r>
        <w:rPr>
          <w:rFonts w:hint="eastAsia" w:ascii="仿宋" w:hAnsi="仿宋" w:eastAsia="仿宋" w:cs="仿宋"/>
          <w:b w:val="0"/>
          <w:bCs w:val="0"/>
          <w:color w:val="000000" w:themeColor="text1"/>
          <w:sz w:val="32"/>
          <w:szCs w:val="32"/>
          <w:lang w:val="en-US" w:eastAsia="zh-CN"/>
          <w14:textFill>
            <w14:solidFill>
              <w14:schemeClr w14:val="tx1"/>
            </w14:solidFill>
          </w14:textFill>
        </w:rPr>
        <w:t>2025年，吐鲁番市财政年初预算编制上级财力对各区（县）转移支付补助</w:t>
      </w:r>
      <w:r>
        <w:rPr>
          <w:rFonts w:hint="eastAsia" w:ascii="仿宋" w:hAnsi="仿宋" w:eastAsia="仿宋" w:cs="仿宋"/>
          <w:b w:val="0"/>
          <w:bCs w:val="0"/>
          <w:i w:val="0"/>
          <w:iCs w:val="0"/>
          <w:color w:val="000000" w:themeColor="text1"/>
          <w:kern w:val="0"/>
          <w:sz w:val="32"/>
          <w:szCs w:val="32"/>
          <w:u w:val="none"/>
          <w:lang w:val="en-US" w:eastAsia="zh-CN" w:bidi="ar"/>
          <w14:textFill>
            <w14:solidFill>
              <w14:schemeClr w14:val="tx1"/>
            </w14:solidFill>
          </w14:textFill>
        </w:rPr>
        <w:t>501699</w:t>
      </w:r>
      <w:r>
        <w:rPr>
          <w:rFonts w:hint="eastAsia" w:ascii="仿宋" w:hAnsi="仿宋" w:eastAsia="仿宋" w:cs="仿宋"/>
          <w:b w:val="0"/>
          <w:bCs w:val="0"/>
          <w:color w:val="000000" w:themeColor="text1"/>
          <w:sz w:val="32"/>
          <w:szCs w:val="32"/>
          <w:lang w:val="en-US" w:eastAsia="zh-CN"/>
          <w14:textFill>
            <w14:solidFill>
              <w14:schemeClr w14:val="tx1"/>
            </w14:solidFill>
          </w14:textFill>
        </w:rPr>
        <w:t>万元，比2024年</w:t>
      </w:r>
      <w:r>
        <w:rPr>
          <w:rFonts w:hint="eastAsia" w:ascii="仿宋" w:hAnsi="仿宋" w:eastAsia="仿宋" w:cs="仿宋"/>
          <w:b w:val="0"/>
          <w:bCs w:val="0"/>
          <w:i w:val="0"/>
          <w:color w:val="000000" w:themeColor="text1"/>
          <w:kern w:val="0"/>
          <w:sz w:val="32"/>
          <w:szCs w:val="32"/>
          <w:u w:val="none"/>
          <w:lang w:val="en-US" w:eastAsia="zh-CN" w:bidi="ar"/>
          <w14:textFill>
            <w14:solidFill>
              <w14:schemeClr w14:val="tx1"/>
            </w14:solidFill>
          </w14:textFill>
        </w:rPr>
        <w:t>335,889</w:t>
      </w:r>
      <w:r>
        <w:rPr>
          <w:rFonts w:hint="eastAsia" w:ascii="仿宋" w:hAnsi="仿宋" w:eastAsia="仿宋" w:cs="仿宋"/>
          <w:b w:val="0"/>
          <w:bCs w:val="0"/>
          <w:color w:val="000000" w:themeColor="text1"/>
          <w:sz w:val="32"/>
          <w:szCs w:val="32"/>
          <w:lang w:val="en-US" w:eastAsia="zh-CN"/>
          <w14:textFill>
            <w14:solidFill>
              <w14:schemeClr w14:val="tx1"/>
            </w14:solidFill>
          </w14:textFill>
        </w:rPr>
        <w:t>万元，增加165810万元，增长49.36%，其中：返还性支出补助与2024年持平。一般性转移支付支</w:t>
      </w: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 xml:space="preserve">出补助 </w:t>
      </w:r>
      <w:r>
        <w:rPr>
          <w:rFonts w:hint="eastAsia" w:ascii="仿宋" w:hAnsi="仿宋" w:eastAsia="仿宋" w:cs="仿宋"/>
          <w:b w:val="0"/>
          <w:bCs w:val="0"/>
          <w:i w:val="0"/>
          <w:iCs w:val="0"/>
          <w:color w:val="000000" w:themeColor="text1"/>
          <w:kern w:val="0"/>
          <w:sz w:val="32"/>
          <w:szCs w:val="32"/>
          <w:u w:val="none"/>
          <w:lang w:val="en-US" w:eastAsia="zh-CN" w:bidi="ar"/>
          <w14:textFill>
            <w14:solidFill>
              <w14:schemeClr w14:val="tx1"/>
            </w14:solidFill>
          </w14:textFill>
        </w:rPr>
        <w:t>476114</w:t>
      </w: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万元，比上年增长51.48%，专项转移支付补助</w:t>
      </w:r>
      <w:r>
        <w:rPr>
          <w:rFonts w:hint="eastAsia" w:ascii="仿宋" w:hAnsi="仿宋" w:eastAsia="仿宋" w:cs="仿宋"/>
          <w:b w:val="0"/>
          <w:bCs w:val="0"/>
          <w:i w:val="0"/>
          <w:iCs w:val="0"/>
          <w:color w:val="000000" w:themeColor="text1"/>
          <w:kern w:val="0"/>
          <w:sz w:val="32"/>
          <w:szCs w:val="32"/>
          <w:u w:val="none"/>
          <w:lang w:val="en-US" w:eastAsia="zh-CN" w:bidi="ar"/>
          <w14:textFill>
            <w14:solidFill>
              <w14:schemeClr w14:val="tx1"/>
            </w14:solidFill>
          </w14:textFill>
        </w:rPr>
        <w:t>16951</w:t>
      </w: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万元，比上年增加3989万元，同比增长30.77%，主要是增加对各区县</w:t>
      </w:r>
      <w:r>
        <w:rPr>
          <w:rFonts w:hint="eastAsia" w:ascii="仿宋" w:hAnsi="仿宋" w:eastAsia="仿宋" w:cs="仿宋"/>
          <w:b w:val="0"/>
          <w:bCs w:val="0"/>
          <w:i w:val="0"/>
          <w:iCs w:val="0"/>
          <w:color w:val="000000" w:themeColor="text1"/>
          <w:kern w:val="0"/>
          <w:sz w:val="32"/>
          <w:szCs w:val="32"/>
          <w:u w:val="none"/>
          <w:lang w:val="en-US" w:eastAsia="zh-CN" w:bidi="ar"/>
          <w14:textFill>
            <w14:solidFill>
              <w14:schemeClr w14:val="tx1"/>
            </w14:solidFill>
          </w14:textFill>
        </w:rPr>
        <w:t>卫生健康、交通运输业等</w:t>
      </w: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支出补助。具体明细：</w:t>
      </w:r>
    </w:p>
    <w:tbl>
      <w:tblPr>
        <w:tblStyle w:val="15"/>
        <w:tblW w:w="9676" w:type="dxa"/>
        <w:tblInd w:w="-30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303"/>
        <w:gridCol w:w="3360"/>
        <w:gridCol w:w="565"/>
        <w:gridCol w:w="935"/>
        <w:gridCol w:w="370"/>
        <w:gridCol w:w="1305"/>
        <w:gridCol w:w="1264"/>
        <w:gridCol w:w="169"/>
        <w:gridCol w:w="1042"/>
        <w:gridCol w:w="3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wBefore w:w="303" w:type="dxa"/>
          <w:trHeight w:val="147" w:hRule="atLeast"/>
        </w:trPr>
        <w:tc>
          <w:tcPr>
            <w:tcW w:w="3360" w:type="dxa"/>
            <w:tcBorders>
              <w:top w:val="nil"/>
              <w:left w:val="nil"/>
              <w:bottom w:val="nil"/>
              <w:right w:val="nil"/>
            </w:tcBorders>
            <w:shd w:val="clear" w:color="auto" w:fill="auto"/>
            <w:noWrap/>
            <w:tcMar>
              <w:top w:w="12" w:type="dxa"/>
              <w:left w:w="12" w:type="dxa"/>
              <w:right w:w="12" w:type="dxa"/>
            </w:tcMar>
            <w:vAlign w:val="bottom"/>
          </w:tcPr>
          <w:p>
            <w:pPr>
              <w:keepNext w:val="0"/>
              <w:keepLines w:val="0"/>
              <w:pageBreakBefore w:val="0"/>
              <w:widowControl/>
              <w:suppressLineNumbers w:val="0"/>
              <w:kinsoku/>
              <w:wordWrap/>
              <w:overflowPunct/>
              <w:topLinePunct w:val="0"/>
              <w:bidi w:val="0"/>
              <w:adjustRightInd/>
              <w:spacing w:before="0" w:beforeAutospacing="0" w:after="0" w:afterAutospacing="0" w:line="540" w:lineRule="exact"/>
              <w:ind w:left="0" w:right="0"/>
              <w:jc w:val="left"/>
              <w:textAlignment w:val="bottom"/>
              <w:rPr>
                <w:rFonts w:hint="eastAsia" w:ascii="宋体" w:hAnsi="宋体" w:eastAsia="宋体" w:cs="宋体"/>
                <w:i w:val="0"/>
                <w:color w:val="000000"/>
                <w:sz w:val="18"/>
                <w:szCs w:val="18"/>
                <w:u w:val="none"/>
              </w:rPr>
            </w:pPr>
          </w:p>
        </w:tc>
        <w:tc>
          <w:tcPr>
            <w:tcW w:w="1500"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pageBreakBefore w:val="0"/>
              <w:suppressLineNumbers w:val="0"/>
              <w:kinsoku/>
              <w:wordWrap/>
              <w:overflowPunct/>
              <w:topLinePunct w:val="0"/>
              <w:bidi w:val="0"/>
              <w:adjustRightInd/>
              <w:spacing w:before="0" w:beforeAutospacing="0" w:after="0" w:afterAutospacing="0" w:line="540" w:lineRule="exact"/>
              <w:ind w:left="0" w:right="0"/>
              <w:jc w:val="left"/>
              <w:rPr>
                <w:rFonts w:hint="eastAsia" w:ascii="宋体" w:hAnsi="宋体" w:eastAsia="宋体" w:cs="宋体"/>
                <w:i w:val="0"/>
                <w:color w:val="000000"/>
                <w:sz w:val="18"/>
                <w:szCs w:val="18"/>
                <w:u w:val="none"/>
              </w:rPr>
            </w:pPr>
          </w:p>
        </w:tc>
        <w:tc>
          <w:tcPr>
            <w:tcW w:w="1675"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pageBreakBefore w:val="0"/>
              <w:suppressLineNumbers w:val="0"/>
              <w:kinsoku/>
              <w:wordWrap/>
              <w:overflowPunct/>
              <w:topLinePunct w:val="0"/>
              <w:bidi w:val="0"/>
              <w:adjustRightInd/>
              <w:spacing w:before="0" w:beforeAutospacing="0" w:after="0" w:afterAutospacing="0" w:line="540" w:lineRule="exact"/>
              <w:ind w:left="0" w:right="0"/>
              <w:jc w:val="left"/>
              <w:rPr>
                <w:rFonts w:hint="eastAsia" w:ascii="宋体" w:hAnsi="宋体" w:eastAsia="宋体" w:cs="宋体"/>
                <w:i w:val="0"/>
                <w:color w:val="000000"/>
                <w:sz w:val="18"/>
                <w:szCs w:val="18"/>
                <w:u w:val="none"/>
              </w:rPr>
            </w:pPr>
          </w:p>
        </w:tc>
        <w:tc>
          <w:tcPr>
            <w:tcW w:w="1433"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pageBreakBefore w:val="0"/>
              <w:suppressLineNumbers w:val="0"/>
              <w:kinsoku/>
              <w:wordWrap/>
              <w:overflowPunct/>
              <w:topLinePunct w:val="0"/>
              <w:bidi w:val="0"/>
              <w:adjustRightInd/>
              <w:spacing w:before="0" w:beforeAutospacing="0" w:after="0" w:afterAutospacing="0" w:line="540" w:lineRule="exact"/>
              <w:ind w:left="0" w:right="0"/>
              <w:jc w:val="left"/>
              <w:rPr>
                <w:rFonts w:hint="eastAsia" w:ascii="宋体" w:hAnsi="宋体" w:eastAsia="宋体" w:cs="宋体"/>
                <w:i w:val="0"/>
                <w:color w:val="000000"/>
                <w:sz w:val="18"/>
                <w:szCs w:val="18"/>
                <w:u w:val="none"/>
              </w:rPr>
            </w:pPr>
          </w:p>
        </w:tc>
        <w:tc>
          <w:tcPr>
            <w:tcW w:w="1405" w:type="dxa"/>
            <w:gridSpan w:val="2"/>
            <w:tcBorders>
              <w:top w:val="nil"/>
              <w:left w:val="nil"/>
              <w:bottom w:val="nil"/>
              <w:right w:val="nil"/>
            </w:tcBorders>
            <w:shd w:val="clear" w:color="auto" w:fill="auto"/>
            <w:noWrap/>
            <w:tcMar>
              <w:top w:w="12" w:type="dxa"/>
              <w:left w:w="12" w:type="dxa"/>
              <w:right w:w="12" w:type="dxa"/>
            </w:tcMar>
            <w:vAlign w:val="bottom"/>
          </w:tcPr>
          <w:p>
            <w:pPr>
              <w:keepNext w:val="0"/>
              <w:keepLines w:val="0"/>
              <w:pageBreakBefore w:val="0"/>
              <w:suppressLineNumbers w:val="0"/>
              <w:kinsoku/>
              <w:wordWrap/>
              <w:overflowPunct/>
              <w:topLinePunct w:val="0"/>
              <w:bidi w:val="0"/>
              <w:adjustRightInd/>
              <w:spacing w:before="0" w:beforeAutospacing="0" w:after="0" w:afterAutospacing="0" w:line="540" w:lineRule="exact"/>
              <w:ind w:left="0" w:right="0"/>
              <w:jc w:val="left"/>
              <w:rPr>
                <w:rFonts w:hint="eastAsia" w:ascii="宋体" w:hAnsi="宋体" w:eastAsia="宋体" w:cs="宋体"/>
                <w:i w:val="0"/>
                <w:color w:val="000000"/>
                <w:sz w:val="18"/>
                <w:szCs w:val="18"/>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gridBefore w:val="1"/>
          <w:wBefore w:w="303" w:type="dxa"/>
          <w:trHeight w:val="480" w:hRule="atLeast"/>
        </w:trPr>
        <w:tc>
          <w:tcPr>
            <w:tcW w:w="9373" w:type="dxa"/>
            <w:gridSpan w:val="9"/>
            <w:tcBorders>
              <w:top w:val="nil"/>
              <w:left w:val="nil"/>
              <w:bottom w:val="nil"/>
              <w:right w:val="nil"/>
            </w:tcBorders>
            <w:shd w:val="clear" w:color="auto" w:fill="FFFFFF"/>
            <w:tcMar>
              <w:top w:w="12" w:type="dxa"/>
              <w:left w:w="12" w:type="dxa"/>
              <w:right w:w="12"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32"/>
                <w:szCs w:val="32"/>
                <w:u w:val="none"/>
                <w:lang w:val="en-US" w:eastAsia="zh-CN" w:bidi="ar"/>
              </w:rPr>
              <w:t>2025年吐鲁番市一般公共预算对下转移支付情况表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wBefore w:w="303" w:type="dxa"/>
          <w:trHeight w:val="480" w:hRule="atLeast"/>
        </w:trPr>
        <w:tc>
          <w:tcPr>
            <w:tcW w:w="9373" w:type="dxa"/>
            <w:gridSpan w:val="9"/>
            <w:tcBorders>
              <w:top w:val="nil"/>
              <w:left w:val="nil"/>
              <w:bottom w:val="nil"/>
              <w:right w:val="nil"/>
            </w:tcBorders>
            <w:shd w:val="clear" w:color="auto" w:fill="FFFFFF"/>
            <w:tcMar>
              <w:top w:w="12" w:type="dxa"/>
              <w:left w:w="12" w:type="dxa"/>
              <w:right w:w="12" w:type="dxa"/>
            </w:tcMar>
            <w:vAlign w:val="bottom"/>
          </w:tcPr>
          <w:p>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i w:val="0"/>
                <w:color w:val="000000"/>
                <w:sz w:val="18"/>
                <w:szCs w:val="18"/>
                <w:u w:val="none"/>
              </w:rPr>
            </w:pPr>
            <w:r>
              <w:rPr>
                <w:rFonts w:hint="eastAsia" w:ascii="宋体" w:hAnsi="宋体" w:eastAsia="宋体" w:cs="宋体"/>
                <w:b/>
                <w:i w:val="0"/>
                <w:color w:val="000000"/>
                <w:kern w:val="0"/>
                <w:sz w:val="28"/>
                <w:szCs w:val="28"/>
                <w:u w:val="none"/>
                <w:lang w:val="en-US" w:eastAsia="zh-CN" w:bidi="ar"/>
              </w:rPr>
              <w:t xml:space="preserve">  </w:t>
            </w:r>
            <w:r>
              <w:rPr>
                <w:rFonts w:hint="eastAsia" w:ascii="宋体" w:hAnsi="宋体" w:eastAsia="宋体" w:cs="宋体"/>
                <w:b/>
                <w:i w:val="0"/>
                <w:color w:val="000000"/>
                <w:kern w:val="0"/>
                <w:sz w:val="32"/>
                <w:szCs w:val="32"/>
                <w:u w:val="none"/>
                <w:lang w:val="en-US" w:eastAsia="zh-CN" w:bidi="ar"/>
              </w:rPr>
              <w:t>（分地区、分项目）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wBefore w:w="303" w:type="dxa"/>
          <w:trHeight w:val="314" w:hRule="atLeast"/>
        </w:trPr>
        <w:tc>
          <w:tcPr>
            <w:tcW w:w="9373" w:type="dxa"/>
            <w:gridSpan w:val="9"/>
            <w:tcBorders>
              <w:top w:val="nil"/>
              <w:left w:val="nil"/>
              <w:bottom w:val="nil"/>
              <w:right w:val="nil"/>
            </w:tcBorders>
            <w:shd w:val="clear" w:color="auto" w:fill="auto"/>
            <w:tcMar>
              <w:top w:w="12" w:type="dxa"/>
              <w:left w:w="12" w:type="dxa"/>
              <w:right w:w="12" w:type="dxa"/>
            </w:tcMar>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color w:val="000000"/>
                <w:sz w:val="18"/>
                <w:szCs w:val="18"/>
                <w:u w:val="none"/>
              </w:rPr>
            </w:pPr>
            <w:r>
              <w:rPr>
                <w:rFonts w:hint="eastAsia" w:ascii="宋体" w:hAnsi="宋体" w:eastAsia="宋体" w:cs="宋体"/>
                <w:i w:val="0"/>
                <w:color w:val="000000"/>
                <w:kern w:val="0"/>
                <w:sz w:val="18"/>
                <w:szCs w:val="18"/>
                <w:u w:val="none"/>
                <w:lang w:val="en-US" w:eastAsia="zh-CN" w:bidi="ar"/>
              </w:rPr>
              <w:t xml:space="preserve">                                                                                         </w:t>
            </w:r>
            <w:r>
              <w:rPr>
                <w:rFonts w:hint="eastAsia" w:ascii="宋体" w:hAnsi="宋体" w:eastAsia="宋体" w:cs="宋体"/>
                <w:i w:val="0"/>
                <w:color w:val="000000"/>
                <w:kern w:val="0"/>
                <w:sz w:val="21"/>
                <w:szCs w:val="21"/>
                <w:u w:val="none"/>
                <w:lang w:val="en-US" w:eastAsia="zh-CN" w:bidi="ar"/>
              </w:rPr>
              <w:t>单位：万元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75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项    目</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合计</w:t>
            </w:r>
          </w:p>
        </w:tc>
        <w:tc>
          <w:tcPr>
            <w:tcW w:w="1305"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高昌区</w:t>
            </w:r>
          </w:p>
        </w:tc>
        <w:tc>
          <w:tcPr>
            <w:tcW w:w="1264" w:type="dxa"/>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鄯善县</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vAlign w:val="bottom"/>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托克逊县</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56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合 计</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501,699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190,544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165,022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 xml:space="preserve">146,133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42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返还性支出</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8,634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3,694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2,678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2,262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62"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所得税基数返还收入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2,934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1,116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1,669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增值税税收返还收入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5,153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2,113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963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2,077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消费税税收返还收入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420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338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46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其他返还性收入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127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48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一般性转移支付支出</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476,114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178,211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157,696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140,208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体制补助收入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123,582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24,606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41,079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57,897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均衡性转移支付收入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58,743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25,235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19,944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13,563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县级基本财力保障机制奖补资金收入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42,385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20,284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13,434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固定数额补助收入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111,197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41,572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37,510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32,116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38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巩固脱贫攻坚成果衔接乡村振兴转移支付收入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35,381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20,964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9,566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4,851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6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一般公共服务共同财政事权转移支付收入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1,432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623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488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4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国防共同财政事权转移支付收入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公共安全共同财政事权转移支付收入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6,007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2,847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1,915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1,246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教育共同财政事权转移支付收入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25,315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9,915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8,914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6,486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科学技术共同财政事权转移支付收入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183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78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36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文化旅游体育与传媒共同财政事权转移支付收入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1,912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925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659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328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6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社会保障和就业共同财政事权转移支付收入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17,999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8,693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5,041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4,265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4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医疗卫生共同财政事权转移支付收入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10,732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4,599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3,676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2,457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34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节能环保共同财政事权转移支付收入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1,319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619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209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农林水共同财政事权转移支付收入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22,065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8,592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8,560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交通运输共同财政事权转移支付收入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1,077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491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194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392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住房保障共同财政事权转移支付收入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14,260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8,344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3,497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2,419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285"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灾害防治及应急管理共同财政事权转移支付收入</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2,526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2,522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42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专项转移支付</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16,951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8,640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4,648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 xml:space="preserve">3,664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40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一般公共服务</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21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9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42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卫生健康</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549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239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179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131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363" w:type="dxa"/>
          <w:trHeight w:val="36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节能环保 </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7,610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5,571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1,972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40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农林水</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2,937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537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1,912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488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34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交通运输</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5,684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2,284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578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2,823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363" w:type="dxa"/>
          <w:trHeight w:val="420" w:hRule="atLeast"/>
        </w:trPr>
        <w:tc>
          <w:tcPr>
            <w:tcW w:w="4228" w:type="dxa"/>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  资源勘探工业信息等</w:t>
            </w:r>
          </w:p>
        </w:tc>
        <w:tc>
          <w:tcPr>
            <w:tcW w:w="1305"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c>
          <w:tcPr>
            <w:tcW w:w="13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0 </w:t>
            </w:r>
          </w:p>
        </w:tc>
        <w:tc>
          <w:tcPr>
            <w:tcW w:w="1211"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spacing w:before="0" w:beforeAutospacing="0" w:after="0" w:afterAutospacing="0"/>
              <w:ind w:left="0" w:right="0"/>
              <w:jc w:val="right"/>
              <w:textAlignment w:val="center"/>
              <w:rPr>
                <w:rFonts w:hint="eastAsia" w:ascii="宋体" w:hAnsi="宋体" w:eastAsia="宋体" w:cs="宋体"/>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 xml:space="preserve">149 </w:t>
            </w:r>
          </w:p>
        </w:tc>
      </w:tr>
    </w:tbl>
    <w:p>
      <w:pPr>
        <w:keepNext w:val="0"/>
        <w:keepLines w:val="0"/>
        <w:pageBreakBefore w:val="0"/>
        <w:widowControl w:val="0"/>
        <w:kinsoku/>
        <w:wordWrap/>
        <w:overflowPunct/>
        <w:topLinePunct w:val="0"/>
        <w:autoSpaceDE w:val="0"/>
        <w:autoSpaceDN w:val="0"/>
        <w:bidi w:val="0"/>
        <w:adjustRightInd/>
        <w:spacing w:line="560" w:lineRule="exact"/>
        <w:textAlignment w:val="auto"/>
        <w:rPr>
          <w:rFonts w:hint="eastAsia" w:ascii="黑体" w:hAnsi="黑体" w:eastAsia="黑体" w:cs="黑体"/>
          <w:b/>
          <w:bCs w:val="0"/>
          <w:spacing w:val="-4"/>
          <w:sz w:val="32"/>
          <w:szCs w:val="32"/>
        </w:rPr>
      </w:pPr>
    </w:p>
    <w:p>
      <w:pPr>
        <w:keepNext w:val="0"/>
        <w:keepLines w:val="0"/>
        <w:pageBreakBefore w:val="0"/>
        <w:widowControl w:val="0"/>
        <w:kinsoku/>
        <w:wordWrap/>
        <w:overflowPunct/>
        <w:topLinePunct w:val="0"/>
        <w:autoSpaceDE w:val="0"/>
        <w:autoSpaceDN w:val="0"/>
        <w:bidi w:val="0"/>
        <w:adjustRightInd/>
        <w:spacing w:line="560" w:lineRule="exact"/>
        <w:ind w:firstLine="627" w:firstLineChars="200"/>
        <w:textAlignment w:val="auto"/>
        <w:rPr>
          <w:rFonts w:hint="eastAsia" w:ascii="黑体" w:hAnsi="黑体" w:eastAsia="黑体" w:cs="黑体"/>
          <w:b/>
          <w:bCs w:val="0"/>
          <w:spacing w:val="-4"/>
          <w:sz w:val="32"/>
          <w:szCs w:val="32"/>
        </w:rPr>
      </w:pPr>
      <w:r>
        <w:rPr>
          <w:rFonts w:hint="eastAsia" w:ascii="黑体" w:hAnsi="黑体" w:eastAsia="黑体" w:cs="黑体"/>
          <w:b/>
          <w:bCs w:val="0"/>
          <w:spacing w:val="-4"/>
          <w:sz w:val="32"/>
          <w:szCs w:val="32"/>
        </w:rPr>
        <w:t>二、政府性基金对下转移支付情况</w:t>
      </w:r>
    </w:p>
    <w:p>
      <w:pPr>
        <w:pStyle w:val="6"/>
        <w:keepNext w:val="0"/>
        <w:keepLines w:val="0"/>
        <w:pageBreakBefore w:val="0"/>
        <w:widowControl w:val="0"/>
        <w:kinsoku/>
        <w:wordWrap/>
        <w:overflowPunct/>
        <w:topLinePunct w:val="0"/>
        <w:autoSpaceDE w:val="0"/>
        <w:autoSpaceDN w:val="0"/>
        <w:bidi w:val="0"/>
        <w:adjustRightInd/>
        <w:snapToGrid w:val="0"/>
        <w:spacing w:before="0" w:line="560" w:lineRule="exact"/>
        <w:ind w:firstLine="640" w:firstLineChars="200"/>
        <w:jc w:val="left"/>
        <w:textAlignment w:val="auto"/>
        <w:rPr>
          <w:rFonts w:hint="eastAsia" w:ascii="仿宋_GB2312" w:hAnsi="仿宋_GB2312" w:eastAsia="仿宋_GB2312" w:cs="仿宋_GB2312"/>
          <w:highlight w:val="none"/>
          <w:lang w:val="en-US" w:eastAsia="zh-CN"/>
        </w:rPr>
      </w:pPr>
      <w:r>
        <w:rPr>
          <w:rFonts w:hint="eastAsia" w:ascii="仿宋_GB2312" w:hAnsi="仿宋_GB2312" w:eastAsia="仿宋_GB2312" w:cs="仿宋_GB2312"/>
          <w:lang w:val="en-US"/>
        </w:rPr>
        <w:t>202</w:t>
      </w:r>
      <w:r>
        <w:rPr>
          <w:rFonts w:hint="eastAsia" w:ascii="仿宋_GB2312" w:hAnsi="仿宋_GB2312" w:eastAsia="仿宋_GB2312" w:cs="仿宋_GB2312"/>
          <w:lang w:val="en-US" w:eastAsia="zh-CN"/>
        </w:rPr>
        <w:t>5</w:t>
      </w:r>
      <w:r>
        <w:rPr>
          <w:rFonts w:hint="eastAsia" w:ascii="仿宋_GB2312" w:hAnsi="仿宋_GB2312" w:eastAsia="仿宋_GB2312" w:cs="仿宋_GB2312"/>
          <w:lang w:val="en-US"/>
        </w:rPr>
        <w:t>年吐鲁番市政府性基金对下转移支付年初预算</w:t>
      </w:r>
      <w:r>
        <w:rPr>
          <w:rFonts w:hint="eastAsia" w:ascii="仿宋_GB2312" w:hAnsi="仿宋_GB2312" w:eastAsia="仿宋_GB2312" w:cs="仿宋_GB2312"/>
          <w:lang w:val="en-US" w:eastAsia="zh-CN"/>
        </w:rPr>
        <w:t xml:space="preserve">5033   </w:t>
      </w:r>
      <w:r>
        <w:rPr>
          <w:rFonts w:hint="eastAsia" w:ascii="仿宋_GB2312" w:hAnsi="仿宋_GB2312" w:eastAsia="仿宋_GB2312" w:cs="仿宋_GB2312"/>
          <w:lang w:val="en-US"/>
        </w:rPr>
        <w:t>万元，比202</w:t>
      </w:r>
      <w:r>
        <w:rPr>
          <w:rFonts w:hint="eastAsia" w:ascii="仿宋_GB2312" w:hAnsi="仿宋_GB2312" w:eastAsia="仿宋_GB2312" w:cs="仿宋_GB2312"/>
          <w:lang w:val="en-US" w:eastAsia="zh-CN"/>
        </w:rPr>
        <w:t>4</w:t>
      </w:r>
      <w:r>
        <w:rPr>
          <w:rFonts w:hint="eastAsia" w:ascii="仿宋_GB2312" w:hAnsi="仿宋_GB2312" w:eastAsia="仿宋_GB2312" w:cs="仿宋_GB2312"/>
          <w:lang w:val="en-US"/>
        </w:rPr>
        <w:t>年年初预算数增加</w:t>
      </w:r>
      <w:r>
        <w:rPr>
          <w:rFonts w:hint="eastAsia" w:ascii="仿宋_GB2312" w:hAnsi="仿宋_GB2312" w:eastAsia="仿宋_GB2312" w:cs="仿宋_GB2312"/>
          <w:lang w:val="en-US" w:eastAsia="zh-CN"/>
        </w:rPr>
        <w:t>446</w:t>
      </w:r>
      <w:r>
        <w:rPr>
          <w:rFonts w:hint="eastAsia" w:ascii="仿宋_GB2312" w:hAnsi="仿宋_GB2312" w:eastAsia="仿宋_GB2312" w:cs="仿宋_GB2312"/>
          <w:lang w:val="en-US"/>
        </w:rPr>
        <w:t>万元，</w:t>
      </w:r>
      <w:r>
        <w:rPr>
          <w:rFonts w:hint="eastAsia" w:ascii="仿宋_GB2312" w:hAnsi="仿宋_GB2312" w:eastAsia="仿宋_GB2312" w:cs="仿宋_GB2312"/>
          <w:lang w:val="en-US" w:eastAsia="zh-CN"/>
        </w:rPr>
        <w:t>增长9.72</w:t>
      </w:r>
      <w:r>
        <w:rPr>
          <w:rFonts w:hint="eastAsia" w:ascii="仿宋_GB2312" w:hAnsi="仿宋_GB2312" w:eastAsia="仿宋_GB2312" w:cs="仿宋_GB2312"/>
          <w:lang w:val="en-US"/>
        </w:rPr>
        <w:t>%。其中：吐鲁番市本级</w:t>
      </w:r>
      <w:r>
        <w:rPr>
          <w:rFonts w:hint="eastAsia" w:ascii="仿宋_GB2312" w:hAnsi="仿宋_GB2312" w:eastAsia="仿宋_GB2312" w:cs="仿宋_GB2312"/>
          <w:lang w:val="en-US" w:eastAsia="zh-CN"/>
        </w:rPr>
        <w:t>2154</w:t>
      </w:r>
      <w:r>
        <w:rPr>
          <w:rFonts w:hint="eastAsia" w:ascii="仿宋_GB2312" w:hAnsi="仿宋_GB2312" w:eastAsia="仿宋_GB2312" w:cs="仿宋_GB2312"/>
          <w:lang w:val="en-US"/>
        </w:rPr>
        <w:t>万元，高昌区</w:t>
      </w:r>
      <w:r>
        <w:rPr>
          <w:rFonts w:hint="eastAsia" w:ascii="仿宋_GB2312" w:hAnsi="仿宋_GB2312" w:eastAsia="仿宋_GB2312" w:cs="仿宋_GB2312"/>
          <w:lang w:val="en-US" w:eastAsia="zh-CN"/>
        </w:rPr>
        <w:t>1167</w:t>
      </w:r>
      <w:r>
        <w:rPr>
          <w:rFonts w:hint="eastAsia" w:ascii="仿宋_GB2312" w:hAnsi="仿宋_GB2312" w:eastAsia="仿宋_GB2312" w:cs="仿宋_GB2312"/>
          <w:lang w:val="en-US"/>
        </w:rPr>
        <w:t>万元，鄯善县</w:t>
      </w:r>
      <w:r>
        <w:rPr>
          <w:rFonts w:hint="eastAsia" w:ascii="仿宋_GB2312" w:hAnsi="仿宋_GB2312" w:eastAsia="仿宋_GB2312" w:cs="仿宋_GB2312"/>
          <w:lang w:val="en-US" w:eastAsia="zh-CN"/>
        </w:rPr>
        <w:t>972</w:t>
      </w:r>
      <w:r>
        <w:rPr>
          <w:rFonts w:hint="eastAsia" w:ascii="仿宋_GB2312" w:hAnsi="仿宋_GB2312" w:eastAsia="仿宋_GB2312" w:cs="仿宋_GB2312"/>
          <w:lang w:val="en-US"/>
        </w:rPr>
        <w:t>万元，托克逊县</w:t>
      </w:r>
      <w:r>
        <w:rPr>
          <w:rFonts w:hint="eastAsia" w:ascii="仿宋_GB2312" w:hAnsi="仿宋_GB2312" w:eastAsia="仿宋_GB2312" w:cs="仿宋_GB2312"/>
          <w:lang w:val="en-US" w:eastAsia="zh-CN"/>
        </w:rPr>
        <w:t xml:space="preserve">740 </w:t>
      </w:r>
      <w:r>
        <w:rPr>
          <w:rFonts w:hint="eastAsia" w:ascii="仿宋_GB2312" w:hAnsi="仿宋_GB2312" w:eastAsia="仿宋_GB2312" w:cs="仿宋_GB2312"/>
          <w:lang w:val="en-US"/>
        </w:rPr>
        <w:t>万元。</w:t>
      </w:r>
      <w:r>
        <w:rPr>
          <w:rFonts w:hint="eastAsia" w:ascii="仿宋" w:hAnsi="仿宋" w:eastAsia="仿宋" w:cs="仿宋"/>
          <w:b w:val="0"/>
          <w:bCs w:val="0"/>
          <w:color w:val="000000" w:themeColor="text1"/>
          <w:sz w:val="32"/>
          <w:szCs w:val="32"/>
          <w:highlight w:val="none"/>
          <w:lang w:val="en-US" w:eastAsia="zh-CN"/>
          <w14:textFill>
            <w14:solidFill>
              <w14:schemeClr w14:val="tx1"/>
            </w14:solidFill>
          </w14:textFill>
        </w:rPr>
        <w:t>具体明细如下：</w:t>
      </w:r>
    </w:p>
    <w:p>
      <w:pPr>
        <w:pStyle w:val="6"/>
        <w:keepNext w:val="0"/>
        <w:keepLines w:val="0"/>
        <w:pageBreakBefore w:val="0"/>
        <w:widowControl w:val="0"/>
        <w:kinsoku/>
        <w:wordWrap/>
        <w:overflowPunct/>
        <w:topLinePunct w:val="0"/>
        <w:autoSpaceDE w:val="0"/>
        <w:autoSpaceDN w:val="0"/>
        <w:bidi w:val="0"/>
        <w:adjustRightInd/>
        <w:snapToGrid w:val="0"/>
        <w:spacing w:before="0" w:line="560" w:lineRule="exact"/>
        <w:ind w:left="0" w:leftChars="0" w:firstLine="0" w:firstLineChars="0"/>
        <w:jc w:val="left"/>
        <w:textAlignment w:val="auto"/>
        <w:rPr>
          <w:rFonts w:hint="eastAsia" w:ascii="仿宋_GB2312" w:hAnsi="仿宋_GB2312" w:eastAsia="仿宋_GB2312" w:cs="仿宋_GB2312"/>
          <w:lang w:val="en-US" w:eastAsia="zh-CN"/>
        </w:rPr>
      </w:pPr>
    </w:p>
    <w:p>
      <w:pPr>
        <w:keepNext w:val="0"/>
        <w:keepLines w:val="0"/>
        <w:pageBreakBefore w:val="0"/>
        <w:widowControl w:val="0"/>
        <w:suppressLineNumbers w:val="0"/>
        <w:shd w:val="clear"/>
        <w:kinsoku/>
        <w:wordWrap/>
        <w:overflowPunct w:val="0"/>
        <w:topLinePunct w:val="0"/>
        <w:autoSpaceDE/>
        <w:autoSpaceDN/>
        <w:bidi w:val="0"/>
        <w:adjustRightInd/>
        <w:snapToGrid/>
        <w:jc w:val="center"/>
        <w:textAlignment w:val="bottom"/>
        <w:rPr>
          <w:rFonts w:hint="eastAsia" w:ascii="楷体_GB2312" w:hAnsi="楷体_GB2312" w:eastAsia="楷体_GB2312" w:cs="楷体_GB2312"/>
          <w:b/>
          <w:bCs/>
          <w:lang w:val="en-US" w:eastAsia="zh-CN"/>
        </w:rPr>
      </w:pPr>
    </w:p>
    <w:p>
      <w:pPr>
        <w:keepNext w:val="0"/>
        <w:keepLines w:val="0"/>
        <w:pageBreakBefore w:val="0"/>
        <w:widowControl w:val="0"/>
        <w:suppressLineNumbers w:val="0"/>
        <w:shd w:val="clear"/>
        <w:kinsoku/>
        <w:wordWrap/>
        <w:overflowPunct w:val="0"/>
        <w:topLinePunct w:val="0"/>
        <w:autoSpaceDE/>
        <w:autoSpaceDN/>
        <w:bidi w:val="0"/>
        <w:adjustRightInd/>
        <w:snapToGrid/>
        <w:jc w:val="center"/>
        <w:textAlignment w:val="bottom"/>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pStyle w:val="2"/>
        <w:rPr>
          <w:rFonts w:hint="eastAsia" w:ascii="楷体_GB2312" w:hAnsi="楷体_GB2312" w:eastAsia="楷体_GB2312" w:cs="楷体_GB2312"/>
          <w:b/>
          <w:bCs/>
          <w:lang w:val="en-US" w:eastAsia="zh-CN"/>
        </w:rPr>
      </w:pPr>
    </w:p>
    <w:p>
      <w:pPr>
        <w:keepNext w:val="0"/>
        <w:keepLines w:val="0"/>
        <w:pageBreakBefore w:val="0"/>
        <w:widowControl w:val="0"/>
        <w:suppressLineNumbers w:val="0"/>
        <w:shd w:val="clear"/>
        <w:kinsoku/>
        <w:wordWrap/>
        <w:overflowPunct w:val="0"/>
        <w:topLinePunct w:val="0"/>
        <w:autoSpaceDE/>
        <w:autoSpaceDN/>
        <w:bidi w:val="0"/>
        <w:adjustRightInd/>
        <w:snapToGrid/>
        <w:jc w:val="center"/>
        <w:textAlignment w:val="bottom"/>
        <w:rPr>
          <w:rFonts w:hint="eastAsia" w:ascii="楷体_GB2312" w:hAnsi="楷体_GB2312" w:eastAsia="楷体_GB2312" w:cs="楷体_GB2312"/>
          <w:b/>
          <w:bCs/>
          <w:lang w:val="en-US" w:eastAsia="zh-CN"/>
        </w:rPr>
      </w:pPr>
    </w:p>
    <w:p>
      <w:pPr>
        <w:keepNext w:val="0"/>
        <w:keepLines w:val="0"/>
        <w:pageBreakBefore w:val="0"/>
        <w:widowControl w:val="0"/>
        <w:kinsoku/>
        <w:wordWrap/>
        <w:overflowPunct/>
        <w:topLinePunct w:val="0"/>
        <w:autoSpaceDE w:val="0"/>
        <w:autoSpaceDN w:val="0"/>
        <w:bidi w:val="0"/>
        <w:adjustRightInd/>
        <w:spacing w:line="560" w:lineRule="exact"/>
        <w:jc w:val="center"/>
        <w:textAlignment w:val="auto"/>
        <w:rPr>
          <w:rFonts w:hint="eastAsia" w:ascii="宋体" w:hAnsi="宋体" w:eastAsia="宋体" w:cs="宋体"/>
          <w:b/>
          <w:bCs w:val="0"/>
          <w:spacing w:val="20"/>
          <w:sz w:val="36"/>
          <w:szCs w:val="36"/>
        </w:rPr>
      </w:pPr>
      <w:r>
        <w:rPr>
          <w:rFonts w:hint="eastAsia" w:ascii="宋体" w:hAnsi="宋体" w:eastAsia="宋体" w:cs="宋体"/>
          <w:b/>
          <w:bCs w:val="0"/>
          <w:i w:val="0"/>
          <w:color w:val="000000" w:themeColor="text1"/>
          <w:spacing w:val="20"/>
          <w:w w:val="100"/>
          <w:kern w:val="0"/>
          <w:sz w:val="36"/>
          <w:szCs w:val="36"/>
          <w:highlight w:val="none"/>
          <w:u w:val="none"/>
          <w:lang w:val="en-US" w:eastAsia="zh-CN" w:bidi="ar"/>
          <w14:textFill>
            <w14:solidFill>
              <w14:schemeClr w14:val="tx1"/>
            </w14:solidFill>
          </w14:textFill>
        </w:rPr>
        <w:t>2025</w:t>
      </w:r>
      <w:r>
        <w:rPr>
          <w:rFonts w:hint="eastAsia" w:ascii="宋体" w:hAnsi="宋体" w:eastAsia="宋体" w:cs="宋体"/>
          <w:b/>
          <w:bCs w:val="0"/>
          <w:i w:val="0"/>
          <w:color w:val="000000" w:themeColor="text1"/>
          <w:spacing w:val="20"/>
          <w:w w:val="85"/>
          <w:kern w:val="0"/>
          <w:sz w:val="36"/>
          <w:szCs w:val="36"/>
          <w:highlight w:val="none"/>
          <w:u w:val="none"/>
          <w:lang w:val="en-US" w:eastAsia="zh-CN" w:bidi="ar"/>
          <w14:textFill>
            <w14:solidFill>
              <w14:schemeClr w14:val="tx1"/>
            </w14:solidFill>
          </w14:textFill>
        </w:rPr>
        <w:t>年吐鲁番市</w:t>
      </w:r>
      <w:r>
        <w:rPr>
          <w:rFonts w:hint="eastAsia" w:ascii="宋体" w:hAnsi="宋体" w:eastAsia="宋体" w:cs="宋体"/>
          <w:b/>
          <w:bCs w:val="0"/>
          <w:spacing w:val="20"/>
          <w:sz w:val="36"/>
          <w:szCs w:val="36"/>
        </w:rPr>
        <w:t>政府性基金对下转移支付情况</w:t>
      </w:r>
    </w:p>
    <w:p>
      <w:pPr>
        <w:keepNext w:val="0"/>
        <w:keepLines w:val="0"/>
        <w:pageBreakBefore w:val="0"/>
        <w:widowControl w:val="0"/>
        <w:suppressLineNumbers w:val="0"/>
        <w:shd w:val="clear"/>
        <w:kinsoku/>
        <w:wordWrap/>
        <w:overflowPunct w:val="0"/>
        <w:topLinePunct w:val="0"/>
        <w:autoSpaceDE/>
        <w:autoSpaceDN/>
        <w:bidi w:val="0"/>
        <w:adjustRightInd/>
        <w:snapToGrid/>
        <w:jc w:val="center"/>
        <w:textAlignment w:val="bottom"/>
        <w:rPr>
          <w:rFonts w:hint="eastAsia" w:ascii="宋体" w:hAnsi="宋体" w:eastAsia="宋体" w:cs="宋体"/>
          <w:b/>
          <w:bCs w:val="0"/>
          <w:i w:val="0"/>
          <w:color w:val="000000" w:themeColor="text1"/>
          <w:spacing w:val="20"/>
          <w:w w:val="85"/>
          <w:sz w:val="36"/>
          <w:szCs w:val="36"/>
          <w:highlight w:val="none"/>
          <w:u w:val="none"/>
          <w14:textFill>
            <w14:solidFill>
              <w14:schemeClr w14:val="tx1"/>
            </w14:solidFill>
          </w14:textFill>
        </w:rPr>
      </w:pPr>
      <w:r>
        <w:rPr>
          <w:rFonts w:hint="eastAsia" w:ascii="宋体" w:hAnsi="宋体" w:eastAsia="宋体" w:cs="宋体"/>
          <w:b/>
          <w:bCs w:val="0"/>
          <w:i w:val="0"/>
          <w:color w:val="000000" w:themeColor="text1"/>
          <w:spacing w:val="20"/>
          <w:w w:val="85"/>
          <w:kern w:val="0"/>
          <w:sz w:val="36"/>
          <w:szCs w:val="36"/>
          <w:highlight w:val="none"/>
          <w:u w:val="none"/>
          <w:lang w:val="en-US" w:eastAsia="zh-CN" w:bidi="ar"/>
          <w14:textFill>
            <w14:solidFill>
              <w14:schemeClr w14:val="tx1"/>
            </w14:solidFill>
          </w14:textFill>
        </w:rPr>
        <w:t xml:space="preserve">  （分本级和区县、分项目）</w:t>
      </w:r>
    </w:p>
    <w:p>
      <w:pPr>
        <w:keepNext w:val="0"/>
        <w:keepLines w:val="0"/>
        <w:pageBreakBefore w:val="0"/>
        <w:widowControl w:val="0"/>
        <w:suppressLineNumbers w:val="0"/>
        <w:shd w:val="clear"/>
        <w:kinsoku/>
        <w:wordWrap/>
        <w:overflowPunct w:val="0"/>
        <w:topLinePunct w:val="0"/>
        <w:autoSpaceDE/>
        <w:autoSpaceDN/>
        <w:bidi w:val="0"/>
        <w:adjustRightInd/>
        <w:snapToGrid/>
        <w:jc w:val="right"/>
        <w:textAlignment w:val="cente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b w:val="0"/>
          <w:bCs/>
          <w:i w:val="0"/>
          <w:color w:val="000000" w:themeColor="text1"/>
          <w:kern w:val="0"/>
          <w:sz w:val="21"/>
          <w:szCs w:val="21"/>
          <w:highlight w:val="none"/>
          <w:u w:val="none"/>
          <w:lang w:val="en-US" w:eastAsia="zh-CN" w:bidi="ar"/>
          <w14:textFill>
            <w14:solidFill>
              <w14:schemeClr w14:val="tx1"/>
            </w14:solidFill>
          </w14:textFill>
        </w:rPr>
        <w:t>单位：万元</w:t>
      </w:r>
    </w:p>
    <w:tbl>
      <w:tblPr>
        <w:tblStyle w:val="15"/>
        <w:tblW w:w="9069" w:type="dxa"/>
        <w:jc w:val="center"/>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Layout w:type="fixed"/>
        <w:tblCellMar>
          <w:top w:w="0" w:type="dxa"/>
          <w:left w:w="23" w:type="dxa"/>
          <w:bottom w:w="0" w:type="dxa"/>
          <w:right w:w="23" w:type="dxa"/>
        </w:tblCellMar>
      </w:tblPr>
      <w:tblGrid>
        <w:gridCol w:w="2075"/>
        <w:gridCol w:w="2859"/>
        <w:gridCol w:w="827"/>
        <w:gridCol w:w="827"/>
        <w:gridCol w:w="773"/>
        <w:gridCol w:w="971"/>
        <w:gridCol w:w="737"/>
      </w:tblGrid>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567" w:hRule="atLeast"/>
          <w:tblHeader/>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功能分类</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项目名称</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0" w:rightChars="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小计</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高昌区</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default"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鄯善县</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托克逊县</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center"/>
              <w:textAlignment w:val="cente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黑体" w:cs="黑体"/>
                <w:b/>
                <w:bCs/>
                <w:i w:val="0"/>
                <w:color w:val="000000" w:themeColor="text1"/>
                <w:kern w:val="0"/>
                <w:sz w:val="21"/>
                <w:szCs w:val="21"/>
                <w:highlight w:val="none"/>
                <w:u w:val="none"/>
                <w:lang w:val="en-US" w:eastAsia="zh-CN" w:bidi="ar"/>
                <w14:textFill>
                  <w14:solidFill>
                    <w14:schemeClr w14:val="tx1"/>
                  </w14:solidFill>
                </w14:textFill>
              </w:rPr>
              <w:t>市本级</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2137202基础设施建设和经济发展</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中央水库移民扶持基金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300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200</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100</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10"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2137201移民补助</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中央水库移民扶持基金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248</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53</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153</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42</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2296003用于体育事业的彩票公益金支出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中央专项彩票公益金支持地方社会公益事业发展资金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450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100</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350</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中央专项彩票公益金支持地方社会公益事业发展资金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638</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638</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2296003用于体育事业的彩票公益金支出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中央集中彩票公益金支持体育事业专项资金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97</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75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2070904地方旅游开发项目补助</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旅游发展基金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2296006用于残疾人事业的彩票公益金支出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中央专项彩票公益金支持残疾人事业发展补助资金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224</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95</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59</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2296010用于文化事业的彩票公益金支出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自治区彩票公益金支持文化和旅游项目</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2296003用于体育事业的彩票公益金支出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自治区彩票公益金项目</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35</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80"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2296006用于残疾人事业的彩票公益金支出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提前下达自治区残疾人事业发展补助资金彩票公益金部分</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108</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45</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25</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38</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政府购买社会救助服务项目</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180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180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项目一</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80"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2296004用于教育事业的彩票公益金支出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项目二</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171</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55</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45</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41</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2296004用于教育事业的彩票公益金支出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关于提前下达2025年中央支持特殊教育补助资金预算的通知</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13</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658" w:hRule="exac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自治区社会福利补助资金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43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15"/>
                <w:szCs w:val="15"/>
                <w:highlight w:val="none"/>
                <w:u w:val="none"/>
                <w:lang w:val="en-US" w:eastAsia="zh-CN" w:bidi="ar"/>
                <w14:textFill>
                  <w14:solidFill>
                    <w14:schemeClr w14:val="tx1"/>
                  </w14:solidFill>
                </w14:textFill>
              </w:rPr>
              <w:t>提前下达自治区彩票公益金资助80岁以上老年人基本生活津贴和免费体检项目资金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351</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160</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118</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73</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自治区社会福利补助资金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养老机构服务能力提升项目</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自治区社会福利补助资金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600</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项目三</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default"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607</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中央彩票公益金用于支持社会福利事业专项资金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320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240</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80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2296002用于社会福利的彩票公益金支出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专项业务工作经费</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5</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2296099用于其他社会公益事业的彩票公益金支出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专项业务工作经费</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9</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3</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2296010用于文化事业的彩票公益金支出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专项业务工作经费</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24</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12</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12</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2296013用于城乡医疗救助的彩票公益金支出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自治区彩票公益金卫生健康领域项目资金预算</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170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139</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16</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15</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2296013用于城乡医疗救助的彩票公益金支出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自治区医疗救助补助资金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60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tblCellMar>
            <w:top w:w="0" w:type="dxa"/>
            <w:left w:w="23" w:type="dxa"/>
            <w:bottom w:w="0" w:type="dxa"/>
            <w:right w:w="23" w:type="dxa"/>
          </w:tblCellMar>
        </w:tblPrEx>
        <w:trPr>
          <w:trHeight w:val="567" w:hRule="atLeast"/>
          <w:jc w:val="center"/>
        </w:trPr>
        <w:tc>
          <w:tcPr>
            <w:tcW w:w="2075"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2290808彩票市场调控资金支出</w:t>
            </w:r>
          </w:p>
        </w:tc>
        <w:tc>
          <w:tcPr>
            <w:tcW w:w="2859" w:type="dxa"/>
            <w:tcBorders>
              <w:tl2br w:val="nil"/>
              <w:tr2bl w:val="nil"/>
            </w:tcBorders>
            <w:shd w:val="clear" w:color="auto" w:fill="auto"/>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0"/>
              <w:jc w:val="both"/>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各地州市福利彩票市场调控资金</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leftChars="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120</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i w:val="0"/>
                <w:color w:val="000000" w:themeColor="text1"/>
                <w:kern w:val="0"/>
                <w:sz w:val="21"/>
                <w:szCs w:val="21"/>
                <w:highlight w:val="none"/>
                <w:u w:val="none"/>
                <w:lang w:val="en-US" w:eastAsia="zh-CN" w:bidi="ar"/>
                <w14:textFill>
                  <w14:solidFill>
                    <w14:schemeClr w14:val="tx1"/>
                  </w14:solidFill>
                </w14:textFill>
              </w:rPr>
              <w:t>120</w:t>
            </w:r>
          </w:p>
        </w:tc>
      </w:tr>
      <w:tr>
        <w:tblPrEx>
          <w:tblBorders>
            <w:top w:val="single" w:color="000000" w:sz="8" w:space="0"/>
            <w:left w:val="single" w:color="000000" w:sz="8" w:space="0"/>
            <w:bottom w:val="single" w:color="000000" w:sz="8" w:space="0"/>
            <w:right w:val="single" w:color="000000" w:sz="8" w:space="0"/>
            <w:insideH w:val="single" w:color="000000" w:sz="4" w:space="0"/>
            <w:insideV w:val="single" w:color="000000" w:sz="4" w:space="0"/>
          </w:tblBorders>
          <w:shd w:val="clear" w:color="auto" w:fill="auto"/>
          <w:tblCellMar>
            <w:top w:w="0" w:type="dxa"/>
            <w:left w:w="23" w:type="dxa"/>
            <w:bottom w:w="0" w:type="dxa"/>
            <w:right w:w="23" w:type="dxa"/>
          </w:tblCellMar>
        </w:tblPrEx>
        <w:trPr>
          <w:trHeight w:val="567" w:hRule="atLeast"/>
          <w:jc w:val="center"/>
        </w:trPr>
        <w:tc>
          <w:tcPr>
            <w:tcW w:w="4934" w:type="dxa"/>
            <w:gridSpan w:val="2"/>
            <w:tcBorders>
              <w:tl2br w:val="nil"/>
              <w:tr2bl w:val="nil"/>
            </w:tcBorders>
            <w:shd w:val="clear" w:color="auto" w:fill="auto"/>
            <w:noWrap/>
            <w:vAlign w:val="center"/>
          </w:tcPr>
          <w:p>
            <w:pPr>
              <w:keepNext w:val="0"/>
              <w:keepLines w:val="0"/>
              <w:widowControl/>
              <w:suppressLineNumbers w:val="0"/>
              <w:shd w:val="clear"/>
              <w:spacing w:before="0" w:beforeAutospacing="0" w:after="0" w:afterAutospacing="0"/>
              <w:ind w:left="0" w:right="0"/>
              <w:jc w:val="center"/>
              <w:textAlignment w:val="center"/>
              <w:rPr>
                <w:rFonts w:hint="eastAsia" w:ascii="Times New Roman" w:hAnsi="Times New Roman" w:eastAsia="宋体" w:cs="宋体"/>
                <w:b/>
                <w:bCs/>
                <w:i w:val="0"/>
                <w:iCs w:val="0"/>
                <w:color w:val="000000" w:themeColor="text1"/>
                <w:sz w:val="21"/>
                <w:szCs w:val="21"/>
                <w:highlight w:val="none"/>
                <w:u w:val="none"/>
                <w:lang w:eastAsia="zh-CN"/>
                <w14:textFill>
                  <w14:solidFill>
                    <w14:schemeClr w14:val="tx1"/>
                  </w14:solidFill>
                </w14:textFill>
              </w:rPr>
            </w:pPr>
            <w:r>
              <w:rPr>
                <w:rFonts w:hint="eastAsia" w:ascii="Times New Roman" w:hAnsi="Times New Roman" w:cs="宋体"/>
                <w:b/>
                <w:bCs/>
                <w:i w:val="0"/>
                <w:iCs w:val="0"/>
                <w:color w:val="000000" w:themeColor="text1"/>
                <w:sz w:val="21"/>
                <w:szCs w:val="21"/>
                <w:highlight w:val="none"/>
                <w:u w:val="none"/>
                <w:lang w:eastAsia="zh-CN"/>
                <w14:textFill>
                  <w14:solidFill>
                    <w14:schemeClr w14:val="tx1"/>
                  </w14:solidFill>
                </w14:textFill>
              </w:rPr>
              <w:t>合</w:t>
            </w:r>
            <w:r>
              <w:rPr>
                <w:rFonts w:hint="eastAsia" w:ascii="Times New Roman" w:hAnsi="Times New Roman" w:cs="宋体"/>
                <w:b/>
                <w:bCs/>
                <w:i w:val="0"/>
                <w:iCs w:val="0"/>
                <w:color w:val="000000" w:themeColor="text1"/>
                <w:sz w:val="21"/>
                <w:szCs w:val="21"/>
                <w:highlight w:val="none"/>
                <w:u w:val="none"/>
                <w:lang w:val="en-US" w:eastAsia="zh-CN"/>
                <w14:textFill>
                  <w14:solidFill>
                    <w14:schemeClr w14:val="tx1"/>
                  </w14:solidFill>
                </w14:textFill>
              </w:rPr>
              <w:t xml:space="preserve">    </w:t>
            </w:r>
            <w:r>
              <w:rPr>
                <w:rFonts w:hint="eastAsia" w:ascii="Times New Roman" w:hAnsi="Times New Roman" w:cs="宋体"/>
                <w:b/>
                <w:bCs/>
                <w:i w:val="0"/>
                <w:iCs w:val="0"/>
                <w:color w:val="000000" w:themeColor="text1"/>
                <w:sz w:val="21"/>
                <w:szCs w:val="21"/>
                <w:highlight w:val="none"/>
                <w:u w:val="none"/>
                <w:lang w:eastAsia="zh-CN"/>
                <w14:textFill>
                  <w14:solidFill>
                    <w14:schemeClr w14:val="tx1"/>
                  </w14:solidFill>
                </w14:textFill>
              </w:rPr>
              <w:t>计</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default"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5</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033</w:t>
            </w:r>
          </w:p>
        </w:tc>
        <w:tc>
          <w:tcPr>
            <w:tcW w:w="82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167</w:t>
            </w:r>
          </w:p>
        </w:tc>
        <w:tc>
          <w:tcPr>
            <w:tcW w:w="773"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972</w:t>
            </w:r>
          </w:p>
        </w:tc>
        <w:tc>
          <w:tcPr>
            <w:tcW w:w="971"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740</w:t>
            </w:r>
          </w:p>
        </w:tc>
        <w:tc>
          <w:tcPr>
            <w:tcW w:w="737" w:type="dxa"/>
            <w:tcBorders>
              <w:tl2br w:val="nil"/>
              <w:tr2bl w:val="nil"/>
            </w:tcBorders>
            <w:shd w:val="clear" w:color="auto" w:fill="auto"/>
            <w:noWrap/>
            <w:vAlign w:val="center"/>
          </w:tcPr>
          <w:p>
            <w:pPr>
              <w:keepNext w:val="0"/>
              <w:keepLines w:val="0"/>
              <w:pageBreakBefore w:val="0"/>
              <w:widowControl w:val="0"/>
              <w:suppressLineNumbers w:val="0"/>
              <w:shd w:val="clear"/>
              <w:kinsoku/>
              <w:wordWrap/>
              <w:overflowPunct w:val="0"/>
              <w:topLinePunct w:val="0"/>
              <w:autoSpaceDE/>
              <w:autoSpaceDN/>
              <w:bidi w:val="0"/>
              <w:adjustRightInd/>
              <w:snapToGrid/>
              <w:spacing w:before="0" w:beforeAutospacing="0" w:after="0" w:afterAutospacing="0"/>
              <w:ind w:left="0" w:right="105" w:rightChars="50"/>
              <w:jc w:val="right"/>
              <w:textAlignment w:val="cente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pP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2</w:t>
            </w:r>
            <w:r>
              <w:rPr>
                <w:rFonts w:hint="default" w:ascii="Times New Roman" w:hAnsi="Times New Roman" w:eastAsia="宋体" w:cs="Times New Roman"/>
                <w:i w:val="0"/>
                <w:iCs w:val="0"/>
                <w:color w:val="000000" w:themeColor="text1"/>
                <w:kern w:val="0"/>
                <w:sz w:val="21"/>
                <w:szCs w:val="21"/>
                <w:highlight w:val="none"/>
                <w:u w:val="none"/>
                <w:lang w:val="en-US" w:eastAsia="zh-CN" w:bidi="ar"/>
                <w14:textFill>
                  <w14:solidFill>
                    <w14:schemeClr w14:val="tx1"/>
                  </w14:solidFill>
                </w14:textFill>
              </w:rPr>
              <w:t>,</w:t>
            </w:r>
            <w:r>
              <w:rPr>
                <w:rFonts w:hint="eastAsia" w:ascii="Times New Roman" w:hAnsi="Times New Roman" w:eastAsia="仿宋_GB2312" w:cs="仿宋_GB2312"/>
                <w:b/>
                <w:bCs/>
                <w:i w:val="0"/>
                <w:color w:val="000000" w:themeColor="text1"/>
                <w:kern w:val="0"/>
                <w:sz w:val="21"/>
                <w:szCs w:val="21"/>
                <w:highlight w:val="none"/>
                <w:u w:val="none"/>
                <w:lang w:val="en-US" w:eastAsia="zh-CN" w:bidi="ar"/>
                <w14:textFill>
                  <w14:solidFill>
                    <w14:schemeClr w14:val="tx1"/>
                  </w14:solidFill>
                </w14:textFill>
              </w:rPr>
              <w:t>154</w:t>
            </w:r>
          </w:p>
        </w:tc>
      </w:tr>
    </w:tbl>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560" w:lineRule="exact"/>
        <w:ind w:right="0" w:rightChars="0" w:firstLine="627" w:firstLineChars="200"/>
        <w:jc w:val="both"/>
        <w:textAlignment w:val="auto"/>
        <w:outlineLvl w:val="9"/>
        <w:rPr>
          <w:rFonts w:hint="eastAsia" w:ascii="黑体" w:hAnsi="黑体" w:eastAsia="黑体" w:cs="黑体"/>
          <w:b/>
          <w:bCs w:val="0"/>
          <w:spacing w:val="-4"/>
          <w:sz w:val="32"/>
          <w:szCs w:val="32"/>
          <w:lang w:val="en-US" w:eastAsia="zh-CN"/>
        </w:rPr>
      </w:pPr>
      <w:bookmarkStart w:id="8" w:name="OLE_LINK2"/>
      <w:bookmarkStart w:id="9" w:name="OLE_LINK3"/>
      <w:r>
        <w:rPr>
          <w:rFonts w:hint="eastAsia" w:ascii="黑体" w:hAnsi="黑体" w:eastAsia="黑体" w:cs="黑体"/>
          <w:b/>
          <w:bCs w:val="0"/>
          <w:spacing w:val="-4"/>
          <w:sz w:val="32"/>
          <w:szCs w:val="32"/>
          <w:lang w:val="en-US" w:eastAsia="zh-CN"/>
        </w:rPr>
        <w:t>三、国有资本经营预算对下转移支付情况</w:t>
      </w:r>
    </w:p>
    <w:p>
      <w:pPr>
        <w:pStyle w:val="2"/>
        <w:keepNext w:val="0"/>
        <w:keepLines w:val="0"/>
        <w:pageBreakBefore w:val="0"/>
        <w:widowControl w:val="0"/>
        <w:numPr>
          <w:ilvl w:val="0"/>
          <w:numId w:val="0"/>
        </w:numPr>
        <w:kinsoku/>
        <w:wordWrap/>
        <w:overflowPunct/>
        <w:topLinePunct w:val="0"/>
        <w:bidi w:val="0"/>
        <w:adjustRightInd/>
        <w:snapToGrid w:val="0"/>
        <w:spacing w:line="560" w:lineRule="exact"/>
        <w:ind w:firstLine="640" w:firstLineChars="200"/>
        <w:jc w:val="left"/>
        <w:textAlignment w:val="auto"/>
        <w:rPr>
          <w:rFonts w:hint="default" w:ascii="仿宋_GB2312" w:hAnsi="仿宋_GB2312" w:eastAsia="仿宋_GB2312" w:cs="仿宋_GB2312"/>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t>2025年吐鲁番市国有资本经营预算对下转移支付年初预算32.24万元，与2024年年初预算数持平。主要是用于国有企业退休人员社会化管理补助支出年初预算32.24万元，其中：高昌区18.902万元，鄯善县10.348万元、托克逊县2.99万元。</w:t>
      </w:r>
    </w:p>
    <w:bookmarkEnd w:id="8"/>
    <w:bookmarkEnd w:id="9"/>
    <w:p>
      <w:pPr>
        <w:widowControl/>
        <w:jc w:val="both"/>
        <w:outlineLvl w:val="1"/>
        <w:rPr>
          <w:rFonts w:hint="default" w:ascii="Times New Roman" w:hAnsi="Times New Roman" w:eastAsia="黑体" w:cs="Times New Roman"/>
          <w:kern w:val="0"/>
          <w:sz w:val="44"/>
          <w:szCs w:val="44"/>
          <w:lang w:val="en-US" w:eastAsia="zh-Hans"/>
        </w:rPr>
      </w:pPr>
    </w:p>
    <w:p>
      <w:pPr>
        <w:widowControl/>
        <w:numPr>
          <w:ilvl w:val="0"/>
          <w:numId w:val="4"/>
        </w:numPr>
        <w:ind w:firstLine="880" w:firstLineChars="200"/>
        <w:jc w:val="both"/>
        <w:outlineLvl w:val="1"/>
        <w:rPr>
          <w:rFonts w:hint="default" w:ascii="Times New Roman" w:hAnsi="Times New Roman" w:eastAsia="黑体" w:cs="Times New Roman"/>
          <w:kern w:val="0"/>
          <w:sz w:val="44"/>
          <w:szCs w:val="44"/>
          <w:lang w:val="en-US" w:eastAsia="zh-CN"/>
        </w:rPr>
      </w:pPr>
      <w:r>
        <w:rPr>
          <w:rFonts w:hint="default" w:ascii="Times New Roman" w:hAnsi="Times New Roman" w:eastAsia="黑体" w:cs="Times New Roman"/>
          <w:kern w:val="0"/>
          <w:sz w:val="44"/>
          <w:szCs w:val="44"/>
          <w:lang w:eastAsia="zh-Hans"/>
        </w:rPr>
        <w:t xml:space="preserve"> </w:t>
      </w:r>
      <w:r>
        <w:rPr>
          <w:rFonts w:hint="default" w:ascii="Times New Roman" w:hAnsi="Times New Roman" w:eastAsia="黑体" w:cs="Times New Roman"/>
          <w:kern w:val="0"/>
          <w:sz w:val="44"/>
          <w:szCs w:val="44"/>
          <w:lang w:val="en-US" w:eastAsia="zh-Hans"/>
        </w:rPr>
        <w:t>地方政府债务</w:t>
      </w:r>
      <w:r>
        <w:rPr>
          <w:rFonts w:hint="default" w:ascii="Times New Roman" w:hAnsi="Times New Roman" w:eastAsia="黑体" w:cs="Times New Roman"/>
          <w:kern w:val="0"/>
          <w:sz w:val="44"/>
          <w:szCs w:val="44"/>
          <w:lang w:val="en-US" w:eastAsia="zh-CN"/>
        </w:rPr>
        <w:t>公开情况</w:t>
      </w:r>
    </w:p>
    <w:tbl>
      <w:tblPr>
        <w:tblStyle w:val="15"/>
        <w:tblW w:w="8911" w:type="dxa"/>
        <w:tblInd w:w="-34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270"/>
        <w:gridCol w:w="2073"/>
        <w:gridCol w:w="2225"/>
        <w:gridCol w:w="234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9" w:hRule="atLeast"/>
        </w:trPr>
        <w:tc>
          <w:tcPr>
            <w:tcW w:w="8911" w:type="dxa"/>
            <w:gridSpan w:val="4"/>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表2</w:t>
            </w:r>
            <w:r>
              <w:rPr>
                <w:rFonts w:hint="default" w:ascii="Times New Roman" w:hAnsi="Times New Roman" w:cs="Times New Roman"/>
                <w:i w:val="0"/>
                <w:color w:val="000000"/>
                <w:kern w:val="0"/>
                <w:sz w:val="20"/>
                <w:szCs w:val="20"/>
                <w:highlight w:val="none"/>
                <w:u w:val="none"/>
                <w:lang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8911" w:type="dxa"/>
            <w:gridSpan w:val="4"/>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cs="Times New Roman"/>
                <w:b/>
                <w:bCs/>
                <w:i w:val="0"/>
                <w:color w:val="000000"/>
                <w:kern w:val="0"/>
                <w:sz w:val="32"/>
                <w:szCs w:val="32"/>
                <w:highlight w:val="none"/>
                <w:u w:val="none"/>
                <w:lang w:val="en-US" w:eastAsia="zh-CN" w:bidi="ar"/>
              </w:rPr>
              <w:t xml:space="preserve"> </w:t>
            </w: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bCs/>
                <w:i w:val="0"/>
                <w:color w:val="000000"/>
                <w:kern w:val="0"/>
                <w:sz w:val="32"/>
                <w:szCs w:val="32"/>
                <w:highlight w:val="none"/>
                <w:u w:val="none"/>
                <w:lang w:val="en-US" w:eastAsia="zh-CN" w:bidi="ar"/>
              </w:rPr>
              <w:t>政府一般债务限额、余额情况表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0" w:hRule="atLeast"/>
        </w:trPr>
        <w:tc>
          <w:tcPr>
            <w:tcW w:w="227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07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225"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343" w:type="dxa"/>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行政区划名称</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一般债务限额总额</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其中：新增一般债务限额</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val="0"/>
                <w:i w:val="0"/>
                <w:color w:val="000000"/>
                <w:sz w:val="20"/>
                <w:szCs w:val="20"/>
                <w:highlight w:val="none"/>
                <w:u w:val="none"/>
              </w:rPr>
            </w:pPr>
            <w:r>
              <w:rPr>
                <w:rFonts w:hint="default" w:ascii="Times New Roman" w:hAnsi="Times New Roman" w:eastAsia="宋体" w:cs="Times New Roman"/>
                <w:b/>
                <w:bCs w:val="0"/>
                <w:i w:val="0"/>
                <w:color w:val="000000"/>
                <w:kern w:val="0"/>
                <w:sz w:val="20"/>
                <w:szCs w:val="20"/>
                <w:highlight w:val="none"/>
                <w:u w:val="none"/>
                <w:lang w:val="en-US" w:eastAsia="zh-CN" w:bidi="ar"/>
              </w:rPr>
              <w:t>一般债务余额预计执行数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60"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吐鲁番市</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91.73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4.40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85.84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5"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8.68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8.11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所属县（市、区）小计</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83.05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3.80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77.73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高昌区</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28.73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27.54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72"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鄯善县</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32.76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1.30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30.70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27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托克逊县</w:t>
            </w:r>
          </w:p>
        </w:tc>
        <w:tc>
          <w:tcPr>
            <w:tcW w:w="207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21.56 </w:t>
            </w:r>
          </w:p>
        </w:tc>
        <w:tc>
          <w:tcPr>
            <w:tcW w:w="22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23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19.49 </w:t>
            </w:r>
          </w:p>
        </w:tc>
      </w:tr>
    </w:tbl>
    <w:tbl>
      <w:tblPr>
        <w:tblStyle w:val="15"/>
        <w:tblpPr w:leftFromText="180" w:rightFromText="180" w:vertAnchor="text" w:horzAnchor="page" w:tblpX="1301" w:tblpY="328"/>
        <w:tblOverlap w:val="never"/>
        <w:tblW w:w="88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432"/>
        <w:gridCol w:w="1858"/>
        <w:gridCol w:w="2216"/>
        <w:gridCol w:w="230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8815" w:type="dxa"/>
            <w:gridSpan w:val="4"/>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表2</w:t>
            </w:r>
            <w:r>
              <w:rPr>
                <w:rFonts w:hint="default" w:ascii="Times New Roman" w:hAnsi="Times New Roman" w:cs="Times New Roman"/>
                <w:i w:val="0"/>
                <w:color w:val="000000"/>
                <w:kern w:val="0"/>
                <w:sz w:val="20"/>
                <w:szCs w:val="20"/>
                <w:highlight w:val="none"/>
                <w:u w:val="none"/>
                <w:lang w:eastAsia="zh-CN" w:bidi="ar"/>
              </w:rPr>
              <w:t>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8815" w:type="dxa"/>
            <w:gridSpan w:val="4"/>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bCs/>
                <w:i w:val="0"/>
                <w:color w:val="000000"/>
                <w:kern w:val="0"/>
                <w:sz w:val="32"/>
                <w:szCs w:val="32"/>
                <w:highlight w:val="none"/>
                <w:u w:val="none"/>
                <w:lang w:val="en-US" w:eastAsia="zh-CN" w:bidi="ar"/>
              </w:rPr>
              <w:t>政府专项债务限额、余额情况表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243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858"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216"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309" w:type="dxa"/>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行政区划名称</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专项债务限额总额</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其中：新增专项债务限额</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专项债务余额预计执行数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5"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吐鲁番市</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196.35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lang w:val="en-US"/>
              </w:rPr>
            </w:pPr>
            <w:r>
              <w:rPr>
                <w:rFonts w:hint="eastAsia" w:ascii="宋体" w:hAnsi="宋体" w:eastAsia="宋体" w:cs="宋体"/>
                <w:b/>
                <w:bCs/>
                <w:i w:val="0"/>
                <w:iCs w:val="0"/>
                <w:color w:val="000000"/>
                <w:kern w:val="0"/>
                <w:sz w:val="20"/>
                <w:szCs w:val="20"/>
                <w:u w:val="none"/>
                <w:lang w:val="en-US" w:eastAsia="zh-CN" w:bidi="ar"/>
              </w:rPr>
              <w:t>195.8</w:t>
            </w:r>
            <w:r>
              <w:rPr>
                <w:rFonts w:hint="eastAsia" w:ascii="宋体" w:hAnsi="宋体" w:cs="宋体"/>
                <w:b/>
                <w:bCs/>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2.82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所属县（市、区）小计</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193.53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lang w:val="en-US"/>
              </w:rPr>
            </w:pPr>
            <w:r>
              <w:rPr>
                <w:rFonts w:hint="eastAsia" w:ascii="宋体" w:hAnsi="宋体" w:eastAsia="宋体" w:cs="宋体"/>
                <w:b/>
                <w:bCs/>
                <w:i w:val="0"/>
                <w:iCs w:val="0"/>
                <w:color w:val="000000"/>
                <w:kern w:val="0"/>
                <w:sz w:val="20"/>
                <w:szCs w:val="20"/>
                <w:u w:val="none"/>
                <w:lang w:val="en-US" w:eastAsia="zh-CN" w:bidi="ar"/>
              </w:rPr>
              <w:t>19</w:t>
            </w:r>
            <w:r>
              <w:rPr>
                <w:rFonts w:hint="eastAsia" w:ascii="宋体" w:hAnsi="宋体" w:cs="宋体"/>
                <w:b/>
                <w:bCs/>
                <w:i w:val="0"/>
                <w:iCs w:val="0"/>
                <w:color w:val="000000"/>
                <w:kern w:val="0"/>
                <w:sz w:val="20"/>
                <w:szCs w:val="20"/>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高昌区</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73.54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4.92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73.23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鄯善县</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66.57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22.43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66.43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24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托克逊县</w:t>
            </w:r>
          </w:p>
        </w:tc>
        <w:tc>
          <w:tcPr>
            <w:tcW w:w="18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53.41 </w:t>
            </w:r>
          </w:p>
        </w:tc>
        <w:tc>
          <w:tcPr>
            <w:tcW w:w="22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15.35 </w:t>
            </w:r>
          </w:p>
        </w:tc>
        <w:tc>
          <w:tcPr>
            <w:tcW w:w="230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53.34 </w:t>
            </w:r>
          </w:p>
        </w:tc>
      </w:tr>
    </w:tbl>
    <w:p>
      <w:pPr>
        <w:wordWrap/>
        <w:jc w:val="both"/>
        <w:rPr>
          <w:rFonts w:hint="default" w:ascii="Times New Roman" w:hAnsi="Times New Roman" w:cs="Times New Roman"/>
          <w:b w:val="0"/>
          <w:bCs w:val="0"/>
          <w:sz w:val="22"/>
          <w:szCs w:val="22"/>
          <w:highlight w:val="none"/>
          <w:lang w:eastAsia="zh-Hans"/>
        </w:rPr>
      </w:pPr>
    </w:p>
    <w:tbl>
      <w:tblPr>
        <w:tblStyle w:val="15"/>
        <w:tblW w:w="9608" w:type="dxa"/>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942"/>
        <w:gridCol w:w="826"/>
        <w:gridCol w:w="893"/>
        <w:gridCol w:w="910"/>
        <w:gridCol w:w="792"/>
        <w:gridCol w:w="860"/>
        <w:gridCol w:w="843"/>
        <w:gridCol w:w="693"/>
        <w:gridCol w:w="891"/>
        <w:gridCol w:w="95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608" w:type="dxa"/>
            <w:gridSpan w:val="10"/>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608" w:type="dxa"/>
            <w:gridSpan w:val="10"/>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kern w:val="0"/>
                <w:sz w:val="32"/>
                <w:szCs w:val="32"/>
                <w:highlight w:val="none"/>
                <w:u w:val="none"/>
                <w:lang w:val="en-US" w:eastAsia="zh-CN" w:bidi="ar"/>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bCs/>
                <w:i w:val="0"/>
                <w:color w:val="000000"/>
                <w:kern w:val="0"/>
                <w:sz w:val="32"/>
                <w:szCs w:val="32"/>
                <w:highlight w:val="none"/>
                <w:u w:val="none"/>
                <w:lang w:val="en-US" w:eastAsia="zh-CN" w:bidi="ar"/>
              </w:rPr>
              <w:t>政府债务限额、余额（含一般债务限额、余额和</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32"/>
                <w:szCs w:val="32"/>
                <w:highlight w:val="none"/>
                <w:u w:val="none"/>
                <w:lang w:val="en-US" w:eastAsia="zh-CN" w:bidi="ar"/>
              </w:rPr>
              <w:t>专项债务限额、余额）情况表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194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26"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1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79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6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4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9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1"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58" w:type="dxa"/>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80" w:hRule="atLeast"/>
        </w:trPr>
        <w:tc>
          <w:tcPr>
            <w:tcW w:w="1942"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行政区划名称</w:t>
            </w:r>
          </w:p>
        </w:tc>
        <w:tc>
          <w:tcPr>
            <w:tcW w:w="2629"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政府债务限额总额</w:t>
            </w:r>
          </w:p>
        </w:tc>
        <w:tc>
          <w:tcPr>
            <w:tcW w:w="2495"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其中：新增债务限额</w:t>
            </w:r>
          </w:p>
        </w:tc>
        <w:tc>
          <w:tcPr>
            <w:tcW w:w="2542"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政府债务余额预计执行数</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6" w:hRule="atLeast"/>
        </w:trPr>
        <w:tc>
          <w:tcPr>
            <w:tcW w:w="1942"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0"/>
                <w:szCs w:val="20"/>
                <w:highlight w:val="none"/>
                <w:u w:val="none"/>
              </w:rPr>
            </w:pP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一般债务</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专项债务</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一般债务</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专项债务</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一般债务</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专项债务</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9"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吐鲁番市</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288.08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91.73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196.35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47.10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4.40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281.66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85.84 </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195.8</w:t>
            </w:r>
            <w:r>
              <w:rPr>
                <w:rFonts w:hint="eastAsia" w:ascii="宋体" w:hAnsi="宋体" w:cs="宋体"/>
                <w:b/>
                <w:bCs/>
                <w:i w:val="0"/>
                <w:iCs w:val="0"/>
                <w:color w:val="000000"/>
                <w:kern w:val="0"/>
                <w:sz w:val="20"/>
                <w:szCs w:val="20"/>
                <w:u w:val="none"/>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89"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11.50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8.68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2.82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10.93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8.11 </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9"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所属县（市、区）小计</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276.58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83.05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193.53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46.50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3.80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270.73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lang w:val="en-US"/>
              </w:rPr>
            </w:pPr>
            <w:r>
              <w:rPr>
                <w:rFonts w:hint="eastAsia" w:ascii="宋体" w:hAnsi="宋体" w:eastAsia="宋体" w:cs="宋体"/>
                <w:b/>
                <w:bCs/>
                <w:i w:val="0"/>
                <w:iCs w:val="0"/>
                <w:color w:val="000000"/>
                <w:kern w:val="0"/>
                <w:sz w:val="20"/>
                <w:szCs w:val="20"/>
                <w:u w:val="none"/>
                <w:lang w:val="en-US" w:eastAsia="zh-CN" w:bidi="ar"/>
              </w:rPr>
              <w:t>77.7</w:t>
            </w:r>
            <w:r>
              <w:rPr>
                <w:rFonts w:hint="eastAsia" w:ascii="宋体" w:hAnsi="宋体" w:cs="宋体"/>
                <w:b/>
                <w:bCs/>
                <w:i w:val="0"/>
                <w:iCs w:val="0"/>
                <w:color w:val="000000"/>
                <w:kern w:val="0"/>
                <w:sz w:val="20"/>
                <w:szCs w:val="20"/>
                <w:u w:val="none"/>
                <w:lang w:val="en-US" w:eastAsia="zh-CN" w:bidi="ar"/>
              </w:rPr>
              <w:t>3</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19</w:t>
            </w:r>
            <w:r>
              <w:rPr>
                <w:rFonts w:hint="eastAsia" w:ascii="宋体" w:hAnsi="宋体" w:cs="宋体"/>
                <w:b/>
                <w:bCs/>
                <w:i w:val="0"/>
                <w:iCs w:val="0"/>
                <w:color w:val="000000"/>
                <w:kern w:val="0"/>
                <w:sz w:val="20"/>
                <w:szCs w:val="20"/>
                <w:u w:val="none"/>
                <w:lang w:val="en-US" w:eastAsia="zh-CN" w:bidi="ar"/>
              </w:rPr>
              <w:t>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90"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高昌区</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102.28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28.73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73.5</w:t>
            </w:r>
            <w:r>
              <w:rPr>
                <w:rFonts w:hint="eastAsia" w:ascii="宋体" w:hAnsi="宋体" w:cs="宋体"/>
                <w:i w:val="0"/>
                <w:iCs w:val="0"/>
                <w:color w:val="000000"/>
                <w:kern w:val="0"/>
                <w:sz w:val="20"/>
                <w:szCs w:val="20"/>
                <w:u w:val="none"/>
                <w:lang w:val="en-US" w:eastAsia="zh-CN" w:bidi="ar"/>
              </w:rPr>
              <w:t>5</w:t>
            </w:r>
            <w:r>
              <w:rPr>
                <w:rFonts w:hint="eastAsia" w:ascii="宋体" w:hAnsi="宋体" w:eastAsia="宋体" w:cs="宋体"/>
                <w:i w:val="0"/>
                <w:iCs w:val="0"/>
                <w:color w:val="000000"/>
                <w:kern w:val="0"/>
                <w:sz w:val="20"/>
                <w:szCs w:val="20"/>
                <w:u w:val="none"/>
                <w:lang w:val="en-US" w:eastAsia="zh-CN" w:bidi="ar"/>
              </w:rPr>
              <w:t xml:space="preserve">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7.42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4.92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100.77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27.54 </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73.23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9"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鄯善县</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99.33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32.76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66.57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23.73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1.30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22.43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97.13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30.70 </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66.43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47" w:hRule="atLeast"/>
        </w:trPr>
        <w:tc>
          <w:tcPr>
            <w:tcW w:w="1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托克逊县</w:t>
            </w:r>
          </w:p>
        </w:tc>
        <w:tc>
          <w:tcPr>
            <w:tcW w:w="82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74.97 </w:t>
            </w:r>
          </w:p>
        </w:tc>
        <w:tc>
          <w:tcPr>
            <w:tcW w:w="8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21.56 </w:t>
            </w:r>
          </w:p>
        </w:tc>
        <w:tc>
          <w:tcPr>
            <w:tcW w:w="9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53.41 </w:t>
            </w:r>
          </w:p>
        </w:tc>
        <w:tc>
          <w:tcPr>
            <w:tcW w:w="7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15.35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15.35 </w:t>
            </w:r>
          </w:p>
        </w:tc>
        <w:tc>
          <w:tcPr>
            <w:tcW w:w="6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72.83 </w:t>
            </w:r>
          </w:p>
        </w:tc>
        <w:tc>
          <w:tcPr>
            <w:tcW w:w="89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19.49 </w:t>
            </w:r>
          </w:p>
        </w:tc>
        <w:tc>
          <w:tcPr>
            <w:tcW w:w="95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53.34 </w:t>
            </w:r>
          </w:p>
        </w:tc>
      </w:tr>
    </w:tbl>
    <w:p>
      <w:pPr>
        <w:wordWrap/>
        <w:jc w:val="both"/>
        <w:rPr>
          <w:rFonts w:hint="default" w:ascii="Times New Roman" w:hAnsi="Times New Roman" w:cs="Times New Roman"/>
          <w:b w:val="0"/>
          <w:bCs w:val="0"/>
          <w:sz w:val="22"/>
          <w:szCs w:val="22"/>
          <w:highlight w:val="none"/>
          <w:lang w:val="en-US" w:eastAsia="zh-Hans"/>
        </w:rPr>
      </w:pPr>
    </w:p>
    <w:tbl>
      <w:tblPr>
        <w:tblStyle w:val="15"/>
        <w:tblW w:w="9583" w:type="dxa"/>
        <w:tblInd w:w="-5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
      <w:tblGrid>
        <w:gridCol w:w="1537"/>
        <w:gridCol w:w="951"/>
        <w:gridCol w:w="942"/>
        <w:gridCol w:w="1011"/>
        <w:gridCol w:w="944"/>
        <w:gridCol w:w="860"/>
        <w:gridCol w:w="853"/>
        <w:gridCol w:w="839"/>
        <w:gridCol w:w="786"/>
        <w:gridCol w:w="8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83" w:type="dxa"/>
            <w:gridSpan w:val="10"/>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583" w:type="dxa"/>
            <w:gridSpan w:val="10"/>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政府债券发行情况表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430" w:type="dxa"/>
            <w:gridSpan w:val="3"/>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011"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44"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6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485" w:type="dxa"/>
            <w:gridSpan w:val="3"/>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00" w:hRule="atLeast"/>
        </w:trPr>
        <w:tc>
          <w:tcPr>
            <w:tcW w:w="1537"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行政区划名称</w:t>
            </w:r>
          </w:p>
        </w:tc>
        <w:tc>
          <w:tcPr>
            <w:tcW w:w="2904"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政府债券发行总额</w:t>
            </w:r>
          </w:p>
        </w:tc>
        <w:tc>
          <w:tcPr>
            <w:tcW w:w="2657"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其中：新增债券额度</w:t>
            </w:r>
          </w:p>
        </w:tc>
        <w:tc>
          <w:tcPr>
            <w:tcW w:w="2485"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both"/>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其中：再融资债券额度</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30" w:hRule="atLeast"/>
        </w:trPr>
        <w:tc>
          <w:tcPr>
            <w:tcW w:w="1537"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0"/>
                <w:szCs w:val="20"/>
                <w:highlight w:val="none"/>
                <w:u w:val="none"/>
              </w:rPr>
            </w:pP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新增债券</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再融资债券</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小计</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一般债券</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专项债券</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小计</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一般债券</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70" w:hRule="atLeast"/>
        </w:trPr>
        <w:tc>
          <w:tcPr>
            <w:tcW w:w="1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吐鲁番市</w:t>
            </w: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52.20 </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47.10 </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5.10 </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47.10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4.40 </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5.10 </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1.70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3.40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7" w:hRule="atLeast"/>
        </w:trPr>
        <w:tc>
          <w:tcPr>
            <w:tcW w:w="1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1.11 </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0.51 </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0.60 </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0.51 </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所属县（市、区）小计</w:t>
            </w: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51.09 </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46.50 </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4.59 </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46.50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3.80 </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4.59 </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1.20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3.39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79" w:hRule="atLeast"/>
        </w:trPr>
        <w:tc>
          <w:tcPr>
            <w:tcW w:w="1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高昌区</w:t>
            </w: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8.38 </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7.42 </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0.96 </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7.42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2.50 </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4.92 </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0.96 </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0.63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0.33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97" w:hRule="atLeast"/>
        </w:trPr>
        <w:tc>
          <w:tcPr>
            <w:tcW w:w="1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鄯善县</w:t>
            </w:r>
          </w:p>
        </w:tc>
        <w:tc>
          <w:tcPr>
            <w:tcW w:w="95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24.76 </w:t>
            </w:r>
          </w:p>
        </w:tc>
        <w:tc>
          <w:tcPr>
            <w:tcW w:w="94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23.73 </w:t>
            </w:r>
          </w:p>
        </w:tc>
        <w:tc>
          <w:tcPr>
            <w:tcW w:w="10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1.03 </w:t>
            </w:r>
          </w:p>
        </w:tc>
        <w:tc>
          <w:tcPr>
            <w:tcW w:w="94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23.73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1.30 </w:t>
            </w:r>
          </w:p>
        </w:tc>
        <w:tc>
          <w:tcPr>
            <w:tcW w:w="8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22.43 </w:t>
            </w:r>
          </w:p>
        </w:tc>
        <w:tc>
          <w:tcPr>
            <w:tcW w:w="83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1.03 </w:t>
            </w:r>
          </w:p>
        </w:tc>
        <w:tc>
          <w:tcPr>
            <w:tcW w:w="78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0.40 </w:t>
            </w:r>
          </w:p>
        </w:tc>
        <w:tc>
          <w:tcPr>
            <w:tcW w:w="86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0.63 </w:t>
            </w:r>
          </w:p>
        </w:tc>
      </w:tr>
    </w:tbl>
    <w:tbl>
      <w:tblPr>
        <w:tblStyle w:val="15"/>
        <w:tblpPr w:leftFromText="180" w:rightFromText="180" w:vertAnchor="text" w:horzAnchor="page" w:tblpX="340" w:tblpY="350"/>
        <w:tblOverlap w:val="never"/>
        <w:tblW w:w="1122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666"/>
        <w:gridCol w:w="847"/>
        <w:gridCol w:w="1559"/>
        <w:gridCol w:w="3623"/>
        <w:gridCol w:w="1349"/>
        <w:gridCol w:w="995"/>
        <w:gridCol w:w="1092"/>
        <w:gridCol w:w="10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86" w:hRule="atLeast"/>
        </w:trPr>
        <w:tc>
          <w:tcPr>
            <w:tcW w:w="11224" w:type="dxa"/>
            <w:gridSpan w:val="8"/>
            <w:noWrap w:val="0"/>
            <w:vAlign w:val="center"/>
          </w:tcPr>
          <w:p>
            <w:pPr>
              <w:keepNext w:val="0"/>
              <w:keepLines w:val="0"/>
              <w:widowControl/>
              <w:suppressLineNumbers w:val="0"/>
              <w:spacing w:before="0" w:beforeAutospacing="0" w:after="0" w:afterAutospacing="0" w:line="240" w:lineRule="exact"/>
              <w:ind w:left="0" w:right="0"/>
              <w:jc w:val="left"/>
              <w:textAlignment w:val="center"/>
              <w:rPr>
                <w:rFonts w:hint="default" w:ascii="Times New Roman" w:hAnsi="Times New Roman" w:eastAsia="宋体" w:cs="Times New Roman"/>
                <w:b w:val="0"/>
                <w:bCs w:val="0"/>
                <w:i w:val="0"/>
                <w:color w:val="000000"/>
                <w:kern w:val="0"/>
                <w:sz w:val="24"/>
                <w:szCs w:val="24"/>
                <w:highlight w:val="none"/>
                <w:u w:val="none"/>
                <w:lang w:val="en-US" w:eastAsia="zh-CN" w:bidi="ar"/>
              </w:rPr>
            </w:pPr>
          </w:p>
          <w:p>
            <w:pPr>
              <w:keepNext w:val="0"/>
              <w:keepLines w:val="0"/>
              <w:widowControl/>
              <w:suppressLineNumbers w:val="0"/>
              <w:spacing w:before="0" w:beforeAutospacing="0" w:after="0" w:afterAutospacing="0" w:line="240" w:lineRule="exact"/>
              <w:ind w:left="0" w:right="0"/>
              <w:jc w:val="left"/>
              <w:textAlignment w:val="center"/>
              <w:rPr>
                <w:rFonts w:hint="default" w:ascii="Times New Roman" w:hAnsi="Times New Roman" w:eastAsia="宋体" w:cs="Times New Roman"/>
                <w:b/>
                <w:bCs/>
                <w:i w:val="0"/>
                <w:color w:val="000000"/>
                <w:kern w:val="0"/>
                <w:sz w:val="24"/>
                <w:szCs w:val="24"/>
                <w:highlight w:val="none"/>
                <w:u w:val="none"/>
                <w:lang w:val="en-US" w:eastAsia="zh-CN" w:bidi="ar"/>
              </w:rPr>
            </w:pPr>
            <w:r>
              <w:rPr>
                <w:rFonts w:hint="default" w:ascii="Times New Roman" w:hAnsi="Times New Roman" w:eastAsia="宋体" w:cs="Times New Roman"/>
                <w:b w:val="0"/>
                <w:bCs w:val="0"/>
                <w:i w:val="0"/>
                <w:color w:val="000000"/>
                <w:kern w:val="0"/>
                <w:sz w:val="24"/>
                <w:szCs w:val="24"/>
                <w:highlight w:val="none"/>
                <w:u w:val="none"/>
                <w:lang w:val="en-US" w:eastAsia="zh-CN" w:bidi="ar"/>
              </w:rPr>
              <w:t>表</w:t>
            </w:r>
            <w:r>
              <w:rPr>
                <w:rFonts w:hint="default" w:ascii="Times New Roman" w:hAnsi="Times New Roman" w:cs="Times New Roman"/>
                <w:b w:val="0"/>
                <w:bCs w:val="0"/>
                <w:i w:val="0"/>
                <w:color w:val="000000"/>
                <w:kern w:val="0"/>
                <w:sz w:val="24"/>
                <w:szCs w:val="24"/>
                <w:highlight w:val="none"/>
                <w:u w:val="none"/>
                <w:lang w:eastAsia="zh-CN" w:bidi="ar"/>
              </w:rPr>
              <w:t>33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609" w:hRule="atLeast"/>
        </w:trPr>
        <w:tc>
          <w:tcPr>
            <w:tcW w:w="11224" w:type="dxa"/>
            <w:gridSpan w:val="8"/>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bCs/>
                <w:i w:val="0"/>
                <w:color w:val="000000"/>
                <w:sz w:val="24"/>
                <w:szCs w:val="24"/>
                <w:highlight w:val="none"/>
                <w:u w:val="none"/>
              </w:rPr>
            </w:pPr>
            <w:r>
              <w:rPr>
                <w:rFonts w:hint="eastAsia" w:ascii="宋体" w:hAnsi="宋体" w:eastAsia="宋体" w:cs="宋体"/>
                <w:b/>
                <w:bCs/>
                <w:i w:val="0"/>
                <w:iCs w:val="0"/>
                <w:color w:val="000000"/>
                <w:kern w:val="0"/>
                <w:sz w:val="24"/>
                <w:szCs w:val="24"/>
                <w:u w:val="none"/>
                <w:lang w:val="en-US" w:eastAsia="zh-CN" w:bidi="ar"/>
              </w:rPr>
              <w:t>上年度吐鲁番市</w:t>
            </w:r>
            <w:r>
              <w:rPr>
                <w:rFonts w:hint="default" w:ascii="宋体" w:hAnsi="宋体" w:eastAsia="宋体" w:cs="宋体"/>
                <w:b/>
                <w:bCs/>
                <w:i w:val="0"/>
                <w:iCs w:val="0"/>
                <w:color w:val="000000"/>
                <w:kern w:val="0"/>
                <w:sz w:val="24"/>
                <w:szCs w:val="24"/>
                <w:u w:val="none"/>
                <w:lang w:val="en-US" w:eastAsia="zh-CN" w:bidi="ar"/>
              </w:rPr>
              <w:t>新增债券使用情况表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rPr>
        <w:tc>
          <w:tcPr>
            <w:tcW w:w="666" w:type="dxa"/>
            <w:noWrap w:val="0"/>
            <w:vAlign w:val="center"/>
          </w:tcPr>
          <w:p>
            <w:pPr>
              <w:keepNext w:val="0"/>
              <w:keepLines w:val="0"/>
              <w:suppressLineNumbers w:val="0"/>
              <w:spacing w:before="0" w:beforeAutospacing="0" w:after="0" w:afterAutospacing="0" w:line="240" w:lineRule="exact"/>
              <w:ind w:left="0" w:right="0"/>
              <w:rPr>
                <w:rFonts w:hint="default" w:ascii="Times New Roman" w:hAnsi="Times New Roman" w:eastAsia="宋体" w:cs="Times New Roman"/>
                <w:i w:val="0"/>
                <w:color w:val="000000"/>
                <w:sz w:val="20"/>
                <w:szCs w:val="20"/>
                <w:highlight w:val="none"/>
                <w:u w:val="none"/>
              </w:rPr>
            </w:pPr>
          </w:p>
        </w:tc>
        <w:tc>
          <w:tcPr>
            <w:tcW w:w="847" w:type="dxa"/>
            <w:noWrap w:val="0"/>
            <w:vAlign w:val="center"/>
          </w:tcPr>
          <w:p>
            <w:pPr>
              <w:keepNext w:val="0"/>
              <w:keepLines w:val="0"/>
              <w:suppressLineNumbers w:val="0"/>
              <w:spacing w:before="0" w:beforeAutospacing="0" w:after="0" w:afterAutospacing="0" w:line="240" w:lineRule="exact"/>
              <w:ind w:left="0" w:right="0"/>
              <w:rPr>
                <w:rFonts w:hint="default" w:ascii="Times New Roman" w:hAnsi="Times New Roman" w:eastAsia="宋体" w:cs="Times New Roman"/>
                <w:i w:val="0"/>
                <w:color w:val="000000"/>
                <w:sz w:val="20"/>
                <w:szCs w:val="20"/>
                <w:highlight w:val="none"/>
                <w:u w:val="none"/>
              </w:rPr>
            </w:pPr>
          </w:p>
        </w:tc>
        <w:tc>
          <w:tcPr>
            <w:tcW w:w="1559" w:type="dxa"/>
            <w:noWrap w:val="0"/>
            <w:vAlign w:val="center"/>
          </w:tcPr>
          <w:p>
            <w:pPr>
              <w:keepNext w:val="0"/>
              <w:keepLines w:val="0"/>
              <w:suppressLineNumbers w:val="0"/>
              <w:spacing w:before="0" w:beforeAutospacing="0" w:after="0" w:afterAutospacing="0" w:line="240" w:lineRule="exact"/>
              <w:ind w:left="0" w:right="0"/>
              <w:rPr>
                <w:rFonts w:hint="default" w:ascii="Times New Roman" w:hAnsi="Times New Roman" w:eastAsia="宋体" w:cs="Times New Roman"/>
                <w:i w:val="0"/>
                <w:color w:val="000000"/>
                <w:sz w:val="20"/>
                <w:szCs w:val="20"/>
                <w:highlight w:val="none"/>
                <w:u w:val="none"/>
              </w:rPr>
            </w:pPr>
          </w:p>
        </w:tc>
        <w:tc>
          <w:tcPr>
            <w:tcW w:w="4972" w:type="dxa"/>
            <w:gridSpan w:val="2"/>
            <w:noWrap w:val="0"/>
            <w:vAlign w:val="center"/>
          </w:tcPr>
          <w:p>
            <w:pPr>
              <w:keepNext w:val="0"/>
              <w:keepLines w:val="0"/>
              <w:suppressLineNumbers w:val="0"/>
              <w:spacing w:before="0" w:beforeAutospacing="0" w:after="0" w:afterAutospacing="0" w:line="240" w:lineRule="exact"/>
              <w:ind w:left="0" w:right="0"/>
              <w:jc w:val="left"/>
              <w:rPr>
                <w:rFonts w:hint="default" w:ascii="Times New Roman" w:hAnsi="Times New Roman" w:eastAsia="宋体" w:cs="Times New Roman"/>
                <w:i w:val="0"/>
                <w:color w:val="000000"/>
                <w:sz w:val="20"/>
                <w:szCs w:val="20"/>
                <w:highlight w:val="none"/>
                <w:u w:val="none"/>
              </w:rPr>
            </w:pPr>
          </w:p>
        </w:tc>
        <w:tc>
          <w:tcPr>
            <w:tcW w:w="3180" w:type="dxa"/>
            <w:gridSpan w:val="3"/>
            <w:noWrap w:val="0"/>
            <w:vAlign w:val="center"/>
          </w:tcPr>
          <w:p>
            <w:pPr>
              <w:keepNext w:val="0"/>
              <w:keepLines w:val="0"/>
              <w:widowControl/>
              <w:suppressLineNumbers w:val="0"/>
              <w:spacing w:before="0" w:beforeAutospacing="0" w:after="0" w:afterAutospacing="0" w:line="240" w:lineRule="exact"/>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30"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序号</w:t>
            </w:r>
          </w:p>
        </w:tc>
        <w:tc>
          <w:tcPr>
            <w:tcW w:w="8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区划</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项目单位</w:t>
            </w:r>
          </w:p>
        </w:tc>
        <w:tc>
          <w:tcPr>
            <w:tcW w:w="362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项目名称</w:t>
            </w:r>
          </w:p>
        </w:tc>
        <w:tc>
          <w:tcPr>
            <w:tcW w:w="13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项目领域</w:t>
            </w:r>
          </w:p>
        </w:tc>
        <w:tc>
          <w:tcPr>
            <w:tcW w:w="9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债券性质</w:t>
            </w:r>
          </w:p>
        </w:tc>
        <w:tc>
          <w:tcPr>
            <w:tcW w:w="10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债券金额</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line="240" w:lineRule="exact"/>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实际支出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8"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 </w:t>
            </w:r>
          </w:p>
        </w:tc>
        <w:tc>
          <w:tcPr>
            <w:tcW w:w="8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吐鲁番市教育局</w:t>
            </w:r>
          </w:p>
        </w:tc>
        <w:tc>
          <w:tcPr>
            <w:tcW w:w="362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吐鲁番市（高昌区）第六初级中学建设项目</w:t>
            </w:r>
          </w:p>
        </w:tc>
        <w:tc>
          <w:tcPr>
            <w:tcW w:w="13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其他社会事业</w:t>
            </w:r>
          </w:p>
        </w:tc>
        <w:tc>
          <w:tcPr>
            <w:tcW w:w="9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一般债券</w:t>
            </w:r>
          </w:p>
        </w:tc>
        <w:tc>
          <w:tcPr>
            <w:tcW w:w="10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0.50 </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 </w:t>
            </w:r>
          </w:p>
        </w:tc>
        <w:tc>
          <w:tcPr>
            <w:tcW w:w="8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吐鲁番市本级</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吐鲁番市教育局</w:t>
            </w:r>
          </w:p>
        </w:tc>
        <w:tc>
          <w:tcPr>
            <w:tcW w:w="362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吐鲁番市（高昌区）第六高级中学建设项目</w:t>
            </w:r>
          </w:p>
        </w:tc>
        <w:tc>
          <w:tcPr>
            <w:tcW w:w="13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其他社会事业</w:t>
            </w:r>
          </w:p>
        </w:tc>
        <w:tc>
          <w:tcPr>
            <w:tcW w:w="9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一般债券</w:t>
            </w:r>
          </w:p>
        </w:tc>
        <w:tc>
          <w:tcPr>
            <w:tcW w:w="10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0.10 </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0.10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6" w:hRule="atLeast"/>
        </w:trPr>
        <w:tc>
          <w:tcPr>
            <w:tcW w:w="6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 </w:t>
            </w:r>
          </w:p>
        </w:tc>
        <w:tc>
          <w:tcPr>
            <w:tcW w:w="84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区县小计</w:t>
            </w:r>
          </w:p>
        </w:tc>
        <w:tc>
          <w:tcPr>
            <w:tcW w:w="15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362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34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一般债券、专项债券</w:t>
            </w:r>
          </w:p>
        </w:tc>
        <w:tc>
          <w:tcPr>
            <w:tcW w:w="109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46.50 </w:t>
            </w:r>
          </w:p>
        </w:tc>
        <w:tc>
          <w:tcPr>
            <w:tcW w:w="109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42.79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35" w:hRule="atLeast"/>
        </w:trPr>
        <w:tc>
          <w:tcPr>
            <w:tcW w:w="11224" w:type="dxa"/>
            <w:gridSpan w:val="8"/>
            <w:noWrap w:val="0"/>
            <w:vAlign w:val="center"/>
          </w:tcPr>
          <w:p>
            <w:pPr>
              <w:keepNext w:val="0"/>
              <w:keepLines w:val="0"/>
              <w:widowControl/>
              <w:suppressLineNumbers w:val="0"/>
              <w:spacing w:before="0" w:beforeAutospacing="0" w:after="0" w:afterAutospacing="0" w:line="240" w:lineRule="exact"/>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line="240" w:lineRule="exact"/>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备注：新增债券额度由各地州市统筹分配至地州市本级、所辖县市区；各地县的新增债券项目具体安排，由当地按程序报本级人大批准，未在此表中列示。</w:t>
            </w:r>
          </w:p>
        </w:tc>
      </w:tr>
    </w:tbl>
    <w:p>
      <w:pPr>
        <w:keepNext w:val="0"/>
        <w:keepLines w:val="0"/>
        <w:widowControl/>
        <w:suppressLineNumbers w:val="0"/>
        <w:jc w:val="left"/>
        <w:textAlignment w:val="center"/>
        <w:rPr>
          <w:rFonts w:hint="default" w:ascii="Times New Roman" w:hAnsi="Times New Roman" w:eastAsia="宋体" w:cs="Times New Roman"/>
          <w:i w:val="0"/>
          <w:color w:val="000000"/>
          <w:kern w:val="0"/>
          <w:sz w:val="20"/>
          <w:szCs w:val="20"/>
          <w:highlight w:val="none"/>
          <w:u w:val="none"/>
          <w:lang w:val="en-US" w:eastAsia="zh-Hans" w:bidi="ar"/>
        </w:rPr>
      </w:pPr>
    </w:p>
    <w:tbl>
      <w:tblPr>
        <w:tblStyle w:val="15"/>
        <w:tblpPr w:leftFromText="180" w:rightFromText="180" w:vertAnchor="text" w:horzAnchor="page" w:tblpX="372" w:tblpY="-6273"/>
        <w:tblOverlap w:val="never"/>
        <w:tblW w:w="11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558"/>
        <w:gridCol w:w="1238"/>
        <w:gridCol w:w="795"/>
        <w:gridCol w:w="810"/>
        <w:gridCol w:w="750"/>
        <w:gridCol w:w="795"/>
        <w:gridCol w:w="840"/>
        <w:gridCol w:w="825"/>
        <w:gridCol w:w="720"/>
        <w:gridCol w:w="811"/>
        <w:gridCol w:w="734"/>
        <w:gridCol w:w="840"/>
        <w:gridCol w:w="840"/>
        <w:gridCol w:w="6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1173" w:type="dxa"/>
            <w:gridSpan w:val="14"/>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11173" w:type="dxa"/>
            <w:gridSpan w:val="14"/>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政府债券发行情况明细表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558"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9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1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5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9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4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825"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720"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545" w:type="dxa"/>
            <w:gridSpan w:val="2"/>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84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57" w:type="dxa"/>
            <w:gridSpan w:val="2"/>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796" w:type="dxa"/>
            <w:gridSpan w:val="2"/>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债券类型</w:t>
            </w:r>
          </w:p>
        </w:tc>
        <w:tc>
          <w:tcPr>
            <w:tcW w:w="2355"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地方政府债券</w:t>
            </w:r>
          </w:p>
        </w:tc>
        <w:tc>
          <w:tcPr>
            <w:tcW w:w="2460"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新增债券</w:t>
            </w:r>
          </w:p>
        </w:tc>
        <w:tc>
          <w:tcPr>
            <w:tcW w:w="2265"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置换债券</w:t>
            </w:r>
          </w:p>
        </w:tc>
        <w:tc>
          <w:tcPr>
            <w:tcW w:w="2297" w:type="dxa"/>
            <w:gridSpan w:val="3"/>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再融资债券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1796" w:type="dxa"/>
            <w:gridSpan w:val="2"/>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i w:val="0"/>
                <w:color w:val="000000"/>
                <w:sz w:val="20"/>
                <w:szCs w:val="20"/>
                <w:highlight w:val="none"/>
                <w:u w:val="none"/>
              </w:rPr>
            </w:pP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一般</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小计</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52.20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6.10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46.10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47.10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4.40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42.70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5.1</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1.7</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b/>
                <w:bCs/>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2.27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2.07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2.30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2.30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2.13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2.32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2.02</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1.93</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eastAsia" w:ascii="宋体" w:hAnsi="宋体" w:eastAsia="宋体" w:cs="宋体"/>
                <w:b/>
                <w:bCs/>
                <w:i w:val="0"/>
                <w:iCs w:val="0"/>
                <w:color w:val="000000"/>
                <w:kern w:val="0"/>
                <w:sz w:val="20"/>
                <w:szCs w:val="20"/>
                <w:u w:val="none"/>
                <w:lang w:val="en-US" w:eastAsia="zh-CN" w:bidi="ar"/>
              </w:rPr>
              <w:t>2.07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3年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5年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2.90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2.90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1.70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1.70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1.2</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1.2</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1.92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1.92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1.85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1.85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2.02</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2.02</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7年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9.90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0.50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9.40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9.40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9.40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0.5</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0.5</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2.16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1.71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2.18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2.18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2.18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1.71</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1.71</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10年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38.00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2.70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35.30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34.60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2.70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31.90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3.4</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2.32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2.32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2.35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2.35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2.07</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2.07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15年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1.00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2.53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2.53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2.53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2.53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20年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0.40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0.40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0.40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0.40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2.59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2.59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2.59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2.59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25年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restart"/>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30年</w:t>
            </w: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金额</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70" w:hRule="atLeast"/>
        </w:trPr>
        <w:tc>
          <w:tcPr>
            <w:tcW w:w="558" w:type="dxa"/>
            <w:vMerge w:val="continue"/>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2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平均利率%</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5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9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2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8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 xml:space="preserve">0.00 </w:t>
            </w:r>
          </w:p>
        </w:tc>
        <w:tc>
          <w:tcPr>
            <w:tcW w:w="7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84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c>
          <w:tcPr>
            <w:tcW w:w="61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eastAsia" w:ascii="宋体" w:hAnsi="宋体" w:eastAsia="宋体" w:cs="宋体"/>
                <w:i w:val="0"/>
                <w:iCs w:val="0"/>
                <w:color w:val="000000"/>
                <w:kern w:val="0"/>
                <w:sz w:val="20"/>
                <w:szCs w:val="20"/>
                <w:u w:val="none"/>
                <w:lang w:val="en-US" w:eastAsia="zh-CN" w:bidi="ar"/>
              </w:rPr>
              <w:t>0</w:t>
            </w:r>
          </w:p>
        </w:tc>
      </w:tr>
    </w:tbl>
    <w:p>
      <w:pPr>
        <w:spacing w:before="0" w:line="240" w:lineRule="exact"/>
        <w:ind w:left="0" w:right="499" w:firstLine="0"/>
        <w:jc w:val="both"/>
        <w:rPr>
          <w:rFonts w:hint="default" w:ascii="Times New Roman" w:hAnsi="Times New Roman" w:cs="Times New Roman"/>
          <w:highlight w:val="none"/>
          <w:lang w:val="en-US" w:eastAsia="zh-Hans"/>
        </w:rPr>
      </w:pPr>
    </w:p>
    <w:p>
      <w:pPr>
        <w:spacing w:before="0" w:line="240" w:lineRule="exact"/>
        <w:ind w:left="0" w:right="499" w:firstLine="0"/>
        <w:jc w:val="both"/>
        <w:rPr>
          <w:rFonts w:hint="default" w:ascii="Times New Roman" w:hAnsi="Times New Roman" w:cs="Times New Roman"/>
          <w:highlight w:val="none"/>
          <w:lang w:val="en-US" w:eastAsia="zh-Hans"/>
        </w:rPr>
      </w:pPr>
    </w:p>
    <w:tbl>
      <w:tblPr>
        <w:tblStyle w:val="15"/>
        <w:tblW w:w="8959" w:type="dxa"/>
        <w:tblInd w:w="-2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3313"/>
        <w:gridCol w:w="1820"/>
        <w:gridCol w:w="1972"/>
        <w:gridCol w:w="185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8959" w:type="dxa"/>
            <w:gridSpan w:val="4"/>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w:t>
            </w:r>
            <w:r>
              <w:rPr>
                <w:rFonts w:hint="default" w:ascii="Times New Roman" w:hAnsi="Times New Roman" w:cs="Times New Roman"/>
                <w:i w:val="0"/>
                <w:color w:val="000000"/>
                <w:kern w:val="0"/>
                <w:sz w:val="20"/>
                <w:szCs w:val="20"/>
                <w:highlight w:val="none"/>
                <w:u w:val="none"/>
                <w:lang w:eastAsia="zh-CN" w:bidi="ar"/>
              </w:rPr>
              <w:t>34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8959" w:type="dxa"/>
            <w:gridSpan w:val="4"/>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kern w:val="0"/>
                <w:sz w:val="32"/>
                <w:szCs w:val="32"/>
                <w:highlight w:val="none"/>
                <w:u w:val="none"/>
                <w:lang w:val="en-US" w:eastAsia="zh-CN" w:bidi="ar"/>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还本付息预计执行及本年度</w:t>
            </w:r>
          </w:p>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32"/>
                <w:szCs w:val="32"/>
                <w:highlight w:val="none"/>
                <w:u w:val="none"/>
                <w:lang w:val="en-US" w:eastAsia="zh-CN" w:bidi="ar"/>
              </w:rPr>
              <w:t>还本付息预算情况表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82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97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854" w:type="dxa"/>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1"/>
                <w:szCs w:val="21"/>
                <w:highlight w:val="none"/>
                <w:u w:val="none"/>
              </w:rPr>
            </w:pPr>
            <w:r>
              <w:rPr>
                <w:rFonts w:hint="default" w:ascii="Times New Roman" w:hAnsi="Times New Roman" w:eastAsia="宋体" w:cs="Times New Roman"/>
                <w:b/>
                <w:i w:val="0"/>
                <w:color w:val="000000"/>
                <w:kern w:val="0"/>
                <w:sz w:val="21"/>
                <w:szCs w:val="21"/>
                <w:highlight w:val="none"/>
                <w:u w:val="none"/>
                <w:lang w:val="en-US" w:eastAsia="zh-CN" w:bidi="ar"/>
              </w:rPr>
              <w:t>项    目</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1"/>
                <w:szCs w:val="21"/>
                <w:highlight w:val="none"/>
                <w:u w:val="none"/>
              </w:rPr>
            </w:pPr>
            <w:r>
              <w:rPr>
                <w:rFonts w:hint="eastAsia" w:cs="Times New Roman"/>
                <w:b/>
                <w:i w:val="0"/>
                <w:color w:val="000000"/>
                <w:kern w:val="0"/>
                <w:sz w:val="21"/>
                <w:szCs w:val="21"/>
                <w:u w:val="none"/>
                <w:lang w:val="en-US" w:eastAsia="zh-CN" w:bidi="ar"/>
              </w:rPr>
              <w:t>吐鲁番市</w:t>
            </w:r>
            <w:r>
              <w:rPr>
                <w:rFonts w:hint="eastAsia" w:ascii="Times New Roman" w:hAnsi="Times New Roman" w:cs="Times New Roman"/>
                <w:b/>
                <w:i w:val="0"/>
                <w:color w:val="000000"/>
                <w:kern w:val="0"/>
                <w:sz w:val="21"/>
                <w:szCs w:val="21"/>
                <w:highlight w:val="none"/>
                <w:u w:val="none"/>
                <w:lang w:val="en-US" w:eastAsia="zh-CN" w:bidi="ar"/>
              </w:rPr>
              <w:t xml:space="preserve">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1"/>
                <w:szCs w:val="21"/>
                <w:highlight w:val="none"/>
                <w:u w:val="none"/>
              </w:rPr>
            </w:pPr>
            <w:r>
              <w:rPr>
                <w:rFonts w:hint="default" w:ascii="Times New Roman" w:hAnsi="Times New Roman" w:eastAsia="宋体" w:cs="Times New Roman"/>
                <w:b/>
                <w:i w:val="0"/>
                <w:color w:val="000000"/>
                <w:kern w:val="0"/>
                <w:sz w:val="21"/>
                <w:szCs w:val="21"/>
                <w:highlight w:val="none"/>
                <w:u w:val="none"/>
                <w:lang w:val="en-US" w:eastAsia="zh-CN" w:bidi="ar"/>
              </w:rPr>
              <w:t>本级</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1"/>
                <w:szCs w:val="21"/>
                <w:highlight w:val="none"/>
                <w:u w:val="none"/>
              </w:rPr>
            </w:pPr>
            <w:r>
              <w:rPr>
                <w:rFonts w:hint="default" w:ascii="Times New Roman" w:hAnsi="Times New Roman" w:eastAsia="宋体" w:cs="Times New Roman"/>
                <w:b/>
                <w:i w:val="0"/>
                <w:color w:val="000000"/>
                <w:kern w:val="0"/>
                <w:sz w:val="21"/>
                <w:szCs w:val="21"/>
                <w:highlight w:val="none"/>
                <w:u w:val="none"/>
                <w:lang w:val="en-US" w:eastAsia="zh-CN" w:bidi="ar"/>
              </w:rPr>
              <w:t>各县（市、区）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一、上年度发行预计执行数</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52.20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1.11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51.09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（一）一般债券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6.10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1.10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5.00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其中：再融资债券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1.70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0.50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1.20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（二）专项债券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46.10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0.01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46.09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其中：再融资债券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3.40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0.01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3.39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二、上年度还本预计执行数</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2.58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0.75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1.83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（一）一般债券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2.58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0.75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1.83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（二）专项债券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三、上年度付息预计执行数</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7.95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0.3</w:t>
            </w:r>
            <w:r>
              <w:rPr>
                <w:rFonts w:hint="eastAsia" w:cs="Times New Roman"/>
                <w:b/>
                <w:bCs/>
                <w:i w:val="0"/>
                <w:iCs w:val="0"/>
                <w:color w:val="000000"/>
                <w:kern w:val="0"/>
                <w:sz w:val="20"/>
                <w:szCs w:val="20"/>
                <w:u w:val="none"/>
                <w:lang w:val="en-US" w:eastAsia="zh-CN" w:bidi="ar"/>
              </w:rPr>
              <w:t>6</w:t>
            </w:r>
            <w:r>
              <w:rPr>
                <w:rFonts w:hint="default" w:ascii="Times New Roman" w:hAnsi="Times New Roman" w:eastAsia="宋体" w:cs="Times New Roman"/>
                <w:b/>
                <w:bCs/>
                <w:i w:val="0"/>
                <w:iCs w:val="0"/>
                <w:color w:val="000000"/>
                <w:kern w:val="0"/>
                <w:sz w:val="20"/>
                <w:szCs w:val="20"/>
                <w:u w:val="none"/>
                <w:lang w:val="en-US" w:eastAsia="zh-CN" w:bidi="ar"/>
              </w:rPr>
              <w:t xml:space="preserve">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7.</w:t>
            </w:r>
            <w:r>
              <w:rPr>
                <w:rFonts w:hint="eastAsia" w:cs="Times New Roman"/>
                <w:b/>
                <w:bCs/>
                <w:i w:val="0"/>
                <w:iCs w:val="0"/>
                <w:color w:val="000000"/>
                <w:kern w:val="0"/>
                <w:sz w:val="20"/>
                <w:szCs w:val="20"/>
                <w:u w:val="none"/>
                <w:lang w:val="en-US" w:eastAsia="zh-CN" w:bidi="ar"/>
              </w:rPr>
              <w:t>59</w:t>
            </w:r>
            <w:r>
              <w:rPr>
                <w:rFonts w:hint="default" w:ascii="Times New Roman" w:hAnsi="Times New Roman" w:eastAsia="宋体" w:cs="Times New Roman"/>
                <w:b/>
                <w:bCs/>
                <w:i w:val="0"/>
                <w:iCs w:val="0"/>
                <w:color w:val="000000"/>
                <w:kern w:val="0"/>
                <w:sz w:val="20"/>
                <w:szCs w:val="20"/>
                <w:u w:val="none"/>
                <w:lang w:val="en-US" w:eastAsia="zh-CN" w:bidi="ar"/>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（一）一般债券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2.64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0.27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2.37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（二）专项债券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5.31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0.09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5.22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四、本年度还本预算数</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3.72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0.33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 xml:space="preserve">3.39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（一）一般债券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3.30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0.33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2.97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其中：再融资</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1.90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0.20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1.70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800" w:firstLineChars="4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财政预算安排</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1.40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0.13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1.27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（二）专项债券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0.42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0.42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其中：再融资</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1000" w:firstLineChars="5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财政预算安排</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0.00 </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color w:val="000000"/>
                <w:kern w:val="0"/>
                <w:sz w:val="20"/>
                <w:szCs w:val="20"/>
                <w:highlight w:val="none"/>
                <w:u w:val="none"/>
                <w:lang w:val="en-US" w:eastAsia="zh-CN" w:bidi="ar"/>
              </w:rPr>
              <w:t>五、本年度付息预算数</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8.99</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0.34</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b/>
                <w:bCs/>
                <w:i w:val="0"/>
                <w:color w:val="000000"/>
                <w:sz w:val="20"/>
                <w:szCs w:val="20"/>
                <w:highlight w:val="none"/>
                <w:u w:val="none"/>
              </w:rPr>
            </w:pPr>
            <w:r>
              <w:rPr>
                <w:rFonts w:hint="default" w:ascii="Times New Roman" w:hAnsi="Times New Roman" w:eastAsia="宋体" w:cs="Times New Roman"/>
                <w:b/>
                <w:bCs/>
                <w:i w:val="0"/>
                <w:iCs w:val="0"/>
                <w:color w:val="000000"/>
                <w:kern w:val="0"/>
                <w:sz w:val="20"/>
                <w:szCs w:val="20"/>
                <w:u w:val="none"/>
                <w:lang w:val="en-US" w:eastAsia="zh-CN" w:bidi="ar"/>
              </w:rPr>
              <w:t>8.65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（一）一般债券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2.63</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0.25</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2.38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331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firstLine="400" w:firstLineChars="20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（二）专项债券</w:t>
            </w:r>
          </w:p>
        </w:tc>
        <w:tc>
          <w:tcPr>
            <w:tcW w:w="182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6.36</w:t>
            </w:r>
          </w:p>
        </w:tc>
        <w:tc>
          <w:tcPr>
            <w:tcW w:w="197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0.09</w:t>
            </w:r>
          </w:p>
        </w:tc>
        <w:tc>
          <w:tcPr>
            <w:tcW w:w="185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6.27</w:t>
            </w:r>
          </w:p>
        </w:tc>
      </w:tr>
    </w:tbl>
    <w:p>
      <w:pPr>
        <w:pStyle w:val="2"/>
        <w:rPr>
          <w:rFonts w:hint="default" w:ascii="Times New Roman" w:hAnsi="Times New Roman" w:eastAsia="宋体" w:cs="Times New Roman"/>
          <w:i w:val="0"/>
          <w:color w:val="000000"/>
          <w:kern w:val="0"/>
          <w:sz w:val="20"/>
          <w:szCs w:val="20"/>
          <w:highlight w:val="none"/>
          <w:u w:val="none"/>
          <w:lang w:val="en-US" w:eastAsia="zh-Hans" w:bidi="ar"/>
        </w:rPr>
      </w:pPr>
    </w:p>
    <w:p>
      <w:pPr>
        <w:pStyle w:val="2"/>
        <w:rPr>
          <w:rFonts w:hint="default" w:ascii="Times New Roman" w:hAnsi="Times New Roman" w:eastAsia="宋体" w:cs="Times New Roman"/>
          <w:i w:val="0"/>
          <w:color w:val="000000"/>
          <w:kern w:val="0"/>
          <w:sz w:val="20"/>
          <w:szCs w:val="20"/>
          <w:highlight w:val="none"/>
          <w:u w:val="none"/>
          <w:lang w:val="en-US" w:eastAsia="zh-Hans" w:bidi="ar"/>
        </w:rPr>
      </w:pPr>
    </w:p>
    <w:p>
      <w:pPr>
        <w:pStyle w:val="2"/>
        <w:rPr>
          <w:rFonts w:hint="default" w:ascii="Times New Roman" w:hAnsi="Times New Roman" w:eastAsia="宋体" w:cs="Times New Roman"/>
          <w:i w:val="0"/>
          <w:color w:val="000000"/>
          <w:kern w:val="0"/>
          <w:sz w:val="20"/>
          <w:szCs w:val="20"/>
          <w:highlight w:val="none"/>
          <w:u w:val="none"/>
          <w:lang w:val="en-US" w:eastAsia="zh-Hans" w:bidi="ar"/>
        </w:rPr>
      </w:pPr>
    </w:p>
    <w:tbl>
      <w:tblPr>
        <w:tblStyle w:val="15"/>
        <w:tblpPr w:leftFromText="180" w:rightFromText="180" w:vertAnchor="text" w:horzAnchor="page" w:tblpX="527" w:tblpY="292"/>
        <w:tblOverlap w:val="never"/>
        <w:tblW w:w="1085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783"/>
        <w:gridCol w:w="537"/>
        <w:gridCol w:w="857"/>
        <w:gridCol w:w="1445"/>
        <w:gridCol w:w="1610"/>
        <w:gridCol w:w="1097"/>
        <w:gridCol w:w="1153"/>
        <w:gridCol w:w="969"/>
        <w:gridCol w:w="834"/>
        <w:gridCol w:w="674"/>
        <w:gridCol w:w="8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27" w:hRule="atLeast"/>
        </w:trPr>
        <w:tc>
          <w:tcPr>
            <w:tcW w:w="10853" w:type="dxa"/>
            <w:gridSpan w:val="11"/>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表3</w:t>
            </w:r>
            <w:r>
              <w:rPr>
                <w:rFonts w:hint="default" w:ascii="Times New Roman" w:hAnsi="Times New Roman" w:cs="Times New Roman"/>
                <w:i w:val="0"/>
                <w:color w:val="000000"/>
                <w:kern w:val="0"/>
                <w:sz w:val="20"/>
                <w:szCs w:val="20"/>
                <w:highlight w:val="none"/>
                <w:u w:val="none"/>
                <w:lang w:eastAsia="zh-CN" w:bidi="ar"/>
              </w:rPr>
              <w:t>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10853" w:type="dxa"/>
            <w:gridSpan w:val="11"/>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i w:val="0"/>
                <w:color w:val="000000"/>
                <w:kern w:val="0"/>
                <w:sz w:val="32"/>
                <w:szCs w:val="32"/>
                <w:highlight w:val="none"/>
                <w:u w:val="none"/>
                <w:lang w:eastAsia="zh-CN" w:bidi="ar"/>
              </w:rPr>
              <w:t>本年度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政府新增债券资金使用安排情况表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13" w:hRule="atLeast"/>
        </w:trPr>
        <w:tc>
          <w:tcPr>
            <w:tcW w:w="78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3055" w:type="dxa"/>
            <w:gridSpan w:val="2"/>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097" w:type="dxa"/>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153" w:type="dxa"/>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969"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68" w:type="dxa"/>
            <w:gridSpan w:val="2"/>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55"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序号</w:t>
            </w: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区划</w:t>
            </w: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项目单位</w:t>
            </w: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项目名称</w:t>
            </w: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投向领域</w:t>
            </w: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债券类型</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债券金额</w:t>
            </w: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偿还来源</w:t>
            </w: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债券期限</w:t>
            </w: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利率</w:t>
            </w: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还本付息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0"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一般债券</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00"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专项债券</w:t>
            </w: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22"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40"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167" w:hRule="atLeast"/>
        </w:trPr>
        <w:tc>
          <w:tcPr>
            <w:tcW w:w="78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53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445"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61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1097"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15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i w:val="0"/>
                <w:color w:val="000000"/>
                <w:sz w:val="20"/>
                <w:szCs w:val="20"/>
                <w:highlight w:val="none"/>
                <w:u w:val="none"/>
              </w:rPr>
            </w:pPr>
          </w:p>
        </w:tc>
        <w:tc>
          <w:tcPr>
            <w:tcW w:w="96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3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67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9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50" w:hRule="atLeast"/>
        </w:trPr>
        <w:tc>
          <w:tcPr>
            <w:tcW w:w="10853" w:type="dxa"/>
            <w:gridSpan w:val="11"/>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备注：新增债券额度由各地州市统筹分配至地州市本级、所辖县市区；各地县的新增债券项目具体安排，由当地按程序报本级人大批准，未在此表中列示。</w:t>
            </w: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tc>
      </w:tr>
    </w:tbl>
    <w:tbl>
      <w:tblPr>
        <w:tblStyle w:val="15"/>
        <w:tblW w:w="9850" w:type="dxa"/>
        <w:tblInd w:w="-62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2316"/>
        <w:gridCol w:w="1584"/>
        <w:gridCol w:w="1580"/>
        <w:gridCol w:w="2180"/>
        <w:gridCol w:w="219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850" w:type="dxa"/>
            <w:gridSpan w:val="5"/>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kern w:val="0"/>
                <w:sz w:val="20"/>
                <w:szCs w:val="20"/>
                <w:highlight w:val="none"/>
                <w:u w:val="none"/>
                <w:lang w:val="en-US" w:eastAsia="zh-CN" w:bidi="ar"/>
              </w:rPr>
            </w:pPr>
          </w:p>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i w:val="0"/>
                <w:color w:val="000000"/>
                <w:kern w:val="0"/>
                <w:sz w:val="20"/>
                <w:szCs w:val="20"/>
                <w:highlight w:val="none"/>
                <w:u w:val="none"/>
                <w:lang w:val="en-US" w:eastAsia="zh-CN" w:bidi="ar"/>
              </w:rPr>
            </w:pPr>
            <w:r>
              <w:rPr>
                <w:rFonts w:hint="default" w:ascii="Times New Roman" w:hAnsi="Times New Roman" w:eastAsia="宋体" w:cs="Times New Roman"/>
                <w:i w:val="0"/>
                <w:color w:val="000000"/>
                <w:kern w:val="0"/>
                <w:sz w:val="20"/>
                <w:szCs w:val="20"/>
                <w:highlight w:val="none"/>
                <w:u w:val="none"/>
                <w:lang w:val="en-US" w:eastAsia="zh-CN" w:bidi="ar"/>
              </w:rPr>
              <w:t>表3</w:t>
            </w:r>
            <w:r>
              <w:rPr>
                <w:rFonts w:hint="default" w:ascii="Times New Roman" w:hAnsi="Times New Roman" w:cs="Times New Roman"/>
                <w:i w:val="0"/>
                <w:color w:val="000000"/>
                <w:kern w:val="0"/>
                <w:sz w:val="20"/>
                <w:szCs w:val="20"/>
                <w:highlight w:val="none"/>
                <w:u w:val="none"/>
                <w:lang w:eastAsia="zh-CN" w:bidi="ar"/>
              </w:rPr>
              <w:t>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9850" w:type="dxa"/>
            <w:gridSpan w:val="5"/>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本级政府专项债务表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75" w:hRule="atLeast"/>
        </w:trPr>
        <w:tc>
          <w:tcPr>
            <w:tcW w:w="2316" w:type="dxa"/>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1584"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58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18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2190" w:type="dxa"/>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23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地区</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专项债券收入</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专项债券支出</w:t>
            </w:r>
          </w:p>
        </w:tc>
        <w:tc>
          <w:tcPr>
            <w:tcW w:w="21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专项债券还本付息</w:t>
            </w:r>
          </w:p>
        </w:tc>
        <w:tc>
          <w:tcPr>
            <w:tcW w:w="21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专项收入情况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25" w:hRule="atLeast"/>
        </w:trPr>
        <w:tc>
          <w:tcPr>
            <w:tcW w:w="231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市本级</w:t>
            </w:r>
          </w:p>
        </w:tc>
        <w:tc>
          <w:tcPr>
            <w:tcW w:w="1584"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0.01 </w:t>
            </w:r>
          </w:p>
        </w:tc>
        <w:tc>
          <w:tcPr>
            <w:tcW w:w="15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0.01 </w:t>
            </w:r>
          </w:p>
        </w:tc>
        <w:tc>
          <w:tcPr>
            <w:tcW w:w="218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iCs w:val="0"/>
                <w:color w:val="000000"/>
                <w:kern w:val="0"/>
                <w:sz w:val="20"/>
                <w:szCs w:val="20"/>
                <w:u w:val="none"/>
                <w:lang w:val="en-US" w:eastAsia="zh-CN" w:bidi="ar"/>
              </w:rPr>
              <w:t xml:space="preserve">0.09 </w:t>
            </w:r>
          </w:p>
        </w:tc>
        <w:tc>
          <w:tcPr>
            <w:tcW w:w="219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lang w:val="en-US"/>
              </w:rPr>
            </w:pPr>
            <w:r>
              <w:rPr>
                <w:rFonts w:hint="default" w:ascii="Times New Roman" w:hAnsi="Times New Roman" w:eastAsia="宋体" w:cs="Times New Roman"/>
                <w:i w:val="0"/>
                <w:iCs w:val="0"/>
                <w:color w:val="000000"/>
                <w:kern w:val="0"/>
                <w:sz w:val="20"/>
                <w:szCs w:val="20"/>
                <w:u w:val="none"/>
                <w:lang w:val="en-US" w:eastAsia="zh-CN" w:bidi="ar"/>
              </w:rPr>
              <w:t>0.</w:t>
            </w:r>
            <w:r>
              <w:rPr>
                <w:rFonts w:hint="eastAsia" w:cs="Times New Roman"/>
                <w:i w:val="0"/>
                <w:iCs w:val="0"/>
                <w:color w:val="000000"/>
                <w:kern w:val="0"/>
                <w:sz w:val="20"/>
                <w:szCs w:val="20"/>
                <w:u w:val="none"/>
                <w:lang w:val="en-US" w:eastAsia="zh-CN" w:bidi="ar"/>
              </w:rPr>
              <w:t>12</w:t>
            </w:r>
          </w:p>
        </w:tc>
      </w:tr>
    </w:tbl>
    <w:p>
      <w:pPr>
        <w:spacing w:before="58"/>
        <w:ind w:left="0" w:right="499" w:firstLine="0"/>
        <w:jc w:val="both"/>
        <w:rPr>
          <w:rFonts w:hint="default" w:ascii="Times New Roman" w:hAnsi="Times New Roman" w:cs="Times New Roman"/>
          <w:highlight w:val="none"/>
          <w:lang w:val="en-US" w:eastAsia="zh-Hans"/>
        </w:rPr>
      </w:pPr>
    </w:p>
    <w:p>
      <w:pPr>
        <w:pStyle w:val="8"/>
        <w:rPr>
          <w:rFonts w:hint="default" w:ascii="Times New Roman" w:hAnsi="Times New Roman" w:cs="Times New Roman"/>
          <w:highlight w:val="none"/>
          <w:lang w:val="en-US" w:eastAsia="zh-Hans"/>
        </w:rPr>
      </w:pPr>
    </w:p>
    <w:p>
      <w:pPr>
        <w:pStyle w:val="8"/>
        <w:rPr>
          <w:rFonts w:hint="default" w:ascii="Times New Roman" w:hAnsi="Times New Roman" w:cs="Times New Roman"/>
          <w:highlight w:val="none"/>
          <w:lang w:val="en-US" w:eastAsia="zh-Hans"/>
        </w:rPr>
      </w:pPr>
    </w:p>
    <w:p>
      <w:pPr>
        <w:pStyle w:val="8"/>
        <w:rPr>
          <w:rFonts w:hint="default" w:ascii="Times New Roman" w:hAnsi="Times New Roman" w:cs="Times New Roman"/>
          <w:highlight w:val="none"/>
          <w:lang w:val="en-US" w:eastAsia="zh-Hans"/>
        </w:rPr>
      </w:pPr>
    </w:p>
    <w:p>
      <w:pPr>
        <w:pStyle w:val="8"/>
        <w:rPr>
          <w:rFonts w:hint="default" w:ascii="Times New Roman" w:hAnsi="Times New Roman" w:cs="Times New Roman"/>
          <w:highlight w:val="none"/>
          <w:lang w:val="en-US" w:eastAsia="zh-Hans"/>
        </w:rPr>
      </w:pPr>
    </w:p>
    <w:tbl>
      <w:tblPr>
        <w:tblStyle w:val="15"/>
        <w:tblpPr w:leftFromText="180" w:rightFromText="180" w:vertAnchor="text" w:horzAnchor="page" w:tblpX="510" w:tblpY="330"/>
        <w:tblOverlap w:val="never"/>
        <w:tblW w:w="1063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808"/>
        <w:gridCol w:w="838"/>
        <w:gridCol w:w="1066"/>
        <w:gridCol w:w="1332"/>
        <w:gridCol w:w="1348"/>
        <w:gridCol w:w="1230"/>
        <w:gridCol w:w="1079"/>
        <w:gridCol w:w="1163"/>
        <w:gridCol w:w="859"/>
        <w:gridCol w:w="91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634" w:type="dxa"/>
            <w:gridSpan w:val="10"/>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b/>
                <w:i w:val="0"/>
                <w:color w:val="000000"/>
                <w:kern w:val="0"/>
                <w:sz w:val="20"/>
                <w:szCs w:val="20"/>
                <w:highlight w:val="none"/>
                <w:u w:val="none"/>
                <w:lang w:val="en-US" w:eastAsia="zh-Hans" w:bidi="ar"/>
              </w:rPr>
            </w:pPr>
            <w:r>
              <w:rPr>
                <w:rFonts w:hint="default" w:ascii="Times New Roman" w:hAnsi="Times New Roman" w:eastAsia="宋体" w:cs="Times New Roman"/>
                <w:i w:val="0"/>
                <w:color w:val="000000"/>
                <w:kern w:val="0"/>
                <w:sz w:val="20"/>
                <w:szCs w:val="20"/>
                <w:highlight w:val="none"/>
                <w:u w:val="none"/>
                <w:lang w:val="en-US" w:eastAsia="zh-Hans" w:bidi="ar"/>
              </w:rPr>
              <w:t>表3</w:t>
            </w:r>
            <w:r>
              <w:rPr>
                <w:rFonts w:hint="default" w:ascii="Times New Roman" w:hAnsi="Times New Roman" w:cs="Times New Roman"/>
                <w:i w:val="0"/>
                <w:color w:val="000000"/>
                <w:kern w:val="0"/>
                <w:sz w:val="20"/>
                <w:szCs w:val="20"/>
                <w:highlight w:val="none"/>
                <w:u w:val="none"/>
                <w:lang w:eastAsia="zh-Hans" w:bidi="ar"/>
              </w:rPr>
              <w:t>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95" w:hRule="atLeast"/>
        </w:trPr>
        <w:tc>
          <w:tcPr>
            <w:tcW w:w="10634" w:type="dxa"/>
            <w:gridSpan w:val="10"/>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eastAsia" w:cs="Times New Roman"/>
                <w:b/>
                <w:bCs/>
                <w:i w:val="0"/>
                <w:color w:val="000000"/>
                <w:kern w:val="0"/>
                <w:sz w:val="32"/>
                <w:szCs w:val="32"/>
                <w:highlight w:val="none"/>
                <w:u w:val="none"/>
                <w:lang w:eastAsia="zh-CN" w:bidi="ar"/>
              </w:rPr>
              <w:t>上年度</w:t>
            </w:r>
            <w:r>
              <w:rPr>
                <w:rFonts w:hint="eastAsia" w:cs="Times New Roman"/>
                <w:b/>
                <w:bCs/>
                <w:i w:val="0"/>
                <w:color w:val="000000"/>
                <w:kern w:val="0"/>
                <w:sz w:val="32"/>
                <w:szCs w:val="32"/>
                <w:highlight w:val="none"/>
                <w:u w:val="none"/>
                <w:lang w:val="en-US" w:eastAsia="zh-CN" w:bidi="ar"/>
              </w:rPr>
              <w:t>吐鲁番市</w:t>
            </w:r>
            <w:r>
              <w:rPr>
                <w:rFonts w:hint="default" w:ascii="Times New Roman" w:hAnsi="Times New Roman" w:eastAsia="宋体" w:cs="Times New Roman"/>
                <w:b/>
                <w:i w:val="0"/>
                <w:color w:val="000000"/>
                <w:kern w:val="0"/>
                <w:sz w:val="32"/>
                <w:szCs w:val="32"/>
                <w:highlight w:val="none"/>
                <w:u w:val="none"/>
                <w:lang w:val="en-US" w:eastAsia="zh-CN" w:bidi="ar"/>
              </w:rPr>
              <w:t>本级政府专项债券项目表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257" w:hRule="atLeast"/>
        </w:trPr>
        <w:tc>
          <w:tcPr>
            <w:tcW w:w="808" w:type="dxa"/>
            <w:noWrap w:val="0"/>
            <w:vAlign w:val="center"/>
          </w:tcPr>
          <w:p>
            <w:pPr>
              <w:keepNext w:val="0"/>
              <w:keepLines w:val="0"/>
              <w:suppressLineNumbers w:val="0"/>
              <w:spacing w:before="0" w:beforeAutospacing="0" w:after="0" w:afterAutospacing="0"/>
              <w:ind w:left="0" w:right="0"/>
              <w:jc w:val="left"/>
              <w:rPr>
                <w:rFonts w:hint="default" w:ascii="Times New Roman" w:hAnsi="Times New Roman" w:eastAsia="宋体" w:cs="Times New Roman"/>
                <w:i w:val="0"/>
                <w:color w:val="000000"/>
                <w:sz w:val="20"/>
                <w:szCs w:val="20"/>
                <w:highlight w:val="none"/>
                <w:u w:val="none"/>
              </w:rPr>
            </w:pPr>
          </w:p>
        </w:tc>
        <w:tc>
          <w:tcPr>
            <w:tcW w:w="838" w:type="dxa"/>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66"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2"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48"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30"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079"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163" w:type="dxa"/>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770" w:type="dxa"/>
            <w:gridSpan w:val="2"/>
            <w:noWrap w:val="0"/>
            <w:vAlign w:val="center"/>
          </w:tcPr>
          <w:p>
            <w:pPr>
              <w:keepNext w:val="0"/>
              <w:keepLines w:val="0"/>
              <w:widowControl/>
              <w:suppressLineNumbers w:val="0"/>
              <w:spacing w:before="0" w:beforeAutospacing="0" w:after="0" w:afterAutospacing="0"/>
              <w:ind w:left="0" w:right="0"/>
              <w:jc w:val="righ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单位：亿元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10" w:hRule="atLeast"/>
        </w:trPr>
        <w:tc>
          <w:tcPr>
            <w:tcW w:w="808"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序号</w:t>
            </w:r>
          </w:p>
        </w:tc>
        <w:tc>
          <w:tcPr>
            <w:tcW w:w="838"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主管部门</w:t>
            </w:r>
          </w:p>
        </w:tc>
        <w:tc>
          <w:tcPr>
            <w:tcW w:w="1066"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项目单位</w:t>
            </w:r>
          </w:p>
        </w:tc>
        <w:tc>
          <w:tcPr>
            <w:tcW w:w="1332"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项目名称</w:t>
            </w:r>
          </w:p>
        </w:tc>
        <w:tc>
          <w:tcPr>
            <w:tcW w:w="1348"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债券金额</w:t>
            </w: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债券类型</w:t>
            </w:r>
          </w:p>
        </w:tc>
        <w:tc>
          <w:tcPr>
            <w:tcW w:w="1079"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偿还来源</w:t>
            </w:r>
          </w:p>
        </w:tc>
        <w:tc>
          <w:tcPr>
            <w:tcW w:w="1163"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债券期限</w:t>
            </w:r>
          </w:p>
        </w:tc>
        <w:tc>
          <w:tcPr>
            <w:tcW w:w="859"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利率</w:t>
            </w:r>
          </w:p>
        </w:tc>
        <w:tc>
          <w:tcPr>
            <w:tcW w:w="911" w:type="dxa"/>
            <w:tcBorders>
              <w:top w:val="single" w:color="000000" w:sz="4" w:space="0"/>
              <w:left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债券存续期内还本付息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846" w:hRule="atLeast"/>
        </w:trPr>
        <w:tc>
          <w:tcPr>
            <w:tcW w:w="80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b/>
                <w:i w:val="0"/>
                <w:color w:val="000000"/>
                <w:sz w:val="20"/>
                <w:szCs w:val="20"/>
                <w:highlight w:val="none"/>
                <w:u w:val="none"/>
              </w:rPr>
            </w:pPr>
            <w:r>
              <w:rPr>
                <w:rFonts w:hint="default" w:ascii="Times New Roman" w:hAnsi="Times New Roman" w:eastAsia="宋体" w:cs="Times New Roman"/>
                <w:b/>
                <w:i w:val="0"/>
                <w:color w:val="000000"/>
                <w:kern w:val="0"/>
                <w:sz w:val="20"/>
                <w:szCs w:val="20"/>
                <w:highlight w:val="none"/>
                <w:u w:val="none"/>
                <w:lang w:val="en-US" w:eastAsia="zh-CN" w:bidi="ar"/>
              </w:rPr>
              <w:t>合计</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eastAsia" w:ascii="Times New Roman" w:hAnsi="Times New Roman" w:eastAsia="宋体" w:cs="Times New Roman"/>
                <w:b/>
                <w:i w:val="0"/>
                <w:color w:val="000000"/>
                <w:sz w:val="20"/>
                <w:szCs w:val="20"/>
                <w:highlight w:val="none"/>
                <w:u w:val="none"/>
                <w:lang w:eastAsia="zh-CN"/>
              </w:rPr>
            </w:pP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i w:val="0"/>
                <w:color w:val="000000"/>
                <w:sz w:val="20"/>
                <w:szCs w:val="20"/>
                <w:highlight w:val="none"/>
                <w:u w:val="none"/>
              </w:rPr>
            </w:pPr>
          </w:p>
        </w:tc>
        <w:tc>
          <w:tcPr>
            <w:tcW w:w="13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eastAsia" w:ascii="Times New Roman" w:hAnsi="Times New Roman" w:eastAsia="宋体" w:cs="Times New Roman"/>
                <w:b/>
                <w:i w:val="0"/>
                <w:color w:val="000000"/>
                <w:sz w:val="20"/>
                <w:szCs w:val="20"/>
                <w:highlight w:val="none"/>
                <w:u w:val="none"/>
                <w:lang w:eastAsia="zh-CN"/>
              </w:rPr>
            </w:pPr>
            <w:r>
              <w:rPr>
                <w:rFonts w:hint="eastAsia" w:cs="Times New Roman"/>
                <w:b/>
                <w:i w:val="0"/>
                <w:color w:val="000000"/>
                <w:sz w:val="20"/>
                <w:szCs w:val="20"/>
                <w:highlight w:val="none"/>
                <w:u w:val="none"/>
                <w:lang w:eastAsia="zh-CN"/>
              </w:rPr>
              <w:t>其他项目</w:t>
            </w: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right"/>
              <w:rPr>
                <w:rFonts w:hint="default" w:ascii="Times New Roman" w:hAnsi="Times New Roman" w:eastAsia="宋体" w:cs="Times New Roman"/>
                <w:b/>
                <w:i w:val="0"/>
                <w:color w:val="000000"/>
                <w:sz w:val="20"/>
                <w:szCs w:val="20"/>
                <w:highlight w:val="none"/>
                <w:u w:val="none"/>
                <w:lang w:val="en-US" w:eastAsia="zh-CN"/>
              </w:rPr>
            </w:pPr>
            <w:r>
              <w:rPr>
                <w:rFonts w:hint="eastAsia" w:cs="Times New Roman"/>
                <w:b/>
                <w:i w:val="0"/>
                <w:color w:val="000000"/>
                <w:sz w:val="20"/>
                <w:szCs w:val="20"/>
                <w:highlight w:val="none"/>
                <w:u w:val="none"/>
                <w:lang w:val="en-US" w:eastAsia="zh-CN"/>
              </w:rPr>
              <w:t>0.01</w:t>
            </w: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i w:val="0"/>
                <w:color w:val="000000"/>
                <w:sz w:val="20"/>
                <w:szCs w:val="20"/>
                <w:highlight w:val="none"/>
                <w:u w:val="none"/>
                <w:lang w:val="en-US" w:eastAsia="zh-CN"/>
              </w:rPr>
            </w:pPr>
            <w:r>
              <w:rPr>
                <w:rFonts w:hint="eastAsia" w:cs="Times New Roman"/>
                <w:b/>
                <w:i w:val="0"/>
                <w:color w:val="000000"/>
                <w:sz w:val="20"/>
                <w:szCs w:val="20"/>
                <w:highlight w:val="none"/>
                <w:u w:val="none"/>
                <w:lang w:eastAsia="zh-CN"/>
              </w:rPr>
              <w:t>一般债券</w:t>
            </w:r>
            <w:r>
              <w:rPr>
                <w:rFonts w:hint="eastAsia" w:cs="Times New Roman"/>
                <w:b/>
                <w:i w:val="0"/>
                <w:color w:val="000000"/>
                <w:sz w:val="20"/>
                <w:szCs w:val="20"/>
                <w:highlight w:val="none"/>
                <w:u w:val="none"/>
                <w:lang w:val="en-US" w:eastAsia="zh-CN"/>
              </w:rPr>
              <w:t>/专项债券</w:t>
            </w:r>
          </w:p>
        </w:tc>
        <w:tc>
          <w:tcPr>
            <w:tcW w:w="1079" w:type="dxa"/>
            <w:tcBorders>
              <w:top w:val="single" w:color="000000" w:sz="4" w:space="0"/>
              <w:left w:val="single" w:color="000000" w:sz="4" w:space="0"/>
              <w:bottom w:val="single" w:color="000000" w:sz="4" w:space="0"/>
              <w:right w:val="single" w:color="000000" w:sz="4" w:space="0"/>
            </w:tcBorders>
            <w:shd w:val="clear" w:color="auto" w:fill="auto"/>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仿宋_GB2312" w:hAnsi="宋体" w:eastAsia="仿宋_GB2312" w:cs="仿宋_GB2312"/>
                <w:i w:val="0"/>
                <w:iCs w:val="0"/>
                <w:color w:val="000000"/>
                <w:kern w:val="2"/>
                <w:sz w:val="20"/>
                <w:szCs w:val="20"/>
                <w:u w:val="none"/>
                <w:lang w:val="en-US" w:eastAsia="zh-CN" w:bidi="ar-SA"/>
              </w:rPr>
            </w:pPr>
          </w:p>
        </w:tc>
        <w:tc>
          <w:tcPr>
            <w:tcW w:w="11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i w:val="0"/>
                <w:color w:val="000000"/>
                <w:sz w:val="20"/>
                <w:szCs w:val="20"/>
                <w:highlight w:val="none"/>
                <w:u w:val="none"/>
                <w:lang w:val="en-US" w:eastAsia="zh-CN"/>
              </w:rPr>
            </w:pPr>
          </w:p>
        </w:tc>
        <w:tc>
          <w:tcPr>
            <w:tcW w:w="8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i w:val="0"/>
                <w:color w:val="000000"/>
                <w:sz w:val="20"/>
                <w:szCs w:val="20"/>
                <w:highlight w:val="none"/>
                <w:u w:val="none"/>
                <w:lang w:val="en-US" w:eastAsia="zh-CN"/>
              </w:rPr>
            </w:pPr>
          </w:p>
        </w:tc>
        <w:tc>
          <w:tcPr>
            <w:tcW w:w="9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b/>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80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1</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0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1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80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2</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0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1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80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3</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0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1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05" w:hRule="atLeast"/>
        </w:trPr>
        <w:tc>
          <w:tcPr>
            <w:tcW w:w="80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cs="Times New Roman"/>
                <w:i w:val="0"/>
                <w:color w:val="000000"/>
                <w:kern w:val="0"/>
                <w:sz w:val="20"/>
                <w:szCs w:val="20"/>
                <w:highlight w:val="none"/>
                <w:u w:val="none"/>
                <w:lang w:eastAsia="zh-CN" w:bidi="ar"/>
              </w:rPr>
              <w:t>...</w:t>
            </w:r>
          </w:p>
        </w:tc>
        <w:tc>
          <w:tcPr>
            <w:tcW w:w="83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jc w:val="center"/>
              <w:rPr>
                <w:rFonts w:hint="default" w:ascii="Times New Roman" w:hAnsi="Times New Roman" w:eastAsia="宋体" w:cs="Times New Roman"/>
                <w:i w:val="0"/>
                <w:color w:val="000000"/>
                <w:sz w:val="20"/>
                <w:szCs w:val="20"/>
                <w:highlight w:val="none"/>
                <w:u w:val="none"/>
              </w:rPr>
            </w:pPr>
          </w:p>
        </w:tc>
        <w:tc>
          <w:tcPr>
            <w:tcW w:w="1066"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32"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348"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230"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07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1163"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859"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c>
          <w:tcPr>
            <w:tcW w:w="911" w:type="dxa"/>
            <w:tcBorders>
              <w:top w:val="single" w:color="000000" w:sz="4" w:space="0"/>
              <w:left w:val="single" w:color="000000" w:sz="4" w:space="0"/>
              <w:bottom w:val="single" w:color="000000" w:sz="4" w:space="0"/>
              <w:right w:val="single" w:color="000000" w:sz="4" w:space="0"/>
            </w:tcBorders>
            <w:noWrap w:val="0"/>
            <w:vAlign w:val="center"/>
          </w:tcPr>
          <w:p>
            <w:pPr>
              <w:keepNext w:val="0"/>
              <w:keepLines w:val="0"/>
              <w:suppressLineNumbers w:val="0"/>
              <w:spacing w:before="0" w:beforeAutospacing="0" w:after="0" w:afterAutospacing="0"/>
              <w:ind w:left="0" w:right="0"/>
              <w:rPr>
                <w:rFonts w:hint="default" w:ascii="Times New Roman" w:hAnsi="Times New Roman" w:eastAsia="宋体" w:cs="Times New Roman"/>
                <w:i w:val="0"/>
                <w:color w:val="000000"/>
                <w:sz w:val="20"/>
                <w:szCs w:val="20"/>
                <w:highlight w:val="none"/>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540" w:hRule="atLeast"/>
        </w:trPr>
        <w:tc>
          <w:tcPr>
            <w:tcW w:w="10634" w:type="dxa"/>
            <w:gridSpan w:val="10"/>
            <w:tcBorders>
              <w:top w:val="single" w:color="000000" w:sz="4" w:space="0"/>
            </w:tcBorders>
            <w:noWrap w:val="0"/>
            <w:vAlign w:val="center"/>
          </w:tcPr>
          <w:p>
            <w:pPr>
              <w:keepNext w:val="0"/>
              <w:keepLines w:val="0"/>
              <w:widowControl/>
              <w:suppressLineNumbers w:val="0"/>
              <w:spacing w:before="0" w:beforeAutospacing="0" w:after="0" w:afterAutospacing="0"/>
              <w:ind w:left="0" w:right="0"/>
              <w:jc w:val="left"/>
              <w:textAlignment w:val="center"/>
              <w:rPr>
                <w:rFonts w:hint="default" w:ascii="Times New Roman" w:hAnsi="Times New Roman" w:eastAsia="宋体" w:cs="Times New Roman"/>
                <w:i w:val="0"/>
                <w:color w:val="000000"/>
                <w:sz w:val="20"/>
                <w:szCs w:val="20"/>
                <w:highlight w:val="none"/>
                <w:u w:val="none"/>
              </w:rPr>
            </w:pPr>
            <w:r>
              <w:rPr>
                <w:rFonts w:hint="default" w:ascii="Times New Roman" w:hAnsi="Times New Roman" w:eastAsia="宋体" w:cs="Times New Roman"/>
                <w:i w:val="0"/>
                <w:color w:val="000000"/>
                <w:kern w:val="0"/>
                <w:sz w:val="20"/>
                <w:szCs w:val="20"/>
                <w:highlight w:val="none"/>
                <w:u w:val="none"/>
                <w:lang w:val="en-US" w:eastAsia="zh-CN" w:bidi="ar"/>
              </w:rPr>
              <w:t>备注：所有专项债券在进入项目储备库之前，全部编制《项目实施方案》，全面反映项目收支预算总体平衡方案和分年平衡方案，并经过独立第三方进行评审。</w:t>
            </w:r>
          </w:p>
        </w:tc>
      </w:tr>
    </w:tbl>
    <w:p>
      <w:pPr>
        <w:pStyle w:val="2"/>
        <w:rPr>
          <w:rFonts w:hint="default" w:ascii="Times New Roman" w:hAnsi="Times New Roman" w:eastAsia="楷体_GB2312" w:cs="Times New Roman"/>
          <w:b/>
          <w:spacing w:val="-4"/>
          <w:sz w:val="32"/>
          <w:szCs w:val="32"/>
          <w:highlight w:val="none"/>
          <w:lang w:val="en-US" w:eastAsia="zh-CN"/>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r>
        <w:rPr>
          <w:rFonts w:hint="eastAsia" w:ascii="黑体" w:hAnsi="黑体" w:eastAsia="黑体" w:cs="黑体"/>
          <w:b w:val="0"/>
          <w:bCs/>
          <w:spacing w:val="-4"/>
          <w:sz w:val="32"/>
          <w:szCs w:val="32"/>
          <w:highlight w:val="none"/>
          <w:lang w:val="en-US" w:eastAsia="zh-CN"/>
        </w:rPr>
        <w:t>一、2024年度政府债务限额总体情况</w:t>
      </w:r>
    </w:p>
    <w:p>
      <w:pPr>
        <w:keepNext w:val="0"/>
        <w:keepLines w:val="0"/>
        <w:pageBreakBefore w:val="0"/>
        <w:widowControl w:val="0"/>
        <w:suppressLineNumbers w:val="0"/>
        <w:kinsoku/>
        <w:wordWrap/>
        <w:overflowPunct/>
        <w:topLinePunct w:val="0"/>
        <w:autoSpaceDE w:val="0"/>
        <w:autoSpaceDN w:val="0"/>
        <w:bidi w:val="0"/>
        <w:adjustRightInd/>
        <w:snapToGrid/>
        <w:spacing w:before="0" w:after="0" w:line="600" w:lineRule="exact"/>
        <w:ind w:left="0" w:leftChars="0" w:right="0" w:rightChars="0" w:firstLine="640" w:firstLineChars="200"/>
        <w:jc w:val="both"/>
        <w:textAlignment w:val="auto"/>
        <w:outlineLvl w:val="9"/>
        <w:rPr>
          <w:rFonts w:hint="default" w:ascii="Times New Roman" w:hAnsi="Times New Roman" w:eastAsia="仿宋_GB2312" w:cs="Times New Roman"/>
          <w:color w:val="000000"/>
          <w:kern w:val="0"/>
          <w:sz w:val="32"/>
          <w:szCs w:val="32"/>
          <w:highlight w:val="none"/>
          <w:lang w:val="en-US" w:eastAsia="zh-CN" w:bidi="ar"/>
        </w:rPr>
      </w:pPr>
      <w:r>
        <w:rPr>
          <w:rFonts w:hint="eastAsia" w:eastAsia="仿宋_GB2312" w:cs="Times New Roman"/>
          <w:color w:val="000000"/>
          <w:kern w:val="0"/>
          <w:sz w:val="32"/>
          <w:szCs w:val="32"/>
          <w:highlight w:val="none"/>
          <w:lang w:val="en-US" w:eastAsia="zh-CN" w:bidi="ar"/>
        </w:rPr>
        <w:t>2024</w:t>
      </w:r>
      <w:r>
        <w:rPr>
          <w:rFonts w:hint="default" w:ascii="Times New Roman" w:hAnsi="Times New Roman" w:eastAsia="仿宋_GB2312" w:cs="Times New Roman"/>
          <w:color w:val="000000"/>
          <w:kern w:val="0"/>
          <w:sz w:val="32"/>
          <w:szCs w:val="32"/>
          <w:highlight w:val="none"/>
          <w:lang w:val="en-US" w:eastAsia="zh-CN" w:bidi="ar"/>
        </w:rPr>
        <w:t>年度</w:t>
      </w:r>
      <w:r>
        <w:rPr>
          <w:rFonts w:hint="eastAsia" w:eastAsia="仿宋_GB2312" w:cs="Times New Roman"/>
          <w:color w:val="000000"/>
          <w:kern w:val="0"/>
          <w:sz w:val="32"/>
          <w:szCs w:val="32"/>
          <w:highlight w:val="none"/>
          <w:lang w:val="en-US" w:eastAsia="zh-CN" w:bidi="ar"/>
        </w:rPr>
        <w:t>吐鲁番市</w:t>
      </w:r>
      <w:r>
        <w:rPr>
          <w:rFonts w:hint="default" w:ascii="Times New Roman" w:hAnsi="Times New Roman" w:eastAsia="仿宋_GB2312" w:cs="Times New Roman"/>
          <w:color w:val="000000"/>
          <w:kern w:val="0"/>
          <w:sz w:val="32"/>
          <w:szCs w:val="32"/>
          <w:highlight w:val="none"/>
          <w:lang w:val="en-US" w:eastAsia="zh-CN" w:bidi="ar"/>
        </w:rPr>
        <w:t>政府债务限额总额为</w:t>
      </w:r>
      <w:r>
        <w:rPr>
          <w:rFonts w:hint="eastAsia" w:eastAsia="仿宋_GB2312" w:cs="Times New Roman"/>
          <w:color w:val="000000"/>
          <w:kern w:val="0"/>
          <w:sz w:val="32"/>
          <w:szCs w:val="32"/>
          <w:highlight w:val="none"/>
          <w:lang w:val="en-US" w:eastAsia="zh-CN" w:bidi="ar"/>
        </w:rPr>
        <w:t>288.08</w:t>
      </w:r>
      <w:r>
        <w:rPr>
          <w:rFonts w:hint="default" w:ascii="Times New Roman" w:hAnsi="Times New Roman" w:eastAsia="仿宋_GB2312" w:cs="Times New Roman"/>
          <w:color w:val="000000"/>
          <w:kern w:val="0"/>
          <w:sz w:val="32"/>
          <w:szCs w:val="32"/>
          <w:highlight w:val="none"/>
          <w:lang w:val="en-US" w:eastAsia="zh-CN" w:bidi="ar"/>
        </w:rPr>
        <w:t>亿元，其中：市本级政府债务限额为</w:t>
      </w:r>
      <w:r>
        <w:rPr>
          <w:rFonts w:hint="eastAsia" w:eastAsia="仿宋_GB2312" w:cs="Times New Roman"/>
          <w:color w:val="000000"/>
          <w:kern w:val="0"/>
          <w:sz w:val="32"/>
          <w:szCs w:val="32"/>
          <w:highlight w:val="none"/>
          <w:lang w:val="en-US" w:eastAsia="zh-CN" w:bidi="ar"/>
        </w:rPr>
        <w:t>11.5</w:t>
      </w:r>
      <w:r>
        <w:rPr>
          <w:rFonts w:hint="default" w:ascii="Times New Roman" w:hAnsi="Times New Roman" w:eastAsia="仿宋_GB2312" w:cs="Times New Roman"/>
          <w:color w:val="000000"/>
          <w:kern w:val="0"/>
          <w:sz w:val="32"/>
          <w:szCs w:val="32"/>
          <w:highlight w:val="none"/>
          <w:lang w:val="en-US" w:eastAsia="zh-CN" w:bidi="ar"/>
        </w:rPr>
        <w:t>亿元，所属</w:t>
      </w:r>
      <w:r>
        <w:rPr>
          <w:rFonts w:hint="eastAsia" w:eastAsia="仿宋_GB2312" w:cs="Times New Roman"/>
          <w:color w:val="000000"/>
          <w:kern w:val="0"/>
          <w:sz w:val="32"/>
          <w:szCs w:val="32"/>
          <w:highlight w:val="none"/>
          <w:lang w:val="en-US" w:eastAsia="zh-CN" w:bidi="ar"/>
        </w:rPr>
        <w:t>区县</w:t>
      </w:r>
      <w:r>
        <w:rPr>
          <w:rFonts w:hint="default" w:ascii="Times New Roman" w:hAnsi="Times New Roman" w:eastAsia="仿宋_GB2312" w:cs="Times New Roman"/>
          <w:color w:val="000000"/>
          <w:kern w:val="0"/>
          <w:sz w:val="32"/>
          <w:szCs w:val="32"/>
          <w:highlight w:val="none"/>
          <w:lang w:val="en-US" w:eastAsia="zh-CN" w:bidi="ar"/>
        </w:rPr>
        <w:t>政府债务限额为</w:t>
      </w:r>
      <w:r>
        <w:rPr>
          <w:rFonts w:hint="eastAsia" w:eastAsia="仿宋_GB2312" w:cs="Times New Roman"/>
          <w:color w:val="000000"/>
          <w:kern w:val="0"/>
          <w:sz w:val="32"/>
          <w:szCs w:val="32"/>
          <w:highlight w:val="none"/>
          <w:lang w:val="en-US" w:eastAsia="zh-CN" w:bidi="ar"/>
        </w:rPr>
        <w:t>276.58</w:t>
      </w:r>
      <w:r>
        <w:rPr>
          <w:rFonts w:hint="default" w:ascii="Times New Roman" w:hAnsi="Times New Roman" w:eastAsia="仿宋_GB2312" w:cs="Times New Roman"/>
          <w:color w:val="000000"/>
          <w:kern w:val="0"/>
          <w:sz w:val="32"/>
          <w:szCs w:val="32"/>
          <w:highlight w:val="none"/>
          <w:lang w:val="en-US" w:eastAsia="zh-CN" w:bidi="ar"/>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b/>
          <w:bCs/>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（一）政府债务限额分</w:t>
      </w:r>
      <w:r>
        <w:rPr>
          <w:rFonts w:hint="eastAsia" w:ascii="Times New Roman" w:hAnsi="Times New Roman" w:eastAsia="仿宋_GB2312" w:cs="Times New Roman"/>
          <w:b/>
          <w:bCs/>
          <w:sz w:val="32"/>
          <w:szCs w:val="32"/>
          <w:highlight w:val="none"/>
          <w:lang w:val="en-US" w:eastAsia="zh-CN"/>
        </w:rPr>
        <w:t>类</w:t>
      </w:r>
      <w:r>
        <w:rPr>
          <w:rFonts w:hint="default" w:ascii="Times New Roman" w:hAnsi="Times New Roman" w:eastAsia="仿宋_GB2312" w:cs="Times New Roman"/>
          <w:b/>
          <w:bCs/>
          <w:sz w:val="32"/>
          <w:szCs w:val="32"/>
          <w:highlight w:val="none"/>
          <w:lang w:val="en-US" w:eastAsia="zh-CN"/>
        </w:rPr>
        <w:t>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1.一般债务限额总额情况。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政府一般债务限额总额</w:t>
      </w:r>
      <w:r>
        <w:rPr>
          <w:rFonts w:hint="eastAsia" w:eastAsia="仿宋_GB2312" w:cs="Times New Roman"/>
          <w:sz w:val="32"/>
          <w:szCs w:val="32"/>
          <w:highlight w:val="none"/>
          <w:lang w:val="en-US" w:eastAsia="zh-CN"/>
        </w:rPr>
        <w:t>91.73</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本级政府一般债务限额为</w:t>
      </w:r>
      <w:r>
        <w:rPr>
          <w:rFonts w:hint="eastAsia" w:eastAsia="仿宋_GB2312" w:cs="Times New Roman"/>
          <w:sz w:val="32"/>
          <w:szCs w:val="32"/>
          <w:highlight w:val="none"/>
          <w:lang w:val="en-US" w:eastAsia="zh-CN"/>
        </w:rPr>
        <w:t>8.68</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政府一般债务限额为</w:t>
      </w:r>
      <w:r>
        <w:rPr>
          <w:rFonts w:hint="eastAsia" w:eastAsia="仿宋_GB2312" w:cs="Times New Roman"/>
          <w:sz w:val="32"/>
          <w:szCs w:val="32"/>
          <w:highlight w:val="none"/>
          <w:lang w:val="en-US" w:eastAsia="zh-CN"/>
        </w:rPr>
        <w:t>83.05</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2.专项债务限额总额情况。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政府专项债务限额总额为</w:t>
      </w:r>
      <w:r>
        <w:rPr>
          <w:rFonts w:hint="eastAsia" w:eastAsia="仿宋_GB2312" w:cs="Times New Roman"/>
          <w:sz w:val="32"/>
          <w:szCs w:val="32"/>
          <w:highlight w:val="none"/>
          <w:lang w:val="en-US" w:eastAsia="zh-CN"/>
        </w:rPr>
        <w:t>196.35</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本级政府专项债务限额为</w:t>
      </w:r>
      <w:r>
        <w:rPr>
          <w:rFonts w:hint="eastAsia" w:eastAsia="仿宋_GB2312" w:cs="Times New Roman"/>
          <w:sz w:val="32"/>
          <w:szCs w:val="32"/>
          <w:highlight w:val="none"/>
          <w:lang w:val="en-US" w:eastAsia="zh-CN"/>
        </w:rPr>
        <w:t>2.82</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政府专项债务限额为</w:t>
      </w:r>
      <w:r>
        <w:rPr>
          <w:rFonts w:hint="eastAsia" w:eastAsia="仿宋_GB2312" w:cs="Times New Roman"/>
          <w:sz w:val="32"/>
          <w:szCs w:val="32"/>
          <w:highlight w:val="none"/>
          <w:lang w:val="en-US" w:eastAsia="zh-CN"/>
        </w:rPr>
        <w:t>193.53</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b/>
          <w:bCs/>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（二）新增债务限额情况</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1.新增一般债务限额情况。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政府新增一般债务限额总额</w:t>
      </w:r>
      <w:r>
        <w:rPr>
          <w:rFonts w:hint="eastAsia" w:eastAsia="仿宋_GB2312" w:cs="Times New Roman"/>
          <w:sz w:val="32"/>
          <w:szCs w:val="32"/>
          <w:highlight w:val="none"/>
          <w:lang w:val="en-US" w:eastAsia="zh-CN"/>
        </w:rPr>
        <w:t>4.4</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本级政府新增一般债务限额为</w:t>
      </w:r>
      <w:r>
        <w:rPr>
          <w:rFonts w:hint="eastAsia" w:eastAsia="仿宋_GB2312" w:cs="Times New Roman"/>
          <w:sz w:val="32"/>
          <w:szCs w:val="32"/>
          <w:highlight w:val="none"/>
          <w:lang w:val="en-US" w:eastAsia="zh-CN"/>
        </w:rPr>
        <w:t>0.6</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政府新增一般债务限额为</w:t>
      </w:r>
      <w:r>
        <w:rPr>
          <w:rFonts w:hint="eastAsia" w:eastAsia="仿宋_GB2312" w:cs="Times New Roman"/>
          <w:sz w:val="32"/>
          <w:szCs w:val="32"/>
          <w:highlight w:val="none"/>
          <w:lang w:val="en-US" w:eastAsia="zh-CN"/>
        </w:rPr>
        <w:t>3.8</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2.新增专项债务限额情况。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政府新增专项债务限额总额为</w:t>
      </w:r>
      <w:r>
        <w:rPr>
          <w:rFonts w:hint="eastAsia" w:eastAsia="仿宋_GB2312" w:cs="Times New Roman"/>
          <w:sz w:val="32"/>
          <w:szCs w:val="32"/>
          <w:highlight w:val="none"/>
          <w:lang w:val="en-US" w:eastAsia="zh-CN"/>
        </w:rPr>
        <w:t>42.7</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本级政府新增专项债务限额为</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新增政府专项债务限额为</w:t>
      </w:r>
      <w:r>
        <w:rPr>
          <w:rFonts w:hint="eastAsia" w:eastAsia="仿宋_GB2312" w:cs="Times New Roman"/>
          <w:sz w:val="32"/>
          <w:szCs w:val="32"/>
          <w:highlight w:val="none"/>
          <w:lang w:val="en-US" w:eastAsia="zh-CN"/>
        </w:rPr>
        <w:t>42.7</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r>
        <w:rPr>
          <w:rFonts w:hint="eastAsia" w:ascii="黑体" w:hAnsi="黑体" w:eastAsia="黑体" w:cs="黑体"/>
          <w:b w:val="0"/>
          <w:bCs/>
          <w:spacing w:val="-4"/>
          <w:sz w:val="32"/>
          <w:szCs w:val="32"/>
          <w:highlight w:val="none"/>
          <w:lang w:val="en-US" w:eastAsia="zh-CN"/>
        </w:rPr>
        <w:t>二、2024年度政府债务余额情况</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both"/>
        <w:textAlignment w:val="auto"/>
        <w:rPr>
          <w:rFonts w:hint="default" w:ascii="Times New Roman" w:hAnsi="Times New Roman" w:eastAsia="仿宋_GB2312" w:cs="Times New Roman"/>
          <w:sz w:val="32"/>
          <w:szCs w:val="32"/>
          <w:highlight w:val="none"/>
          <w:lang w:val="en-US" w:eastAsia="zh-CN"/>
        </w:rPr>
      </w:pP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政府债务余额决算数为</w:t>
      </w:r>
      <w:r>
        <w:rPr>
          <w:rFonts w:hint="eastAsia" w:eastAsia="仿宋_GB2312" w:cs="Times New Roman"/>
          <w:sz w:val="32"/>
          <w:szCs w:val="32"/>
          <w:highlight w:val="none"/>
          <w:lang w:val="en-US" w:eastAsia="zh-CN"/>
        </w:rPr>
        <w:t>281.66</w:t>
      </w:r>
      <w:r>
        <w:rPr>
          <w:rFonts w:hint="default" w:ascii="Times New Roman" w:hAnsi="Times New Roman" w:eastAsia="仿宋_GB2312" w:cs="Times New Roman"/>
          <w:sz w:val="32"/>
          <w:szCs w:val="32"/>
          <w:highlight w:val="none"/>
          <w:lang w:val="en-US" w:eastAsia="zh-CN"/>
        </w:rPr>
        <w:t>亿元，政府债务余额全部严格控制在限额</w:t>
      </w:r>
      <w:r>
        <w:rPr>
          <w:rFonts w:hint="eastAsia" w:eastAsia="仿宋_GB2312" w:cs="Times New Roman"/>
          <w:sz w:val="32"/>
          <w:szCs w:val="32"/>
          <w:highlight w:val="none"/>
          <w:lang w:val="en-US" w:eastAsia="zh-CN"/>
        </w:rPr>
        <w:t>288.08</w:t>
      </w:r>
      <w:r>
        <w:rPr>
          <w:rFonts w:hint="default" w:ascii="Times New Roman" w:hAnsi="Times New Roman" w:eastAsia="仿宋_GB2312" w:cs="Times New Roman"/>
          <w:sz w:val="32"/>
          <w:szCs w:val="32"/>
          <w:highlight w:val="none"/>
          <w:lang w:val="en-US" w:eastAsia="zh-CN"/>
        </w:rPr>
        <w:t>亿元内，其中：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本级政府债务余额决算数为</w:t>
      </w:r>
      <w:r>
        <w:rPr>
          <w:rFonts w:hint="eastAsia" w:eastAsia="仿宋_GB2312" w:cs="Times New Roman"/>
          <w:sz w:val="32"/>
          <w:szCs w:val="32"/>
          <w:highlight w:val="none"/>
          <w:lang w:val="en-US" w:eastAsia="zh-CN"/>
        </w:rPr>
        <w:t>10.93</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政府债务余额决算数为</w:t>
      </w:r>
      <w:r>
        <w:rPr>
          <w:rFonts w:hint="eastAsia" w:eastAsia="仿宋_GB2312" w:cs="Times New Roman"/>
          <w:sz w:val="32"/>
          <w:szCs w:val="32"/>
          <w:highlight w:val="none"/>
          <w:lang w:val="en-US" w:eastAsia="zh-CN"/>
        </w:rPr>
        <w:t>270.73</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（一）一般债务余额决算数。</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政府一般债务余额决算数为</w:t>
      </w:r>
      <w:r>
        <w:rPr>
          <w:rFonts w:hint="eastAsia" w:eastAsia="仿宋_GB2312" w:cs="Times New Roman"/>
          <w:sz w:val="32"/>
          <w:szCs w:val="32"/>
          <w:highlight w:val="none"/>
          <w:lang w:val="en-US" w:eastAsia="zh-CN"/>
        </w:rPr>
        <w:t>85.84</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本级政府一般债务余额决算数为</w:t>
      </w:r>
      <w:r>
        <w:rPr>
          <w:rFonts w:hint="eastAsia" w:eastAsia="仿宋_GB2312" w:cs="Times New Roman"/>
          <w:sz w:val="32"/>
          <w:szCs w:val="32"/>
          <w:highlight w:val="none"/>
          <w:lang w:val="en-US" w:eastAsia="zh-CN"/>
        </w:rPr>
        <w:t>8.11</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政府一般债务余额决算数为</w:t>
      </w:r>
      <w:r>
        <w:rPr>
          <w:rFonts w:hint="eastAsia" w:eastAsia="仿宋_GB2312" w:cs="Times New Roman"/>
          <w:sz w:val="32"/>
          <w:szCs w:val="32"/>
          <w:highlight w:val="none"/>
          <w:lang w:val="en-US" w:eastAsia="zh-CN"/>
        </w:rPr>
        <w:t>77.73</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（二）专项债务余额决算数。</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政府专项债务余额决算数为</w:t>
      </w:r>
      <w:r>
        <w:rPr>
          <w:rFonts w:hint="eastAsia" w:eastAsia="仿宋_GB2312" w:cs="Times New Roman"/>
          <w:sz w:val="32"/>
          <w:szCs w:val="32"/>
          <w:highlight w:val="none"/>
          <w:lang w:val="en-US" w:eastAsia="zh-CN"/>
        </w:rPr>
        <w:t>195.82</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本级政府专项债务余额决算数为</w:t>
      </w:r>
      <w:r>
        <w:rPr>
          <w:rFonts w:hint="eastAsia" w:eastAsia="仿宋_GB2312" w:cs="Times New Roman"/>
          <w:sz w:val="32"/>
          <w:szCs w:val="32"/>
          <w:highlight w:val="none"/>
          <w:lang w:val="en-US" w:eastAsia="zh-CN"/>
        </w:rPr>
        <w:t>2.82</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政府专项债务余额决算数为</w:t>
      </w:r>
      <w:r>
        <w:rPr>
          <w:rFonts w:hint="eastAsia" w:eastAsia="仿宋_GB2312" w:cs="Times New Roman"/>
          <w:sz w:val="32"/>
          <w:szCs w:val="32"/>
          <w:highlight w:val="none"/>
          <w:lang w:val="en-US" w:eastAsia="zh-CN"/>
        </w:rPr>
        <w:t>193</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r>
        <w:rPr>
          <w:rFonts w:hint="eastAsia" w:ascii="黑体" w:hAnsi="黑体" w:eastAsia="黑体" w:cs="黑体"/>
          <w:b w:val="0"/>
          <w:bCs/>
          <w:spacing w:val="-4"/>
          <w:sz w:val="32"/>
          <w:szCs w:val="32"/>
          <w:highlight w:val="none"/>
          <w:lang w:val="en-US" w:eastAsia="zh-CN"/>
        </w:rPr>
        <w:t>三、2024年度政府债券发行使用情况</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default" w:ascii="Times New Roman" w:hAnsi="Times New Roman" w:eastAsia="仿宋_GB2312" w:cs="Times New Roman"/>
          <w:sz w:val="32"/>
          <w:szCs w:val="32"/>
          <w:highlight w:val="none"/>
          <w:lang w:val="en-US" w:eastAsia="zh-CN"/>
        </w:rPr>
      </w:pP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发行政府债券</w:t>
      </w:r>
      <w:r>
        <w:rPr>
          <w:rFonts w:hint="eastAsia" w:eastAsia="仿宋_GB2312" w:cs="Times New Roman"/>
          <w:sz w:val="32"/>
          <w:szCs w:val="32"/>
          <w:highlight w:val="none"/>
          <w:lang w:val="en-US" w:eastAsia="zh-CN"/>
        </w:rPr>
        <w:t>52.2</w:t>
      </w:r>
      <w:r>
        <w:rPr>
          <w:rFonts w:hint="default" w:ascii="Times New Roman" w:hAnsi="Times New Roman" w:eastAsia="仿宋_GB2312" w:cs="Times New Roman"/>
          <w:sz w:val="32"/>
          <w:szCs w:val="32"/>
          <w:highlight w:val="none"/>
          <w:lang w:val="en-US" w:eastAsia="zh-CN"/>
        </w:rPr>
        <w:t>亿元（新增债券</w:t>
      </w:r>
      <w:r>
        <w:rPr>
          <w:rFonts w:hint="eastAsia" w:eastAsia="仿宋_GB2312" w:cs="Times New Roman"/>
          <w:sz w:val="32"/>
          <w:szCs w:val="32"/>
          <w:highlight w:val="none"/>
          <w:lang w:val="en-US" w:eastAsia="zh-CN"/>
        </w:rPr>
        <w:t>47.1</w:t>
      </w:r>
      <w:r>
        <w:rPr>
          <w:rFonts w:hint="default" w:ascii="Times New Roman" w:hAnsi="Times New Roman" w:eastAsia="仿宋_GB2312" w:cs="Times New Roman"/>
          <w:sz w:val="32"/>
          <w:szCs w:val="32"/>
          <w:highlight w:val="none"/>
          <w:lang w:val="en-US" w:eastAsia="zh-CN"/>
        </w:rPr>
        <w:t>亿元、再融资债券</w:t>
      </w:r>
      <w:r>
        <w:rPr>
          <w:rFonts w:hint="eastAsia" w:eastAsia="仿宋_GB2312" w:cs="Times New Roman"/>
          <w:sz w:val="32"/>
          <w:szCs w:val="32"/>
          <w:highlight w:val="none"/>
          <w:lang w:val="en-US" w:eastAsia="zh-CN"/>
        </w:rPr>
        <w:t>5.1</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本级发行政府债券</w:t>
      </w:r>
      <w:r>
        <w:rPr>
          <w:rFonts w:hint="eastAsia" w:eastAsia="仿宋_GB2312" w:cs="Times New Roman"/>
          <w:sz w:val="32"/>
          <w:szCs w:val="32"/>
          <w:highlight w:val="none"/>
          <w:lang w:val="en-US" w:eastAsia="zh-CN"/>
        </w:rPr>
        <w:t>1.11</w:t>
      </w:r>
      <w:r>
        <w:rPr>
          <w:rFonts w:hint="default" w:ascii="Times New Roman" w:hAnsi="Times New Roman" w:eastAsia="仿宋_GB2312" w:cs="Times New Roman"/>
          <w:sz w:val="32"/>
          <w:szCs w:val="32"/>
          <w:highlight w:val="none"/>
          <w:lang w:val="en-US" w:eastAsia="zh-CN"/>
        </w:rPr>
        <w:t>亿元（新增债券</w:t>
      </w:r>
      <w:r>
        <w:rPr>
          <w:rFonts w:hint="eastAsia" w:eastAsia="仿宋_GB2312" w:cs="Times New Roman"/>
          <w:sz w:val="32"/>
          <w:szCs w:val="32"/>
          <w:highlight w:val="none"/>
          <w:lang w:val="en-US" w:eastAsia="zh-CN"/>
        </w:rPr>
        <w:t>0.6</w:t>
      </w:r>
      <w:r>
        <w:rPr>
          <w:rFonts w:hint="default" w:ascii="Times New Roman" w:hAnsi="Times New Roman" w:eastAsia="仿宋_GB2312" w:cs="Times New Roman"/>
          <w:sz w:val="32"/>
          <w:szCs w:val="32"/>
          <w:highlight w:val="none"/>
          <w:lang w:val="en-US" w:eastAsia="zh-CN"/>
        </w:rPr>
        <w:t>亿元、再融资债券</w:t>
      </w:r>
      <w:r>
        <w:rPr>
          <w:rFonts w:hint="eastAsia" w:eastAsia="仿宋_GB2312" w:cs="Times New Roman"/>
          <w:sz w:val="32"/>
          <w:szCs w:val="32"/>
          <w:highlight w:val="none"/>
          <w:lang w:val="en-US" w:eastAsia="zh-CN"/>
        </w:rPr>
        <w:t>0.51</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发行政府债券</w:t>
      </w:r>
      <w:r>
        <w:rPr>
          <w:rFonts w:hint="eastAsia" w:eastAsia="仿宋_GB2312" w:cs="Times New Roman"/>
          <w:sz w:val="32"/>
          <w:szCs w:val="32"/>
          <w:highlight w:val="none"/>
          <w:lang w:val="en-US" w:eastAsia="zh-CN"/>
        </w:rPr>
        <w:t>51.09</w:t>
      </w:r>
      <w:r>
        <w:rPr>
          <w:rFonts w:hint="default" w:ascii="Times New Roman" w:hAnsi="Times New Roman" w:eastAsia="仿宋_GB2312" w:cs="Times New Roman"/>
          <w:sz w:val="32"/>
          <w:szCs w:val="32"/>
          <w:highlight w:val="none"/>
          <w:lang w:val="en-US" w:eastAsia="zh-CN"/>
        </w:rPr>
        <w:t>亿元（新增债券</w:t>
      </w:r>
      <w:r>
        <w:rPr>
          <w:rFonts w:hint="eastAsia" w:eastAsia="仿宋_GB2312" w:cs="Times New Roman"/>
          <w:sz w:val="32"/>
          <w:szCs w:val="32"/>
          <w:highlight w:val="none"/>
          <w:lang w:val="en-US" w:eastAsia="zh-CN"/>
        </w:rPr>
        <w:t>46.5</w:t>
      </w:r>
      <w:r>
        <w:rPr>
          <w:rFonts w:hint="default" w:ascii="Times New Roman" w:hAnsi="Times New Roman" w:eastAsia="仿宋_GB2312" w:cs="Times New Roman"/>
          <w:sz w:val="32"/>
          <w:szCs w:val="32"/>
          <w:highlight w:val="none"/>
          <w:lang w:val="en-US" w:eastAsia="zh-CN"/>
        </w:rPr>
        <w:t>亿元、再融资债券</w:t>
      </w:r>
      <w:r>
        <w:rPr>
          <w:rFonts w:hint="eastAsia" w:eastAsia="仿宋_GB2312" w:cs="Times New Roman"/>
          <w:sz w:val="32"/>
          <w:szCs w:val="32"/>
          <w:highlight w:val="none"/>
          <w:lang w:val="en-US" w:eastAsia="zh-CN"/>
        </w:rPr>
        <w:t>4.59</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green"/>
          <w:lang w:val="en-US" w:eastAsia="zh-CN"/>
        </w:rPr>
      </w:pPr>
      <w:r>
        <w:rPr>
          <w:rFonts w:hint="default" w:ascii="Times New Roman" w:hAnsi="Times New Roman" w:eastAsia="仿宋_GB2312" w:cs="Times New Roman"/>
          <w:b/>
          <w:bCs/>
          <w:sz w:val="32"/>
          <w:szCs w:val="32"/>
          <w:highlight w:val="none"/>
          <w:lang w:val="en-US" w:eastAsia="zh-CN"/>
        </w:rPr>
        <w:t>（一）新增一般债券发行使用情况。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发行新增一般债券</w:t>
      </w:r>
      <w:r>
        <w:rPr>
          <w:rFonts w:hint="eastAsia" w:eastAsia="仿宋_GB2312" w:cs="Times New Roman"/>
          <w:sz w:val="32"/>
          <w:szCs w:val="32"/>
          <w:highlight w:val="none"/>
          <w:lang w:val="en-US" w:eastAsia="zh-CN"/>
        </w:rPr>
        <w:t>4.4</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本级发行新增一般债券</w:t>
      </w:r>
      <w:r>
        <w:rPr>
          <w:rFonts w:hint="eastAsia" w:eastAsia="仿宋_GB2312" w:cs="Times New Roman"/>
          <w:sz w:val="32"/>
          <w:szCs w:val="32"/>
          <w:highlight w:val="none"/>
          <w:lang w:val="en-US" w:eastAsia="zh-CN"/>
        </w:rPr>
        <w:t>0.6</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发行新增一般债券</w:t>
      </w:r>
      <w:r>
        <w:rPr>
          <w:rFonts w:hint="eastAsia" w:eastAsia="仿宋_GB2312" w:cs="Times New Roman"/>
          <w:sz w:val="32"/>
          <w:szCs w:val="32"/>
          <w:highlight w:val="none"/>
          <w:lang w:val="en-US" w:eastAsia="zh-CN"/>
        </w:rPr>
        <w:t>3.8</w:t>
      </w:r>
      <w:r>
        <w:rPr>
          <w:rFonts w:hint="default" w:ascii="Times New Roman" w:hAnsi="Times New Roman" w:eastAsia="仿宋_GB2312" w:cs="Times New Roman"/>
          <w:sz w:val="32"/>
          <w:szCs w:val="32"/>
          <w:highlight w:val="none"/>
          <w:lang w:val="en-US" w:eastAsia="zh-CN"/>
        </w:rPr>
        <w:t>亿元。上述债券资金主要用于义务教育、农林水利、市政基础设施等领域（详见表33）。债券期限分别是</w:t>
      </w:r>
      <w:r>
        <w:rPr>
          <w:rFonts w:hint="eastAsia" w:eastAsia="仿宋_GB2312" w:cs="Times New Roman"/>
          <w:sz w:val="32"/>
          <w:szCs w:val="32"/>
          <w:highlight w:val="none"/>
          <w:lang w:val="en-US" w:eastAsia="zh-CN"/>
        </w:rPr>
        <w:t>5</w:t>
      </w:r>
      <w:r>
        <w:rPr>
          <w:rFonts w:hint="default" w:ascii="Times New Roman" w:hAnsi="Times New Roman" w:eastAsia="仿宋_GB2312" w:cs="Times New Roman"/>
          <w:sz w:val="32"/>
          <w:szCs w:val="32"/>
          <w:highlight w:val="none"/>
          <w:lang w:val="en-US" w:eastAsia="zh-CN"/>
        </w:rPr>
        <w:t>、</w:t>
      </w:r>
      <w:r>
        <w:rPr>
          <w:rFonts w:hint="eastAsia" w:eastAsia="仿宋_GB2312" w:cs="Times New Roman"/>
          <w:sz w:val="32"/>
          <w:szCs w:val="32"/>
          <w:highlight w:val="none"/>
          <w:lang w:val="en-US" w:eastAsia="zh-CN"/>
        </w:rPr>
        <w:t>7</w:t>
      </w:r>
      <w:r>
        <w:rPr>
          <w:rFonts w:hint="default" w:ascii="Times New Roman" w:hAnsi="Times New Roman" w:eastAsia="仿宋_GB2312" w:cs="Times New Roman"/>
          <w:sz w:val="32"/>
          <w:szCs w:val="32"/>
          <w:highlight w:val="none"/>
          <w:lang w:val="en-US" w:eastAsia="zh-CN"/>
        </w:rPr>
        <w:t>、</w:t>
      </w:r>
      <w:r>
        <w:rPr>
          <w:rFonts w:hint="eastAsia" w:eastAsia="仿宋_GB2312" w:cs="Times New Roman"/>
          <w:sz w:val="32"/>
          <w:szCs w:val="32"/>
          <w:highlight w:val="none"/>
          <w:lang w:val="en-US" w:eastAsia="zh-CN"/>
        </w:rPr>
        <w:t>10</w:t>
      </w:r>
      <w:r>
        <w:rPr>
          <w:rFonts w:hint="default" w:ascii="Times New Roman" w:hAnsi="Times New Roman" w:eastAsia="仿宋_GB2312" w:cs="Times New Roman"/>
          <w:sz w:val="32"/>
          <w:szCs w:val="32"/>
          <w:highlight w:val="none"/>
          <w:lang w:val="en-US" w:eastAsia="zh-CN"/>
        </w:rPr>
        <w:t>年期，债券平均利率为</w:t>
      </w:r>
      <w:r>
        <w:rPr>
          <w:rFonts w:hint="eastAsia" w:eastAsia="仿宋_GB2312" w:cs="Times New Roman"/>
          <w:sz w:val="32"/>
          <w:szCs w:val="32"/>
          <w:highlight w:val="none"/>
          <w:lang w:val="en-US" w:eastAsia="zh-CN"/>
        </w:rPr>
        <w:t>2.07</w:t>
      </w:r>
      <w:r>
        <w:rPr>
          <w:rFonts w:hint="default" w:ascii="Times New Roman" w:hAnsi="Times New Roman" w:eastAsia="仿宋_GB2312" w:cs="Times New Roman"/>
          <w:sz w:val="32"/>
          <w:szCs w:val="32"/>
          <w:highlight w:val="none"/>
          <w:lang w:val="en-US" w:eastAsia="zh-CN"/>
        </w:rPr>
        <w:t>%，债券还本付息通过一般公共预算收入偿还。</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green"/>
          <w:lang w:val="en-US" w:eastAsia="zh-CN"/>
        </w:rPr>
      </w:pPr>
      <w:r>
        <w:rPr>
          <w:rFonts w:hint="default" w:ascii="Times New Roman" w:hAnsi="Times New Roman" w:eastAsia="仿宋_GB2312" w:cs="Times New Roman"/>
          <w:b/>
          <w:bCs/>
          <w:sz w:val="32"/>
          <w:szCs w:val="32"/>
          <w:highlight w:val="none"/>
          <w:lang w:val="en-US" w:eastAsia="zh-CN"/>
        </w:rPr>
        <w:t>（二）新增专项债券发行使用情况。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发行新增专项债券</w:t>
      </w:r>
      <w:r>
        <w:rPr>
          <w:rFonts w:hint="eastAsia" w:eastAsia="仿宋_GB2312" w:cs="Times New Roman"/>
          <w:sz w:val="32"/>
          <w:szCs w:val="32"/>
          <w:highlight w:val="none"/>
          <w:lang w:val="en-US" w:eastAsia="zh-CN"/>
        </w:rPr>
        <w:t>42.7</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本级发行新增专项债券</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发行新增专项债券</w:t>
      </w:r>
      <w:r>
        <w:rPr>
          <w:rFonts w:hint="eastAsia" w:eastAsia="仿宋_GB2312" w:cs="Times New Roman"/>
          <w:sz w:val="32"/>
          <w:szCs w:val="32"/>
          <w:highlight w:val="none"/>
          <w:lang w:val="en-US" w:eastAsia="zh-CN"/>
        </w:rPr>
        <w:t>42.7</w:t>
      </w:r>
      <w:r>
        <w:rPr>
          <w:rFonts w:hint="default" w:ascii="Times New Roman" w:hAnsi="Times New Roman" w:eastAsia="仿宋_GB2312" w:cs="Times New Roman"/>
          <w:sz w:val="32"/>
          <w:szCs w:val="32"/>
          <w:highlight w:val="none"/>
          <w:lang w:val="en-US" w:eastAsia="zh-CN"/>
        </w:rPr>
        <w:t>亿元。上述债券资金主要用于市政和产业园区基础设施等重点领域（</w:t>
      </w:r>
      <w:r>
        <w:rPr>
          <w:rFonts w:hint="eastAsia" w:ascii="仿宋_GB2312" w:hAnsi="仿宋_GB2312" w:eastAsia="仿宋_GB2312" w:cs="仿宋_GB2312"/>
          <w:sz w:val="32"/>
          <w:szCs w:val="32"/>
          <w:highlight w:val="none"/>
          <w:lang w:val="en-US" w:eastAsia="zh-CN"/>
        </w:rPr>
        <w:t>详见表33</w:t>
      </w:r>
      <w:r>
        <w:rPr>
          <w:rFonts w:hint="default" w:ascii="Times New Roman" w:hAnsi="Times New Roman" w:eastAsia="仿宋_GB2312" w:cs="Times New Roman"/>
          <w:sz w:val="32"/>
          <w:szCs w:val="32"/>
          <w:highlight w:val="none"/>
          <w:lang w:val="en-US" w:eastAsia="zh-CN"/>
        </w:rPr>
        <w:t>）。债券期限分别是</w:t>
      </w:r>
      <w:r>
        <w:rPr>
          <w:rFonts w:hint="eastAsia" w:eastAsia="仿宋_GB2312" w:cs="Times New Roman"/>
          <w:sz w:val="32"/>
          <w:szCs w:val="32"/>
          <w:highlight w:val="none"/>
          <w:lang w:val="en-US" w:eastAsia="zh-CN"/>
        </w:rPr>
        <w:t>7、10、15、20</w:t>
      </w:r>
      <w:r>
        <w:rPr>
          <w:rFonts w:hint="default" w:ascii="Times New Roman" w:hAnsi="Times New Roman" w:eastAsia="仿宋_GB2312" w:cs="Times New Roman"/>
          <w:sz w:val="32"/>
          <w:szCs w:val="32"/>
          <w:highlight w:val="none"/>
          <w:lang w:val="en-US" w:eastAsia="zh-CN"/>
        </w:rPr>
        <w:t>年期，债券平均利率为</w:t>
      </w:r>
      <w:r>
        <w:rPr>
          <w:rFonts w:hint="eastAsia" w:eastAsia="仿宋_GB2312" w:cs="Times New Roman"/>
          <w:sz w:val="32"/>
          <w:szCs w:val="32"/>
          <w:highlight w:val="none"/>
          <w:lang w:val="en-US" w:eastAsia="zh-CN"/>
        </w:rPr>
        <w:t>2.3</w:t>
      </w:r>
      <w:r>
        <w:rPr>
          <w:rFonts w:hint="default" w:ascii="Times New Roman" w:hAnsi="Times New Roman" w:eastAsia="仿宋_GB2312" w:cs="Times New Roman"/>
          <w:sz w:val="32"/>
          <w:szCs w:val="32"/>
          <w:highlight w:val="none"/>
          <w:lang w:val="en-US" w:eastAsia="zh-CN"/>
        </w:rPr>
        <w:t>%，债券还本付息通过对应项目取得的政府性基金或专项收入等偿还。</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（三）再融资债券发行使用情况。</w:t>
      </w:r>
      <w:r>
        <w:rPr>
          <w:rFonts w:hint="eastAsia" w:eastAsia="仿宋_GB2312" w:cs="Times New Roman"/>
          <w:sz w:val="32"/>
          <w:szCs w:val="32"/>
          <w:highlight w:val="none"/>
          <w:lang w:val="en-US" w:eastAsia="zh-CN"/>
        </w:rPr>
        <w:t>2024年度吐鲁番市</w:t>
      </w:r>
      <w:r>
        <w:rPr>
          <w:rFonts w:hint="default" w:ascii="Times New Roman" w:hAnsi="Times New Roman" w:eastAsia="仿宋_GB2312" w:cs="Times New Roman"/>
          <w:sz w:val="32"/>
          <w:szCs w:val="32"/>
          <w:highlight w:val="none"/>
          <w:lang w:val="en-US" w:eastAsia="zh-CN"/>
        </w:rPr>
        <w:t>发行再融资债券</w:t>
      </w:r>
      <w:r>
        <w:rPr>
          <w:rFonts w:hint="eastAsia" w:eastAsia="仿宋_GB2312" w:cs="Times New Roman"/>
          <w:sz w:val="32"/>
          <w:szCs w:val="32"/>
          <w:highlight w:val="none"/>
          <w:lang w:val="en-US" w:eastAsia="zh-CN"/>
        </w:rPr>
        <w:t>5.1</w:t>
      </w:r>
      <w:r>
        <w:rPr>
          <w:rFonts w:hint="default" w:ascii="Times New Roman" w:hAnsi="Times New Roman" w:eastAsia="仿宋_GB2312" w:cs="Times New Roman"/>
          <w:sz w:val="32"/>
          <w:szCs w:val="32"/>
          <w:highlight w:val="none"/>
          <w:lang w:val="en-US" w:eastAsia="zh-CN"/>
        </w:rPr>
        <w:t>亿元（再融资一般债券</w:t>
      </w:r>
      <w:r>
        <w:rPr>
          <w:rFonts w:hint="eastAsia" w:eastAsia="仿宋_GB2312" w:cs="Times New Roman"/>
          <w:sz w:val="32"/>
          <w:szCs w:val="32"/>
          <w:highlight w:val="none"/>
          <w:lang w:val="en-US" w:eastAsia="zh-CN"/>
        </w:rPr>
        <w:t>1.7</w:t>
      </w:r>
      <w:r>
        <w:rPr>
          <w:rFonts w:hint="default" w:ascii="Times New Roman" w:hAnsi="Times New Roman" w:eastAsia="仿宋_GB2312" w:cs="Times New Roman"/>
          <w:sz w:val="32"/>
          <w:szCs w:val="32"/>
          <w:highlight w:val="none"/>
          <w:lang w:val="en-US" w:eastAsia="zh-CN"/>
        </w:rPr>
        <w:t>亿元、再融资专项债券</w:t>
      </w:r>
      <w:r>
        <w:rPr>
          <w:rFonts w:hint="eastAsia" w:eastAsia="仿宋_GB2312" w:cs="Times New Roman"/>
          <w:sz w:val="32"/>
          <w:szCs w:val="32"/>
          <w:highlight w:val="none"/>
          <w:lang w:val="en-US" w:eastAsia="zh-CN"/>
        </w:rPr>
        <w:t>3.4</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本级发行再融资债券</w:t>
      </w:r>
      <w:r>
        <w:rPr>
          <w:rFonts w:hint="eastAsia" w:eastAsia="仿宋_GB2312" w:cs="Times New Roman"/>
          <w:sz w:val="32"/>
          <w:szCs w:val="32"/>
          <w:highlight w:val="none"/>
          <w:lang w:val="en-US" w:eastAsia="zh-CN"/>
        </w:rPr>
        <w:t>0.51</w:t>
      </w:r>
      <w:r>
        <w:rPr>
          <w:rFonts w:hint="default" w:ascii="Times New Roman" w:hAnsi="Times New Roman" w:eastAsia="仿宋_GB2312" w:cs="Times New Roman"/>
          <w:sz w:val="32"/>
          <w:szCs w:val="32"/>
          <w:highlight w:val="none"/>
          <w:lang w:val="en-US" w:eastAsia="zh-CN"/>
        </w:rPr>
        <w:t>亿元（再融资一般债券</w:t>
      </w:r>
      <w:r>
        <w:rPr>
          <w:rFonts w:hint="eastAsia" w:eastAsia="仿宋_GB2312" w:cs="Times New Roman"/>
          <w:sz w:val="32"/>
          <w:szCs w:val="32"/>
          <w:highlight w:val="none"/>
          <w:lang w:val="en-US" w:eastAsia="zh-CN"/>
        </w:rPr>
        <w:t>0.5</w:t>
      </w:r>
      <w:r>
        <w:rPr>
          <w:rFonts w:hint="default" w:ascii="Times New Roman" w:hAnsi="Times New Roman" w:eastAsia="仿宋_GB2312" w:cs="Times New Roman"/>
          <w:sz w:val="32"/>
          <w:szCs w:val="32"/>
          <w:highlight w:val="none"/>
          <w:lang w:val="en-US" w:eastAsia="zh-CN"/>
        </w:rPr>
        <w:t>亿元、再融资专项债券</w:t>
      </w:r>
      <w:r>
        <w:rPr>
          <w:rFonts w:hint="eastAsia" w:eastAsia="仿宋_GB2312" w:cs="Times New Roman"/>
          <w:sz w:val="32"/>
          <w:szCs w:val="32"/>
          <w:highlight w:val="none"/>
          <w:lang w:val="en-US" w:eastAsia="zh-CN"/>
        </w:rPr>
        <w:t>0.012</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发行再融资债券</w:t>
      </w:r>
      <w:r>
        <w:rPr>
          <w:rFonts w:hint="eastAsia" w:eastAsia="仿宋_GB2312" w:cs="Times New Roman"/>
          <w:sz w:val="32"/>
          <w:szCs w:val="32"/>
          <w:highlight w:val="none"/>
          <w:lang w:val="en-US" w:eastAsia="zh-CN"/>
        </w:rPr>
        <w:t>4.59</w:t>
      </w:r>
      <w:r>
        <w:rPr>
          <w:rFonts w:hint="default" w:ascii="Times New Roman" w:hAnsi="Times New Roman" w:eastAsia="仿宋_GB2312" w:cs="Times New Roman"/>
          <w:sz w:val="32"/>
          <w:szCs w:val="32"/>
          <w:highlight w:val="none"/>
          <w:lang w:val="en-US" w:eastAsia="zh-CN"/>
        </w:rPr>
        <w:t>亿元（再融资一般债券</w:t>
      </w:r>
      <w:r>
        <w:rPr>
          <w:rFonts w:hint="eastAsia" w:eastAsia="仿宋_GB2312" w:cs="Times New Roman"/>
          <w:sz w:val="32"/>
          <w:szCs w:val="32"/>
          <w:highlight w:val="none"/>
          <w:lang w:val="en-US" w:eastAsia="zh-CN"/>
        </w:rPr>
        <w:t>1.2</w:t>
      </w:r>
      <w:r>
        <w:rPr>
          <w:rFonts w:hint="default" w:ascii="Times New Roman" w:hAnsi="Times New Roman" w:eastAsia="仿宋_GB2312" w:cs="Times New Roman"/>
          <w:sz w:val="32"/>
          <w:szCs w:val="32"/>
          <w:highlight w:val="none"/>
          <w:lang w:val="en-US" w:eastAsia="zh-CN"/>
        </w:rPr>
        <w:t>亿元、再融资专项债券</w:t>
      </w:r>
      <w:r>
        <w:rPr>
          <w:rFonts w:hint="eastAsia" w:eastAsia="仿宋_GB2312" w:cs="Times New Roman"/>
          <w:sz w:val="32"/>
          <w:szCs w:val="32"/>
          <w:highlight w:val="none"/>
          <w:lang w:val="en-US" w:eastAsia="zh-CN"/>
        </w:rPr>
        <w:t>3.39</w:t>
      </w:r>
      <w:r>
        <w:rPr>
          <w:rFonts w:hint="default" w:ascii="Times New Roman" w:hAnsi="Times New Roman" w:eastAsia="仿宋_GB2312" w:cs="Times New Roman"/>
          <w:sz w:val="32"/>
          <w:szCs w:val="32"/>
          <w:highlight w:val="none"/>
          <w:lang w:val="en-US" w:eastAsia="zh-CN"/>
        </w:rPr>
        <w:t>亿元）。上述债券资金全部用于偿还到期政府债券本金，债券期限分别是</w:t>
      </w:r>
      <w:r>
        <w:rPr>
          <w:rFonts w:hint="eastAsia" w:eastAsia="仿宋_GB2312" w:cs="Times New Roman"/>
          <w:sz w:val="32"/>
          <w:szCs w:val="32"/>
          <w:highlight w:val="none"/>
          <w:lang w:val="en-US" w:eastAsia="zh-CN"/>
        </w:rPr>
        <w:t>5、7、10</w:t>
      </w:r>
      <w:r>
        <w:rPr>
          <w:rFonts w:hint="default" w:ascii="Times New Roman" w:hAnsi="Times New Roman" w:eastAsia="仿宋_GB2312" w:cs="Times New Roman"/>
          <w:sz w:val="32"/>
          <w:szCs w:val="32"/>
          <w:highlight w:val="none"/>
          <w:lang w:val="en-US" w:eastAsia="zh-CN"/>
        </w:rPr>
        <w:t>年期，债券平均利率为</w:t>
      </w:r>
      <w:r>
        <w:rPr>
          <w:rFonts w:hint="eastAsia" w:eastAsia="仿宋_GB2312" w:cs="Times New Roman"/>
          <w:sz w:val="32"/>
          <w:szCs w:val="32"/>
          <w:highlight w:val="none"/>
          <w:lang w:val="en-US" w:eastAsia="zh-CN"/>
        </w:rPr>
        <w:t>2.02</w:t>
      </w:r>
      <w:r>
        <w:rPr>
          <w:rFonts w:hint="default" w:ascii="Times New Roman" w:hAnsi="Times New Roman" w:eastAsia="仿宋_GB2312" w:cs="Times New Roman"/>
          <w:sz w:val="32"/>
          <w:szCs w:val="32"/>
          <w:highlight w:val="none"/>
          <w:lang w:val="en-US" w:eastAsia="zh-CN"/>
        </w:rPr>
        <w:t>%。</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r>
        <w:rPr>
          <w:rFonts w:hint="eastAsia" w:ascii="黑体" w:hAnsi="黑体" w:eastAsia="黑体" w:cs="黑体"/>
          <w:b w:val="0"/>
          <w:bCs/>
          <w:spacing w:val="-4"/>
          <w:sz w:val="32"/>
          <w:szCs w:val="32"/>
          <w:highlight w:val="none"/>
          <w:lang w:val="en-US" w:eastAsia="zh-CN"/>
        </w:rPr>
        <w:t>四、2024年度政府债券还本付息情况</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default" w:ascii="Times New Roman" w:hAnsi="Times New Roman" w:eastAsia="仿宋_GB2312" w:cs="Times New Roman"/>
          <w:sz w:val="32"/>
          <w:szCs w:val="32"/>
          <w:highlight w:val="none"/>
          <w:lang w:val="en-US" w:eastAsia="zh-CN"/>
        </w:rPr>
      </w:pP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政府债券还本付息总额</w:t>
      </w:r>
      <w:r>
        <w:rPr>
          <w:rFonts w:hint="eastAsia" w:eastAsia="仿宋_GB2312" w:cs="Times New Roman"/>
          <w:sz w:val="32"/>
          <w:szCs w:val="32"/>
          <w:highlight w:val="none"/>
          <w:lang w:val="en-US" w:eastAsia="zh-CN"/>
        </w:rPr>
        <w:t>10.53</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2.58</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0.88</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1.7</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7.95</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本级政府债券还本付息</w:t>
      </w:r>
      <w:r>
        <w:rPr>
          <w:rFonts w:hint="eastAsia" w:eastAsia="仿宋_GB2312" w:cs="Times New Roman"/>
          <w:sz w:val="32"/>
          <w:szCs w:val="32"/>
          <w:highlight w:val="none"/>
          <w:lang w:val="en-US" w:eastAsia="zh-CN"/>
        </w:rPr>
        <w:t>1.11</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0.75</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0.25</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0.5</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0.36</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政府债券还本付息</w:t>
      </w:r>
      <w:r>
        <w:rPr>
          <w:rFonts w:hint="eastAsia" w:eastAsia="仿宋_GB2312" w:cs="Times New Roman"/>
          <w:sz w:val="32"/>
          <w:szCs w:val="32"/>
          <w:highlight w:val="none"/>
          <w:lang w:val="en-US" w:eastAsia="zh-CN"/>
        </w:rPr>
        <w:t>9.42</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1.83</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0.63</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1.2</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7.59</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（一）一般债券还本付息情况。</w:t>
      </w: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政府一般债券还本付息总额</w:t>
      </w:r>
      <w:r>
        <w:rPr>
          <w:rFonts w:hint="eastAsia" w:eastAsia="仿宋_GB2312" w:cs="Times New Roman"/>
          <w:sz w:val="32"/>
          <w:szCs w:val="32"/>
          <w:highlight w:val="none"/>
          <w:lang w:val="en-US" w:eastAsia="zh-CN"/>
        </w:rPr>
        <w:t>5.22</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2.58</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0.88</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1.7</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2.64</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本级政府一般债券还本付息</w:t>
      </w:r>
      <w:r>
        <w:rPr>
          <w:rFonts w:hint="eastAsia" w:eastAsia="仿宋_GB2312" w:cs="Times New Roman"/>
          <w:sz w:val="32"/>
          <w:szCs w:val="32"/>
          <w:highlight w:val="none"/>
          <w:lang w:val="en-US" w:eastAsia="zh-CN"/>
        </w:rPr>
        <w:t>1.02</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0.75</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0.25</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0.5</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0.27</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政府一般债券还本付息</w:t>
      </w:r>
      <w:r>
        <w:rPr>
          <w:rFonts w:hint="eastAsia" w:eastAsia="仿宋_GB2312" w:cs="Times New Roman"/>
          <w:sz w:val="32"/>
          <w:szCs w:val="32"/>
          <w:highlight w:val="none"/>
          <w:lang w:val="en-US" w:eastAsia="zh-CN"/>
        </w:rPr>
        <w:t>4.2</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1.83</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0.63</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1.2</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2.37</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（二）专项债券还本付息情况。</w:t>
      </w: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政府专项债券还本付息总额</w:t>
      </w:r>
      <w:r>
        <w:rPr>
          <w:rFonts w:hint="eastAsia" w:eastAsia="仿宋_GB2312" w:cs="Times New Roman"/>
          <w:sz w:val="32"/>
          <w:szCs w:val="32"/>
          <w:highlight w:val="none"/>
          <w:lang w:val="en-US" w:eastAsia="zh-CN"/>
        </w:rPr>
        <w:t>5.31</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5.31</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本级政府专项债券还本付息</w:t>
      </w:r>
      <w:r>
        <w:rPr>
          <w:rFonts w:hint="eastAsia" w:eastAsia="仿宋_GB2312" w:cs="Times New Roman"/>
          <w:sz w:val="32"/>
          <w:szCs w:val="32"/>
          <w:highlight w:val="none"/>
          <w:lang w:val="en-US" w:eastAsia="zh-CN"/>
        </w:rPr>
        <w:t>0.09</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0.09</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政府专项债券还本付息</w:t>
      </w:r>
      <w:r>
        <w:rPr>
          <w:rFonts w:hint="eastAsia" w:eastAsia="仿宋_GB2312" w:cs="Times New Roman"/>
          <w:sz w:val="32"/>
          <w:szCs w:val="32"/>
          <w:highlight w:val="none"/>
          <w:lang w:val="en-US" w:eastAsia="zh-CN"/>
        </w:rPr>
        <w:t>5.22</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5.22</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r>
        <w:rPr>
          <w:rFonts w:hint="eastAsia" w:ascii="黑体" w:hAnsi="黑体" w:eastAsia="黑体" w:cs="黑体"/>
          <w:b w:val="0"/>
          <w:bCs/>
          <w:spacing w:val="-4"/>
          <w:sz w:val="32"/>
          <w:szCs w:val="32"/>
          <w:highlight w:val="none"/>
          <w:lang w:val="en-US" w:eastAsia="zh-CN"/>
        </w:rPr>
        <w:t>五、2025年度政府债券还本付息情况</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default" w:ascii="Times New Roman" w:hAnsi="Times New Roman" w:eastAsia="仿宋_GB2312" w:cs="Times New Roman"/>
          <w:sz w:val="32"/>
          <w:szCs w:val="32"/>
          <w:highlight w:val="none"/>
          <w:lang w:val="en-US" w:eastAsia="zh-CN"/>
        </w:rPr>
      </w:pPr>
      <w:r>
        <w:rPr>
          <w:rFonts w:hint="eastAsia"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政府债券还本付息总额</w:t>
      </w:r>
      <w:r>
        <w:rPr>
          <w:rFonts w:hint="eastAsia" w:eastAsia="仿宋_GB2312" w:cs="Times New Roman"/>
          <w:sz w:val="32"/>
          <w:szCs w:val="32"/>
          <w:highlight w:val="none"/>
          <w:lang w:val="en-US" w:eastAsia="zh-CN"/>
        </w:rPr>
        <w:t>12.71</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3.72</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1.82</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1.9</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8.99</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本级政府债券还本付息</w:t>
      </w:r>
      <w:r>
        <w:rPr>
          <w:rFonts w:hint="eastAsia" w:eastAsia="仿宋_GB2312" w:cs="Times New Roman"/>
          <w:sz w:val="32"/>
          <w:szCs w:val="32"/>
          <w:highlight w:val="none"/>
          <w:lang w:val="en-US" w:eastAsia="zh-CN"/>
        </w:rPr>
        <w:t>0.67</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0.33</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0.13</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0.2</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0.34</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政府债券还本付息</w:t>
      </w:r>
      <w:r>
        <w:rPr>
          <w:rFonts w:hint="eastAsia" w:eastAsia="仿宋_GB2312" w:cs="Times New Roman"/>
          <w:sz w:val="32"/>
          <w:szCs w:val="32"/>
          <w:highlight w:val="none"/>
          <w:lang w:val="en-US" w:eastAsia="zh-CN"/>
        </w:rPr>
        <w:t>12.04</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3.39</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1.69</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1.7</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8.65</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（一）一般债券还本付息情况。</w:t>
      </w:r>
      <w:r>
        <w:rPr>
          <w:rFonts w:hint="eastAsia"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政府一般债券还本付息总额</w:t>
      </w:r>
      <w:r>
        <w:rPr>
          <w:rFonts w:hint="eastAsia" w:eastAsia="仿宋_GB2312" w:cs="Times New Roman"/>
          <w:sz w:val="32"/>
          <w:szCs w:val="32"/>
          <w:highlight w:val="none"/>
          <w:lang w:val="en-US" w:eastAsia="zh-CN"/>
        </w:rPr>
        <w:t>5.93</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3.30</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1.4</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1.9</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2.63</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本级政府一般债券还本付息</w:t>
      </w:r>
      <w:r>
        <w:rPr>
          <w:rFonts w:hint="eastAsia" w:eastAsia="仿宋_GB2312" w:cs="Times New Roman"/>
          <w:sz w:val="32"/>
          <w:szCs w:val="32"/>
          <w:highlight w:val="none"/>
          <w:lang w:val="en-US" w:eastAsia="zh-CN"/>
        </w:rPr>
        <w:t>0.58</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0.33</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0.13</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0.2</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0.25</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政府一般债券还本付息</w:t>
      </w:r>
      <w:r>
        <w:rPr>
          <w:rFonts w:hint="eastAsia" w:eastAsia="仿宋_GB2312" w:cs="Times New Roman"/>
          <w:sz w:val="32"/>
          <w:szCs w:val="32"/>
          <w:highlight w:val="none"/>
          <w:lang w:val="en-US" w:eastAsia="zh-CN"/>
        </w:rPr>
        <w:t>5.35</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2.97</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1.27</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1.7</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2.38</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jc w:val="both"/>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b/>
          <w:bCs/>
          <w:sz w:val="32"/>
          <w:szCs w:val="32"/>
          <w:highlight w:val="none"/>
          <w:lang w:val="en-US" w:eastAsia="zh-CN"/>
        </w:rPr>
        <w:t>（二）专项债券还本付息情况。</w:t>
      </w:r>
      <w:r>
        <w:rPr>
          <w:rFonts w:hint="eastAsia" w:eastAsia="仿宋_GB2312" w:cs="Times New Roman"/>
          <w:sz w:val="32"/>
          <w:szCs w:val="32"/>
          <w:highlight w:val="none"/>
          <w:lang w:val="en-US" w:eastAsia="zh-CN"/>
        </w:rPr>
        <w:t>2025</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政府专项债券还本付息总额</w:t>
      </w:r>
      <w:r>
        <w:rPr>
          <w:rFonts w:hint="eastAsia" w:eastAsia="仿宋_GB2312" w:cs="Times New Roman"/>
          <w:sz w:val="32"/>
          <w:szCs w:val="32"/>
          <w:highlight w:val="none"/>
          <w:lang w:val="en-US" w:eastAsia="zh-CN"/>
        </w:rPr>
        <w:t>6.78</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0.42</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0.42</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6.36</w:t>
      </w:r>
      <w:r>
        <w:rPr>
          <w:rFonts w:hint="default" w:ascii="Times New Roman" w:hAnsi="Times New Roman" w:eastAsia="仿宋_GB2312" w:cs="Times New Roman"/>
          <w:sz w:val="32"/>
          <w:szCs w:val="32"/>
          <w:highlight w:val="none"/>
          <w:lang w:val="en-US" w:eastAsia="zh-CN"/>
        </w:rPr>
        <w:t>亿元），其中：</w:t>
      </w:r>
      <w:r>
        <w:rPr>
          <w:rFonts w:hint="eastAsia" w:eastAsia="仿宋_GB2312" w:cs="Times New Roman"/>
          <w:sz w:val="32"/>
          <w:szCs w:val="32"/>
          <w:highlight w:val="none"/>
          <w:lang w:val="en-US" w:eastAsia="zh-CN"/>
        </w:rPr>
        <w:t>吐鲁番市</w:t>
      </w:r>
      <w:r>
        <w:rPr>
          <w:rFonts w:hint="default" w:ascii="Times New Roman" w:hAnsi="Times New Roman" w:eastAsia="仿宋_GB2312" w:cs="Times New Roman"/>
          <w:sz w:val="32"/>
          <w:szCs w:val="32"/>
          <w:highlight w:val="none"/>
          <w:lang w:val="en-US" w:eastAsia="zh-CN"/>
        </w:rPr>
        <w:t>本级政府专项债券还本付息</w:t>
      </w:r>
      <w:r>
        <w:rPr>
          <w:rFonts w:hint="eastAsia" w:eastAsia="仿宋_GB2312" w:cs="Times New Roman"/>
          <w:sz w:val="32"/>
          <w:szCs w:val="32"/>
          <w:highlight w:val="none"/>
          <w:lang w:val="en-US" w:eastAsia="zh-CN"/>
        </w:rPr>
        <w:t>0.09</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0.09</w:t>
      </w:r>
      <w:r>
        <w:rPr>
          <w:rFonts w:hint="default" w:ascii="Times New Roman" w:hAnsi="Times New Roman" w:eastAsia="仿宋_GB2312" w:cs="Times New Roman"/>
          <w:sz w:val="32"/>
          <w:szCs w:val="32"/>
          <w:highlight w:val="none"/>
          <w:lang w:val="en-US" w:eastAsia="zh-CN"/>
        </w:rPr>
        <w:t>亿元），所属</w:t>
      </w:r>
      <w:r>
        <w:rPr>
          <w:rFonts w:hint="eastAsia" w:eastAsia="仿宋_GB2312" w:cs="Times New Roman"/>
          <w:sz w:val="32"/>
          <w:szCs w:val="32"/>
          <w:highlight w:val="none"/>
          <w:lang w:val="en-US" w:eastAsia="zh-CN"/>
        </w:rPr>
        <w:t>区县</w:t>
      </w:r>
      <w:r>
        <w:rPr>
          <w:rFonts w:hint="default" w:ascii="Times New Roman" w:hAnsi="Times New Roman" w:eastAsia="仿宋_GB2312" w:cs="Times New Roman"/>
          <w:sz w:val="32"/>
          <w:szCs w:val="32"/>
          <w:highlight w:val="none"/>
          <w:lang w:val="en-US" w:eastAsia="zh-CN"/>
        </w:rPr>
        <w:t>政府专项债券还本付息</w:t>
      </w:r>
      <w:r>
        <w:rPr>
          <w:rFonts w:hint="eastAsia" w:eastAsia="仿宋_GB2312" w:cs="Times New Roman"/>
          <w:sz w:val="32"/>
          <w:szCs w:val="32"/>
          <w:highlight w:val="none"/>
          <w:lang w:val="en-US" w:eastAsia="zh-CN"/>
        </w:rPr>
        <w:t>6.69</w:t>
      </w:r>
      <w:r>
        <w:rPr>
          <w:rFonts w:hint="default" w:ascii="Times New Roman" w:hAnsi="Times New Roman" w:eastAsia="仿宋_GB2312" w:cs="Times New Roman"/>
          <w:sz w:val="32"/>
          <w:szCs w:val="32"/>
          <w:highlight w:val="none"/>
          <w:lang w:val="en-US" w:eastAsia="zh-CN"/>
        </w:rPr>
        <w:t>亿元（本金</w:t>
      </w:r>
      <w:r>
        <w:rPr>
          <w:rFonts w:hint="eastAsia" w:eastAsia="仿宋_GB2312" w:cs="Times New Roman"/>
          <w:sz w:val="32"/>
          <w:szCs w:val="32"/>
          <w:highlight w:val="none"/>
          <w:lang w:val="en-US" w:eastAsia="zh-CN"/>
        </w:rPr>
        <w:t>0.42</w:t>
      </w:r>
      <w:r>
        <w:rPr>
          <w:rFonts w:hint="default" w:ascii="Times New Roman" w:hAnsi="Times New Roman" w:eastAsia="仿宋_GB2312" w:cs="Times New Roman"/>
          <w:sz w:val="32"/>
          <w:szCs w:val="32"/>
          <w:highlight w:val="none"/>
          <w:lang w:val="en-US" w:eastAsia="zh-CN"/>
        </w:rPr>
        <w:t>亿元，</w:t>
      </w:r>
      <w:r>
        <w:rPr>
          <w:rFonts w:hint="eastAsia" w:eastAsia="仿宋_GB2312" w:cs="Times New Roman"/>
          <w:sz w:val="32"/>
          <w:szCs w:val="32"/>
          <w:highlight w:val="none"/>
          <w:lang w:val="en-US" w:eastAsia="zh-CN"/>
        </w:rPr>
        <w:t>其中：</w:t>
      </w:r>
      <w:r>
        <w:rPr>
          <w:rFonts w:hint="default" w:ascii="Times New Roman" w:hAnsi="Times New Roman" w:eastAsia="仿宋_GB2312" w:cs="Times New Roman"/>
          <w:sz w:val="32"/>
          <w:szCs w:val="32"/>
          <w:highlight w:val="none"/>
          <w:lang w:val="en-US" w:eastAsia="zh-CN"/>
        </w:rPr>
        <w:t>财政预算安排还本</w:t>
      </w:r>
      <w:r>
        <w:rPr>
          <w:rFonts w:hint="eastAsia" w:eastAsia="仿宋_GB2312" w:cs="Times New Roman"/>
          <w:sz w:val="32"/>
          <w:szCs w:val="32"/>
          <w:highlight w:val="none"/>
          <w:lang w:val="en-US" w:eastAsia="zh-CN"/>
        </w:rPr>
        <w:t>0.42</w:t>
      </w:r>
      <w:r>
        <w:rPr>
          <w:rFonts w:hint="default" w:ascii="Times New Roman" w:hAnsi="Times New Roman" w:eastAsia="仿宋_GB2312" w:cs="Times New Roman"/>
          <w:sz w:val="32"/>
          <w:szCs w:val="32"/>
          <w:highlight w:val="none"/>
          <w:lang w:val="en-US" w:eastAsia="zh-CN"/>
        </w:rPr>
        <w:t>亿元，再融资债券还本</w:t>
      </w:r>
      <w:r>
        <w:rPr>
          <w:rFonts w:hint="eastAsia" w:eastAsia="仿宋_GB2312" w:cs="Times New Roman"/>
          <w:sz w:val="32"/>
          <w:szCs w:val="32"/>
          <w:highlight w:val="none"/>
          <w:lang w:val="en-US" w:eastAsia="zh-CN"/>
        </w:rPr>
        <w:t>0</w:t>
      </w:r>
      <w:r>
        <w:rPr>
          <w:rFonts w:hint="default" w:ascii="Times New Roman" w:hAnsi="Times New Roman" w:eastAsia="仿宋_GB2312" w:cs="Times New Roman"/>
          <w:sz w:val="32"/>
          <w:szCs w:val="32"/>
          <w:highlight w:val="none"/>
          <w:lang w:val="en-US" w:eastAsia="zh-CN"/>
        </w:rPr>
        <w:t>亿元；财政预算安排付息</w:t>
      </w:r>
      <w:r>
        <w:rPr>
          <w:rFonts w:hint="eastAsia" w:eastAsia="仿宋_GB2312" w:cs="Times New Roman"/>
          <w:sz w:val="32"/>
          <w:szCs w:val="32"/>
          <w:highlight w:val="none"/>
          <w:lang w:val="en-US" w:eastAsia="zh-CN"/>
        </w:rPr>
        <w:t>6.27</w:t>
      </w:r>
      <w:r>
        <w:rPr>
          <w:rFonts w:hint="default" w:ascii="Times New Roman" w:hAnsi="Times New Roman" w:eastAsia="仿宋_GB2312" w:cs="Times New Roman"/>
          <w:sz w:val="32"/>
          <w:szCs w:val="32"/>
          <w:highlight w:val="none"/>
          <w:lang w:val="en-US" w:eastAsia="zh-CN"/>
        </w:rPr>
        <w:t>亿元）。</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spacing w:val="-4"/>
          <w:sz w:val="32"/>
          <w:szCs w:val="32"/>
          <w:highlight w:val="none"/>
          <w:lang w:val="en-US" w:eastAsia="zh-CN"/>
        </w:rPr>
      </w:pPr>
      <w:bookmarkStart w:id="10" w:name="OLE_LINK8"/>
      <w:r>
        <w:rPr>
          <w:rFonts w:hint="eastAsia" w:ascii="黑体" w:hAnsi="黑体" w:eastAsia="黑体" w:cs="黑体"/>
          <w:b w:val="0"/>
          <w:bCs/>
          <w:spacing w:val="-4"/>
          <w:sz w:val="32"/>
          <w:szCs w:val="32"/>
          <w:highlight w:val="none"/>
          <w:lang w:val="en-US" w:eastAsia="zh-CN"/>
        </w:rPr>
        <w:t>六、2024年度本级政府专项债务情况</w:t>
      </w:r>
    </w:p>
    <w:p>
      <w:pPr>
        <w:widowControl w:val="0"/>
        <w:spacing w:line="600" w:lineRule="exact"/>
        <w:ind w:firstLine="640" w:firstLineChars="200"/>
        <w:jc w:val="both"/>
        <w:outlineLvl w:val="9"/>
        <w:rPr>
          <w:rFonts w:hint="default" w:ascii="Times New Roman" w:hAnsi="Times New Roman" w:eastAsia="黑体" w:cs="Times New Roman"/>
          <w:kern w:val="0"/>
          <w:sz w:val="32"/>
          <w:szCs w:val="32"/>
          <w:highlight w:val="none"/>
          <w:lang w:val="en-US" w:eastAsia="zh-Hans"/>
        </w:rPr>
      </w:pPr>
      <w:r>
        <w:rPr>
          <w:rFonts w:hint="eastAsia" w:eastAsia="仿宋_GB2312" w:cs="Times New Roman"/>
          <w:sz w:val="32"/>
          <w:szCs w:val="32"/>
          <w:highlight w:val="none"/>
          <w:lang w:val="en-US" w:eastAsia="zh-CN"/>
        </w:rPr>
        <w:t>2024</w:t>
      </w:r>
      <w:r>
        <w:rPr>
          <w:rFonts w:hint="default" w:ascii="Times New Roman" w:hAnsi="Times New Roman" w:eastAsia="仿宋_GB2312" w:cs="Times New Roman"/>
          <w:sz w:val="32"/>
          <w:szCs w:val="32"/>
          <w:highlight w:val="none"/>
          <w:lang w:val="en-US" w:eastAsia="zh-CN"/>
        </w:rPr>
        <w:t>年度</w:t>
      </w:r>
      <w:r>
        <w:rPr>
          <w:rFonts w:hint="eastAsia" w:eastAsia="仿宋_GB2312" w:cs="Times New Roman"/>
          <w:sz w:val="32"/>
          <w:szCs w:val="32"/>
          <w:highlight w:val="none"/>
          <w:lang w:val="en-US" w:eastAsia="zh-CN"/>
        </w:rPr>
        <w:t>吐鲁番市</w:t>
      </w:r>
      <w:r>
        <w:rPr>
          <w:rFonts w:hint="eastAsia" w:ascii="Times New Roman" w:hAnsi="Times New Roman" w:eastAsia="仿宋_GB2312" w:cs="Times New Roman"/>
          <w:sz w:val="32"/>
          <w:szCs w:val="32"/>
          <w:highlight w:val="none"/>
          <w:lang w:val="en-US" w:eastAsia="zh-CN"/>
        </w:rPr>
        <w:t>本级</w:t>
      </w:r>
      <w:r>
        <w:rPr>
          <w:rFonts w:hint="default" w:ascii="Times New Roman" w:hAnsi="Times New Roman" w:eastAsia="仿宋_GB2312" w:cs="Times New Roman"/>
          <w:sz w:val="32"/>
          <w:szCs w:val="32"/>
          <w:highlight w:val="none"/>
          <w:lang w:val="en-US" w:eastAsia="zh-CN"/>
        </w:rPr>
        <w:t>政府专项债券收入</w:t>
      </w:r>
      <w:r>
        <w:rPr>
          <w:rFonts w:hint="eastAsia" w:eastAsia="仿宋_GB2312" w:cs="Times New Roman"/>
          <w:sz w:val="32"/>
          <w:szCs w:val="32"/>
          <w:highlight w:val="none"/>
          <w:lang w:val="en-US" w:eastAsia="zh-CN"/>
        </w:rPr>
        <w:t>0.01</w:t>
      </w:r>
      <w:r>
        <w:rPr>
          <w:rFonts w:hint="default" w:ascii="Times New Roman" w:hAnsi="Times New Roman" w:eastAsia="仿宋_GB2312" w:cs="Times New Roman"/>
          <w:sz w:val="32"/>
          <w:szCs w:val="32"/>
          <w:highlight w:val="none"/>
          <w:lang w:val="en-US" w:eastAsia="zh-CN"/>
        </w:rPr>
        <w:t>亿元、支出</w:t>
      </w:r>
      <w:r>
        <w:rPr>
          <w:rFonts w:hint="eastAsia" w:eastAsia="仿宋_GB2312" w:cs="Times New Roman"/>
          <w:sz w:val="32"/>
          <w:szCs w:val="32"/>
          <w:highlight w:val="none"/>
          <w:lang w:val="en-US" w:eastAsia="zh-CN"/>
        </w:rPr>
        <w:t>0.01</w:t>
      </w:r>
      <w:r>
        <w:rPr>
          <w:rFonts w:hint="default" w:ascii="Times New Roman" w:hAnsi="Times New Roman" w:eastAsia="仿宋_GB2312" w:cs="Times New Roman"/>
          <w:sz w:val="32"/>
          <w:szCs w:val="32"/>
          <w:highlight w:val="none"/>
          <w:lang w:val="en-US" w:eastAsia="zh-CN"/>
        </w:rPr>
        <w:t>亿元、还本付息</w:t>
      </w:r>
      <w:r>
        <w:rPr>
          <w:rFonts w:hint="eastAsia" w:eastAsia="仿宋_GB2312" w:cs="Times New Roman"/>
          <w:sz w:val="32"/>
          <w:szCs w:val="32"/>
          <w:highlight w:val="none"/>
          <w:lang w:val="en-US" w:eastAsia="zh-CN"/>
        </w:rPr>
        <w:t>0.09</w:t>
      </w:r>
      <w:r>
        <w:rPr>
          <w:rFonts w:hint="default" w:ascii="Times New Roman" w:hAnsi="Times New Roman" w:eastAsia="仿宋_GB2312" w:cs="Times New Roman"/>
          <w:sz w:val="32"/>
          <w:szCs w:val="32"/>
          <w:highlight w:val="none"/>
          <w:lang w:val="en-US" w:eastAsia="zh-CN"/>
        </w:rPr>
        <w:t>亿元，专项债券项目对应专项收入共计</w:t>
      </w:r>
      <w:r>
        <w:rPr>
          <w:rFonts w:hint="eastAsia" w:eastAsia="仿宋_GB2312" w:cs="Times New Roman"/>
          <w:sz w:val="32"/>
          <w:szCs w:val="32"/>
          <w:highlight w:val="none"/>
          <w:lang w:val="en-US" w:eastAsia="zh-CN"/>
        </w:rPr>
        <w:t>0.12</w:t>
      </w:r>
      <w:r>
        <w:rPr>
          <w:rFonts w:hint="default" w:ascii="Times New Roman" w:hAnsi="Times New Roman" w:eastAsia="仿宋_GB2312" w:cs="Times New Roman"/>
          <w:sz w:val="32"/>
          <w:szCs w:val="32"/>
          <w:highlight w:val="none"/>
          <w:lang w:val="en-US" w:eastAsia="zh-CN"/>
        </w:rPr>
        <w:t>亿元。债券期限</w:t>
      </w:r>
      <w:r>
        <w:rPr>
          <w:rFonts w:hint="eastAsia" w:eastAsia="仿宋_GB2312" w:cs="Times New Roman"/>
          <w:sz w:val="32"/>
          <w:szCs w:val="32"/>
          <w:highlight w:val="none"/>
          <w:lang w:val="en-US" w:eastAsia="zh-CN"/>
        </w:rPr>
        <w:t>10</w:t>
      </w:r>
      <w:r>
        <w:rPr>
          <w:rFonts w:hint="default" w:ascii="Times New Roman" w:hAnsi="Times New Roman" w:eastAsia="仿宋_GB2312" w:cs="Times New Roman"/>
          <w:sz w:val="32"/>
          <w:szCs w:val="32"/>
          <w:highlight w:val="none"/>
          <w:lang w:val="en-US" w:eastAsia="zh-CN"/>
        </w:rPr>
        <w:t>年期，债券利率</w:t>
      </w:r>
      <w:r>
        <w:rPr>
          <w:rFonts w:hint="eastAsia" w:ascii="Times New Roman" w:hAnsi="Times New Roman" w:eastAsia="仿宋_GB2312" w:cs="Times New Roman"/>
          <w:sz w:val="32"/>
          <w:szCs w:val="32"/>
          <w:highlight w:val="none"/>
          <w:lang w:val="en-US" w:eastAsia="zh-CN"/>
        </w:rPr>
        <w:t>为</w:t>
      </w:r>
      <w:r>
        <w:rPr>
          <w:rFonts w:hint="eastAsia" w:eastAsia="仿宋_GB2312" w:cs="Times New Roman"/>
          <w:sz w:val="32"/>
          <w:szCs w:val="32"/>
          <w:highlight w:val="none"/>
          <w:lang w:val="en-US" w:eastAsia="zh-CN"/>
        </w:rPr>
        <w:t>2.07</w:t>
      </w:r>
      <w:r>
        <w:rPr>
          <w:rFonts w:hint="default" w:ascii="Times New Roman" w:hAnsi="Times New Roman" w:eastAsia="仿宋_GB2312" w:cs="Times New Roman"/>
          <w:sz w:val="32"/>
          <w:szCs w:val="32"/>
          <w:highlight w:val="none"/>
          <w:lang w:val="en-US" w:eastAsia="zh-CN"/>
        </w:rPr>
        <w:t>%，债券还本付息资金已足额列入年初财政预算</w:t>
      </w:r>
      <w:r>
        <w:rPr>
          <w:rFonts w:hint="eastAsia" w:ascii="Times New Roman" w:hAnsi="Times New Roman" w:eastAsia="仿宋_GB2312" w:cs="Times New Roman"/>
          <w:sz w:val="32"/>
          <w:szCs w:val="32"/>
          <w:highlight w:val="none"/>
          <w:lang w:val="en-US" w:eastAsia="zh-CN"/>
        </w:rPr>
        <w:t>，对应项目取得的政府性基金或专项收入等偿还</w:t>
      </w:r>
      <w:r>
        <w:rPr>
          <w:rFonts w:hint="default" w:ascii="Times New Roman" w:hAnsi="Times New Roman" w:eastAsia="仿宋_GB2312" w:cs="Times New Roman"/>
          <w:sz w:val="32"/>
          <w:szCs w:val="32"/>
          <w:highlight w:val="none"/>
          <w:lang w:val="en-US" w:eastAsia="zh-CN"/>
        </w:rPr>
        <w:t>。</w:t>
      </w:r>
    </w:p>
    <w:bookmarkEnd w:id="10"/>
    <w:p>
      <w:pPr>
        <w:rPr>
          <w:rFonts w:hint="default" w:ascii="Times New Roman" w:hAnsi="Times New Roman" w:cs="Times New Roman"/>
          <w:highlight w:val="none"/>
        </w:rPr>
      </w:pPr>
    </w:p>
    <w:p>
      <w:pPr>
        <w:pStyle w:val="4"/>
        <w:numPr>
          <w:ilvl w:val="0"/>
          <w:numId w:val="0"/>
        </w:numPr>
        <w:rPr>
          <w:rFonts w:hint="default"/>
          <w:highlight w:val="none"/>
          <w:lang w:val="en-US" w:eastAsia="zh-Hans"/>
        </w:rPr>
      </w:pPr>
    </w:p>
    <w:p>
      <w:pPr>
        <w:wordWrap/>
        <w:jc w:val="both"/>
        <w:rPr>
          <w:rFonts w:hint="default" w:ascii="Times New Roman" w:hAnsi="Times New Roman" w:cs="Times New Roman"/>
          <w:b w:val="0"/>
          <w:bCs w:val="0"/>
          <w:sz w:val="22"/>
          <w:szCs w:val="22"/>
          <w:lang w:eastAsia="zh-Hans"/>
        </w:rPr>
      </w:pPr>
    </w:p>
    <w:p>
      <w:pPr>
        <w:pStyle w:val="8"/>
        <w:keepNext w:val="0"/>
        <w:keepLines w:val="0"/>
        <w:pageBreakBefore w:val="0"/>
        <w:widowControl w:val="0"/>
        <w:kinsoku/>
        <w:wordWrap/>
        <w:overflowPunct w:val="0"/>
        <w:topLinePunct w:val="0"/>
        <w:autoSpaceDE/>
        <w:autoSpaceDN/>
        <w:bidi w:val="0"/>
        <w:adjustRightInd/>
        <w:snapToGrid/>
        <w:spacing w:line="20" w:lineRule="exact"/>
        <w:textAlignment w:val="auto"/>
        <w:rPr>
          <w:rFonts w:hint="eastAsia" w:ascii="Times New Roman" w:hAnsi="Times New Roman"/>
          <w:color w:val="000000" w:themeColor="text1"/>
          <w14:textFill>
            <w14:solidFill>
              <w14:schemeClr w14:val="tx1"/>
            </w14:solidFill>
          </w14:textFill>
        </w:rPr>
        <w:sectPr>
          <w:footerReference r:id="rId6" w:type="default"/>
          <w:pgSz w:w="11906" w:h="16838"/>
          <w:pgMar w:top="2098" w:right="1531" w:bottom="1928" w:left="1531" w:header="851" w:footer="1361" w:gutter="0"/>
          <w:pgBorders>
            <w:top w:val="none" w:sz="0" w:space="0"/>
            <w:left w:val="none" w:sz="0" w:space="0"/>
            <w:bottom w:val="none" w:sz="0" w:space="0"/>
            <w:right w:val="none" w:sz="0" w:space="0"/>
          </w:pgBorders>
          <w:pgNumType w:fmt="decimal"/>
          <w:cols w:space="0" w:num="1"/>
          <w:rtlGutter w:val="0"/>
          <w:docGrid w:type="lines" w:linePitch="312" w:charSpace="0"/>
        </w:sectPr>
      </w:pPr>
      <w:r>
        <w:rPr>
          <w:sz w:val="52"/>
        </w:rPr>
        <mc:AlternateContent>
          <mc:Choice Requires="wps">
            <w:drawing>
              <wp:anchor distT="0" distB="0" distL="114300" distR="114300" simplePos="0" relativeHeight="251659264" behindDoc="0" locked="0" layoutInCell="1" allowOverlap="1">
                <wp:simplePos x="0" y="0"/>
                <wp:positionH relativeFrom="column">
                  <wp:posOffset>-335280</wp:posOffset>
                </wp:positionH>
                <wp:positionV relativeFrom="paragraph">
                  <wp:posOffset>7486015</wp:posOffset>
                </wp:positionV>
                <wp:extent cx="1222375" cy="825500"/>
                <wp:effectExtent l="6350" t="6350" r="9525" b="6350"/>
                <wp:wrapNone/>
                <wp:docPr id="10" name="矩形 10"/>
                <wp:cNvGraphicFramePr/>
                <a:graphic xmlns:a="http://schemas.openxmlformats.org/drawingml/2006/main">
                  <a:graphicData uri="http://schemas.microsoft.com/office/word/2010/wordprocessingShape">
                    <wps:wsp>
                      <wps:cNvSpPr/>
                      <wps:spPr>
                        <a:xfrm>
                          <a:off x="0" y="0"/>
                          <a:ext cx="1222375" cy="8255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6.4pt;margin-top:589.45pt;height:65pt;width:96.25pt;z-index:251659264;v-text-anchor:middle;mso-width-relative:page;mso-height-relative:page;" fillcolor="#FFFFFF [3212]" filled="t" stroked="t" coordsize="21600,21600" o:gfxdata="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D/UJuk2gAAAA0BAAAPAAAAAAAAAAEAIAAAACIAAABkcnMvZG93bnJldi54&#10;bWxQSwECFAAUAAAACACHTuJAbVblJ2oCAAD2BAAADgAAAAAAAAABACAAAAApAQAAZHJzL2Uyb0Rv&#10;Yy54bWxQSwUGAAAAAAYABgBZAQAABQYAAAAA&#10;">
                <v:fill on="t" focussize="0,0"/>
                <v:stroke weight="1pt" color="#FFFFFF [3212]" miterlimit="8" joinstyle="miter"/>
                <v:imagedata o:title=""/>
                <o:lock v:ext="edit" aspectratio="f"/>
              </v:rect>
            </w:pict>
          </mc:Fallback>
        </mc:AlternateContent>
      </w:r>
      <w:r>
        <w:rPr>
          <w:rFonts w:hint="eastAsia" w:ascii="Times New Roman" w:hAnsi="Times New Roman" w:cs="Times New Roman"/>
          <w:i w:val="0"/>
          <w:color w:val="000000"/>
          <w:kern w:val="0"/>
          <w:sz w:val="24"/>
          <w:szCs w:val="24"/>
          <w:u w:val="none"/>
          <w:lang w:val="en-US" w:eastAsia="zh-CN" w:bidi="ar"/>
        </w:rPr>
        <w:t xml:space="preserve"> </w:t>
      </w:r>
    </w:p>
    <w:p>
      <w:pPr>
        <w:keepNext w:val="0"/>
        <w:keepLines w:val="0"/>
        <w:pageBreakBefore w:val="0"/>
        <w:widowControl w:val="0"/>
        <w:suppressLineNumbers w:val="0"/>
        <w:kinsoku/>
        <w:wordWrap/>
        <w:overflowPunct w:val="0"/>
        <w:topLinePunct w:val="0"/>
        <w:autoSpaceDE/>
        <w:autoSpaceDN/>
        <w:bidi w:val="0"/>
        <w:adjustRightInd/>
        <w:snapToGrid/>
        <w:jc w:val="center"/>
        <w:textAlignment w:val="center"/>
        <w:rPr>
          <w:rFonts w:hint="eastAsia" w:ascii="Times New Roman" w:hAnsi="Times New Roman"/>
          <w:color w:val="000000" w:themeColor="text1"/>
          <w14:textFill>
            <w14:solidFill>
              <w14:schemeClr w14:val="tx1"/>
            </w14:solidFill>
          </w14:textFill>
        </w:rPr>
      </w:pPr>
    </w:p>
    <w:p>
      <w:pPr>
        <w:widowControl w:val="0"/>
        <w:spacing w:line="600" w:lineRule="exact"/>
        <w:jc w:val="both"/>
        <w:outlineLvl w:val="9"/>
        <w:rPr>
          <w:rFonts w:hint="default" w:ascii="Times New Roman" w:hAnsi="Times New Roman" w:eastAsia="黑体" w:cs="Times New Roman"/>
          <w:kern w:val="0"/>
          <w:sz w:val="36"/>
          <w:szCs w:val="36"/>
          <w:lang w:val="en-US" w:eastAsia="zh-Hans"/>
        </w:rPr>
      </w:pPr>
    </w:p>
    <w:p>
      <w:pPr>
        <w:widowControl w:val="0"/>
        <w:spacing w:line="600" w:lineRule="exact"/>
        <w:jc w:val="both"/>
        <w:outlineLvl w:val="9"/>
        <w:rPr>
          <w:rFonts w:hint="default" w:ascii="Times New Roman" w:hAnsi="Times New Roman" w:eastAsia="黑体" w:cs="Times New Roman"/>
          <w:kern w:val="0"/>
          <w:sz w:val="36"/>
          <w:szCs w:val="36"/>
          <w:lang w:val="en-US" w:eastAsia="zh-Hans"/>
        </w:rPr>
      </w:pPr>
    </w:p>
    <w:p>
      <w:pPr>
        <w:widowControl w:val="0"/>
        <w:spacing w:line="600" w:lineRule="exact"/>
        <w:jc w:val="both"/>
        <w:outlineLvl w:val="9"/>
        <w:rPr>
          <w:rFonts w:hint="default" w:ascii="Times New Roman" w:hAnsi="Times New Roman" w:eastAsia="黑体" w:cs="Times New Roman"/>
          <w:kern w:val="0"/>
          <w:sz w:val="36"/>
          <w:szCs w:val="36"/>
          <w:lang w:val="en-US" w:eastAsia="zh-Hans"/>
        </w:rPr>
      </w:pPr>
    </w:p>
    <w:p>
      <w:pPr>
        <w:widowControl w:val="0"/>
        <w:spacing w:line="600" w:lineRule="exact"/>
        <w:jc w:val="center"/>
        <w:outlineLvl w:val="9"/>
        <w:rPr>
          <w:rFonts w:hint="default" w:ascii="Times New Roman" w:hAnsi="Times New Roman" w:eastAsia="黑体" w:cs="Times New Roman"/>
          <w:kern w:val="0"/>
          <w:sz w:val="44"/>
          <w:szCs w:val="44"/>
          <w:lang w:val="en-US" w:eastAsia="zh-Hans"/>
        </w:rPr>
      </w:pPr>
      <w:r>
        <w:rPr>
          <w:rFonts w:hint="default" w:ascii="Times New Roman" w:hAnsi="Times New Roman" w:eastAsia="黑体" w:cs="Times New Roman"/>
          <w:kern w:val="0"/>
          <w:sz w:val="44"/>
          <w:szCs w:val="44"/>
          <w:lang w:val="en-US" w:eastAsia="zh-Hans"/>
        </w:rPr>
        <w:t>第六部分 财政衔接推进乡村振兴补助资金</w:t>
      </w:r>
    </w:p>
    <w:p>
      <w:pPr>
        <w:widowControl w:val="0"/>
        <w:spacing w:line="600" w:lineRule="exact"/>
        <w:jc w:val="center"/>
        <w:outlineLvl w:val="9"/>
        <w:rPr>
          <w:rFonts w:hint="default" w:ascii="Times New Roman" w:hAnsi="Times New Roman" w:eastAsia="黑体" w:cs="Times New Roman"/>
          <w:kern w:val="0"/>
          <w:sz w:val="44"/>
          <w:szCs w:val="44"/>
          <w:lang w:val="en-US" w:eastAsia="zh-CN"/>
        </w:rPr>
      </w:pPr>
      <w:r>
        <w:rPr>
          <w:rFonts w:hint="default" w:ascii="Times New Roman" w:hAnsi="Times New Roman" w:eastAsia="黑体" w:cs="Times New Roman"/>
          <w:kern w:val="0"/>
          <w:sz w:val="44"/>
          <w:szCs w:val="44"/>
          <w:lang w:val="en-US" w:eastAsia="zh-Hans"/>
        </w:rPr>
        <w:t>公开情况说明</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center"/>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color w:val="000000" w:themeColor="text1"/>
          <w:kern w:val="0"/>
          <w:sz w:val="32"/>
          <w:szCs w:val="32"/>
          <w:lang w:val="en-US" w:eastAsia="zh-CN" w:bidi="ar"/>
          <w14:textFill>
            <w14:solidFill>
              <w14:schemeClr w14:val="tx1"/>
            </w14:solidFill>
          </w14:textFill>
        </w:rPr>
      </w:pP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color w:val="000000" w:themeColor="text1"/>
          <w:spacing w:val="-4"/>
          <w:sz w:val="32"/>
          <w:szCs w:val="32"/>
          <w:lang w:val="en-US" w:eastAsia="zh-Hans"/>
          <w14:textFill>
            <w14:solidFill>
              <w14:schemeClr w14:val="tx1"/>
            </w14:solidFill>
          </w14:textFill>
        </w:rPr>
      </w:pPr>
      <w:r>
        <w:rPr>
          <w:rFonts w:hint="eastAsia" w:ascii="黑体" w:hAnsi="黑体" w:eastAsia="黑体" w:cs="黑体"/>
          <w:b w:val="0"/>
          <w:bCs/>
          <w:color w:val="000000" w:themeColor="text1"/>
          <w:spacing w:val="-4"/>
          <w:sz w:val="32"/>
          <w:szCs w:val="32"/>
          <w:lang w:val="en-US" w:eastAsia="zh-Hans"/>
          <w14:textFill>
            <w14:solidFill>
              <w14:schemeClr w14:val="tx1"/>
            </w14:solidFill>
          </w14:textFill>
        </w:rPr>
        <w:t>一、财政衔接推进乡村振兴补助资金安排分配情况</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40" w:firstLineChars="200"/>
        <w:jc w:val="both"/>
        <w:textAlignment w:val="auto"/>
        <w:outlineLvl w:val="9"/>
        <w:rPr>
          <w:rFonts w:hint="eastAsia" w:eastAsia="仿宋_GB2312" w:cs="Times New Roman"/>
          <w:b w:val="0"/>
          <w:bCs w:val="0"/>
          <w:color w:val="000000" w:themeColor="text1"/>
          <w:kern w:val="0"/>
          <w:sz w:val="32"/>
          <w:szCs w:val="32"/>
          <w:lang w:val="en-US" w:eastAsia="zh-CN" w:bidi="ar"/>
          <w14:textFill>
            <w14:solidFill>
              <w14:schemeClr w14:val="tx1"/>
            </w14:solidFill>
          </w14:textFill>
        </w:rPr>
      </w:pPr>
      <w:r>
        <w:rPr>
          <w:rFonts w:hint="eastAsia" w:eastAsia="仿宋_GB2312" w:cs="Times New Roman"/>
          <w:b w:val="0"/>
          <w:bCs w:val="0"/>
          <w:color w:val="000000" w:themeColor="text1"/>
          <w:kern w:val="0"/>
          <w:sz w:val="32"/>
          <w:szCs w:val="32"/>
          <w:lang w:val="en-US" w:eastAsia="zh-CN" w:bidi="ar"/>
          <w14:textFill>
            <w14:solidFill>
              <w14:schemeClr w14:val="tx1"/>
            </w14:solidFill>
          </w14:textFill>
        </w:rPr>
        <w:t xml:space="preserve">2025年上级对下转移支付财政衔接推进乡村补助资金35381万元，其中：中央财政衔接推进乡村振兴补助资金21765万元，自治区财政衔接推进乡村振兴补助资金13616万元。分区县具体分配资金为：高昌区20964元（中央9412万元、自治区11552万元）、鄯善县9566万元（中央8106万元、自治区1460万元）、托克逊县4851万元（中央4247万元、自治区604万元）。市本级财政衔接推进乡村振兴补助资金1630万元全部下达高昌区，中央、自治区及市级衔接资金和绩效目标情况均已在吐鲁番市人民政府网预决算公开栏、直达资金公开栏及乡村振兴专栏进行了公开。 </w:t>
      </w:r>
    </w:p>
    <w:p>
      <w:pPr>
        <w:keepNext w:val="0"/>
        <w:keepLines w:val="0"/>
        <w:pageBreakBefore w:val="0"/>
        <w:widowControl w:val="0"/>
        <w:numPr>
          <w:ilvl w:val="0"/>
          <w:numId w:val="0"/>
        </w:numPr>
        <w:suppressLineNumbers w:val="0"/>
        <w:kinsoku/>
        <w:wordWrap/>
        <w:overflowPunct/>
        <w:topLinePunct w:val="0"/>
        <w:autoSpaceDE w:val="0"/>
        <w:autoSpaceDN w:val="0"/>
        <w:bidi w:val="0"/>
        <w:adjustRightInd/>
        <w:snapToGrid/>
        <w:spacing w:before="0" w:after="0" w:line="600" w:lineRule="exact"/>
        <w:ind w:right="0" w:rightChars="0" w:firstLine="624" w:firstLineChars="200"/>
        <w:jc w:val="both"/>
        <w:textAlignment w:val="auto"/>
        <w:outlineLvl w:val="9"/>
        <w:rPr>
          <w:rFonts w:hint="eastAsia" w:ascii="黑体" w:hAnsi="黑体" w:eastAsia="黑体" w:cs="黑体"/>
          <w:b w:val="0"/>
          <w:bCs/>
          <w:color w:val="000000" w:themeColor="text1"/>
          <w:spacing w:val="-4"/>
          <w:sz w:val="32"/>
          <w:szCs w:val="32"/>
          <w:lang w:val="en-US" w:eastAsia="zh-Hans"/>
          <w14:textFill>
            <w14:solidFill>
              <w14:schemeClr w14:val="tx1"/>
            </w14:solidFill>
          </w14:textFill>
        </w:rPr>
      </w:pPr>
      <w:r>
        <w:rPr>
          <w:rFonts w:hint="eastAsia" w:ascii="黑体" w:hAnsi="黑体" w:eastAsia="黑体" w:cs="黑体"/>
          <w:b w:val="0"/>
          <w:bCs/>
          <w:color w:val="000000" w:themeColor="text1"/>
          <w:spacing w:val="-4"/>
          <w:sz w:val="32"/>
          <w:szCs w:val="32"/>
          <w:lang w:val="en-US" w:eastAsia="zh-Hans"/>
          <w14:textFill>
            <w14:solidFill>
              <w14:schemeClr w14:val="tx1"/>
            </w14:solidFill>
          </w14:textFill>
        </w:rPr>
        <w:t>二、财政衔接推进乡村振兴补助资金相关政策办法</w:t>
      </w:r>
    </w:p>
    <w:p>
      <w:pPr>
        <w:pStyle w:val="1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textAlignment w:val="auto"/>
        <w:rPr>
          <w:rFonts w:ascii="仿宋_GB2312" w:eastAsia="仿宋_GB2312"/>
          <w:b w:val="0"/>
          <w:bCs w:val="0"/>
          <w:sz w:val="32"/>
          <w:szCs w:val="32"/>
        </w:rPr>
      </w:pPr>
      <w:r>
        <w:rPr>
          <w:rFonts w:hint="eastAsia" w:ascii="仿宋_GB2312" w:hAnsi="仿宋_GB2312" w:eastAsia="仿宋_GB2312" w:cs="仿宋_GB2312"/>
          <w:b w:val="0"/>
          <w:bCs w:val="0"/>
          <w:sz w:val="32"/>
          <w:szCs w:val="32"/>
          <w:lang w:val="en-US" w:eastAsia="zh-CN"/>
        </w:rPr>
        <w:t>1.</w:t>
      </w:r>
      <w:r>
        <w:rPr>
          <w:rFonts w:hint="eastAsia" w:ascii="仿宋_GB2312" w:eastAsia="仿宋_GB2312"/>
          <w:b w:val="0"/>
          <w:bCs w:val="0"/>
          <w:sz w:val="32"/>
          <w:szCs w:val="32"/>
        </w:rPr>
        <w:t>关于印发《新疆维吾尔自治区财政衔接推进乡村振兴补助资金管理办法》的通知（新财规</w:t>
      </w:r>
      <w:r>
        <w:rPr>
          <w:rFonts w:hint="eastAsia" w:ascii="仿宋" w:hAnsi="仿宋" w:eastAsia="仿宋" w:cs="仿宋"/>
          <w:b w:val="0"/>
          <w:bCs w:val="0"/>
          <w:sz w:val="32"/>
          <w:szCs w:val="32"/>
        </w:rPr>
        <w:t>〔</w:t>
      </w:r>
      <w:r>
        <w:rPr>
          <w:rFonts w:hint="eastAsia" w:ascii="仿宋_GB2312" w:eastAsia="仿宋_GB2312"/>
          <w:b w:val="0"/>
          <w:bCs w:val="0"/>
          <w:sz w:val="32"/>
          <w:szCs w:val="32"/>
        </w:rPr>
        <w:t>2021</w:t>
      </w:r>
      <w:r>
        <w:rPr>
          <w:rFonts w:hint="eastAsia" w:ascii="仿宋" w:hAnsi="仿宋" w:eastAsia="仿宋" w:cs="仿宋"/>
          <w:b w:val="0"/>
          <w:bCs w:val="0"/>
          <w:sz w:val="32"/>
          <w:szCs w:val="32"/>
        </w:rPr>
        <w:t>〕</w:t>
      </w:r>
      <w:r>
        <w:rPr>
          <w:rFonts w:hint="eastAsia" w:ascii="仿宋_GB2312" w:eastAsia="仿宋_GB2312"/>
          <w:b w:val="0"/>
          <w:bCs w:val="0"/>
          <w:sz w:val="32"/>
          <w:szCs w:val="32"/>
        </w:rPr>
        <w:t>11号）</w:t>
      </w:r>
    </w:p>
    <w:p>
      <w:pPr>
        <w:pStyle w:val="2"/>
        <w:rPr>
          <w:rFonts w:hint="default" w:eastAsia="仿宋_GB2312"/>
          <w:b w:val="0"/>
          <w:bCs w:val="0"/>
          <w:lang w:val="en-US" w:eastAsia="zh-CN"/>
        </w:rPr>
      </w:pPr>
    </w:p>
    <w:p>
      <w:pPr>
        <w:pStyle w:val="13"/>
        <w:keepNext w:val="0"/>
        <w:keepLines w:val="0"/>
        <w:pageBreakBefore w:val="0"/>
        <w:widowControl/>
        <w:kinsoku/>
        <w:wordWrap/>
        <w:overflowPunct/>
        <w:topLinePunct w:val="0"/>
        <w:autoSpaceDE/>
        <w:autoSpaceDN/>
        <w:bidi w:val="0"/>
        <w:adjustRightInd/>
        <w:snapToGrid/>
        <w:spacing w:beforeAutospacing="0" w:afterAutospacing="0" w:line="560" w:lineRule="exact"/>
        <w:ind w:firstLine="640"/>
        <w:textAlignment w:val="auto"/>
        <w:rPr>
          <w:rFonts w:hint="eastAsia" w:ascii="仿宋_GB2312" w:hAnsi="仿宋_GB2312" w:eastAsia="仿宋_GB2312" w:cs="仿宋_GB2312"/>
          <w:b w:val="0"/>
          <w:bCs w:val="0"/>
          <w:sz w:val="32"/>
          <w:szCs w:val="32"/>
          <w:lang w:val="en-US" w:eastAsia="zh-CN"/>
        </w:rPr>
      </w:pPr>
      <w:r>
        <w:rPr>
          <w:rFonts w:hint="eastAsia" w:ascii="仿宋_GB2312" w:hAnsi="仿宋_GB2312" w:eastAsia="仿宋_GB2312" w:cs="仿宋_GB2312"/>
          <w:b w:val="0"/>
          <w:bCs w:val="0"/>
          <w:sz w:val="32"/>
          <w:szCs w:val="32"/>
          <w:lang w:val="en-US" w:eastAsia="zh-CN"/>
        </w:rPr>
        <w:t>2.关于印发《吐鲁番市财政衔接推进乡村振兴补助资金管理实施细则》的通知（吐市财农〔2021〕26号）</w:t>
      </w:r>
    </w:p>
    <w:p>
      <w:pPr>
        <w:pStyle w:val="13"/>
        <w:widowControl/>
        <w:spacing w:before="100" w:after="100" w:line="560" w:lineRule="exact"/>
        <w:jc w:val="center"/>
        <w:rPr>
          <w:rFonts w:hint="eastAsia" w:ascii="方正小标宋简体" w:hAnsi="方正小标宋简体" w:eastAsia="方正小标宋简体" w:cs="方正小标宋简体"/>
          <w:b w:val="0"/>
          <w:bCs w:val="0"/>
          <w:spacing w:val="-20"/>
          <w:sz w:val="44"/>
          <w:szCs w:val="44"/>
        </w:rPr>
      </w:pPr>
    </w:p>
    <w:p>
      <w:pPr>
        <w:pStyle w:val="13"/>
        <w:widowControl/>
        <w:spacing w:before="100" w:after="100" w:line="560" w:lineRule="exact"/>
        <w:jc w:val="both"/>
        <w:rPr>
          <w:rFonts w:hint="eastAsia" w:ascii="方正小标宋简体" w:hAnsi="方正小标宋简体" w:eastAsia="方正小标宋简体" w:cs="方正小标宋简体"/>
          <w:b w:val="0"/>
          <w:bCs w:val="0"/>
          <w:spacing w:val="-20"/>
          <w:sz w:val="44"/>
          <w:szCs w:val="44"/>
        </w:rPr>
      </w:pPr>
    </w:p>
    <w:p>
      <w:pPr>
        <w:pStyle w:val="13"/>
        <w:widowControl/>
        <w:spacing w:before="100" w:after="100" w:line="560" w:lineRule="exact"/>
        <w:jc w:val="both"/>
        <w:rPr>
          <w:rFonts w:hint="eastAsia" w:ascii="方正小标宋简体" w:hAnsi="方正小标宋简体" w:eastAsia="方正小标宋简体" w:cs="方正小标宋简体"/>
          <w:b w:val="0"/>
          <w:bCs w:val="0"/>
          <w:spacing w:val="-20"/>
          <w:sz w:val="44"/>
          <w:szCs w:val="44"/>
        </w:rPr>
      </w:pPr>
    </w:p>
    <w:p>
      <w:pPr>
        <w:pStyle w:val="13"/>
        <w:widowControl/>
        <w:spacing w:before="100" w:after="100" w:line="560" w:lineRule="exact"/>
        <w:jc w:val="both"/>
        <w:rPr>
          <w:rFonts w:hint="eastAsia" w:ascii="方正小标宋简体" w:hAnsi="方正小标宋简体" w:eastAsia="方正小标宋简体" w:cs="方正小标宋简体"/>
          <w:b w:val="0"/>
          <w:bCs w:val="0"/>
          <w:spacing w:val="-20"/>
          <w:sz w:val="44"/>
          <w:szCs w:val="44"/>
        </w:rPr>
      </w:pPr>
    </w:p>
    <w:p>
      <w:pPr>
        <w:widowControl/>
        <w:kinsoku w:val="0"/>
        <w:autoSpaceDE w:val="0"/>
        <w:autoSpaceDN w:val="0"/>
        <w:adjustRightInd w:val="0"/>
        <w:snapToGrid w:val="0"/>
        <w:spacing w:line="278" w:lineRule="auto"/>
        <w:jc w:val="left"/>
      </w:pPr>
      <w:r>
        <w:rPr>
          <w:rFonts w:hint="eastAsia" w:ascii="方正小标宋简体" w:hAnsi="方正小标宋简体" w:eastAsia="方正小标宋简体" w:cs="方正小标宋简体"/>
          <w:b w:val="0"/>
          <w:bCs w:val="0"/>
          <w:spacing w:val="-20"/>
          <w:sz w:val="44"/>
          <w:szCs w:val="44"/>
          <w:lang w:val="en-US" w:eastAsia="zh-CN"/>
        </w:rPr>
        <w:t xml:space="preserve"> </w:t>
      </w:r>
      <w:r>
        <w:rPr>
          <w:rFonts w:hint="eastAsia" w:ascii="仿宋_GB2312" w:eastAsia="仿宋_GB2312"/>
          <w:sz w:val="32"/>
          <w:szCs w:val="32"/>
        </w:rPr>
        <w:object>
          <v:shape id="_x0000_i1025" o:spt="75" type="#_x0000_t75" style="height:664.5pt;width:449.25pt;" o:ole="t" filled="f" o:preferrelative="t" stroked="f" coordsize="21600,21600">
            <v:path/>
            <v:fill on="f" focussize="0,0"/>
            <v:stroke on="f" joinstyle="miter"/>
            <v:imagedata r:id="rId10" o:title=""/>
            <o:lock v:ext="edit" aspectratio="t"/>
            <w10:wrap type="none"/>
            <w10:anchorlock/>
          </v:shape>
          <o:OLEObject Type="Embed" ProgID="Word.Document.8" ShapeID="_x0000_i1025" DrawAspect="Content" ObjectID="_1468075725" r:id="rId9">
            <o:LockedField>false</o:LockedField>
          </o:OLEObject>
        </w:object>
      </w:r>
    </w:p>
    <w:p>
      <w:pPr>
        <w:widowControl/>
        <w:kinsoku w:val="0"/>
        <w:autoSpaceDE w:val="0"/>
        <w:autoSpaceDN w:val="0"/>
        <w:adjustRightInd w:val="0"/>
        <w:snapToGrid w:val="0"/>
        <w:spacing w:before="104" w:line="331" w:lineRule="auto"/>
        <w:ind w:left="50" w:firstLine="620"/>
        <w:jc w:val="left"/>
        <w:rPr>
          <w:rFonts w:ascii="仿宋" w:hAnsi="仿宋" w:eastAsia="仿宋" w:cs="仿宋"/>
          <w:color w:val="000000"/>
          <w:spacing w:val="1"/>
          <w:kern w:val="0"/>
          <w:sz w:val="32"/>
          <w:szCs w:val="32"/>
        </w:rPr>
      </w:pPr>
    </w:p>
    <w:p>
      <w:pPr>
        <w:widowControl/>
        <w:kinsoku w:val="0"/>
        <w:autoSpaceDE w:val="0"/>
        <w:autoSpaceDN w:val="0"/>
        <w:adjustRightInd w:val="0"/>
        <w:snapToGrid w:val="0"/>
        <w:spacing w:before="104" w:line="331" w:lineRule="auto"/>
        <w:ind w:left="50" w:firstLine="620"/>
        <w:jc w:val="left"/>
        <w:rPr>
          <w:rFonts w:ascii="仿宋" w:hAnsi="仿宋" w:eastAsia="仿宋" w:cs="仿宋"/>
          <w:sz w:val="32"/>
          <w:szCs w:val="32"/>
        </w:rPr>
      </w:pPr>
      <w:r>
        <w:rPr>
          <w:rFonts w:hint="eastAsia" w:ascii="仿宋" w:hAnsi="仿宋" w:eastAsia="仿宋" w:cs="仿宋"/>
          <w:color w:val="000000"/>
          <w:spacing w:val="1"/>
          <w:kern w:val="0"/>
          <w:sz w:val="32"/>
          <w:szCs w:val="32"/>
        </w:rPr>
        <w:t>根据《中央财政衔接推进乡村振兴补助资金管理办法》(财</w:t>
      </w:r>
      <w:r>
        <w:rPr>
          <w:rFonts w:hint="eastAsia" w:ascii="仿宋" w:hAnsi="仿宋" w:eastAsia="仿宋" w:cs="仿宋"/>
          <w:color w:val="000000"/>
          <w:spacing w:val="4"/>
          <w:kern w:val="0"/>
          <w:sz w:val="32"/>
          <w:szCs w:val="32"/>
        </w:rPr>
        <w:t>农〔2021〕19号),结合自治区实际,研究制定了《新疆维吾</w:t>
      </w:r>
      <w:r>
        <w:rPr>
          <w:rFonts w:hint="eastAsia" w:ascii="仿宋" w:hAnsi="仿宋" w:eastAsia="仿宋" w:cs="仿宋"/>
          <w:color w:val="000000"/>
          <w:kern w:val="0"/>
          <w:sz w:val="32"/>
          <w:szCs w:val="32"/>
        </w:rPr>
        <w:t xml:space="preserve"> 尔自治区财政衔接推进乡村振兴补助资金管理办法》,经自治区</w:t>
      </w:r>
      <w:r>
        <w:rPr>
          <w:rFonts w:hint="eastAsia" w:ascii="仿宋" w:hAnsi="仿宋" w:eastAsia="仿宋" w:cs="仿宋"/>
          <w:color w:val="000000"/>
          <w:spacing w:val="16"/>
          <w:kern w:val="0"/>
          <w:sz w:val="32"/>
          <w:szCs w:val="32"/>
        </w:rPr>
        <w:t>人民政府审定同意,现印发给你们,请遵照执行.</w:t>
      </w:r>
    </w:p>
    <w:p>
      <w:pPr>
        <w:widowControl/>
        <w:kinsoku w:val="0"/>
        <w:autoSpaceDE w:val="0"/>
        <w:autoSpaceDN w:val="0"/>
        <w:adjustRightInd w:val="0"/>
        <w:snapToGrid w:val="0"/>
        <w:spacing w:line="441" w:lineRule="auto"/>
        <w:jc w:val="left"/>
      </w:pPr>
    </w:p>
    <w:p>
      <w:pPr>
        <w:widowControl/>
        <w:kinsoku w:val="0"/>
        <w:autoSpaceDE w:val="0"/>
        <w:autoSpaceDN w:val="0"/>
        <w:adjustRightInd w:val="0"/>
        <w:snapToGrid w:val="0"/>
        <w:spacing w:before="104" w:line="220" w:lineRule="auto"/>
        <w:ind w:firstLine="700"/>
        <w:jc w:val="left"/>
        <w:rPr>
          <w:rFonts w:ascii="仿宋" w:hAnsi="仿宋" w:eastAsia="仿宋" w:cs="仿宋"/>
          <w:sz w:val="32"/>
          <w:szCs w:val="32"/>
        </w:rPr>
      </w:pPr>
      <w:r>
        <w:rPr>
          <w:rFonts w:hint="eastAsia" w:ascii="仿宋" w:hAnsi="仿宋" w:eastAsia="仿宋" w:cs="仿宋"/>
          <w:color w:val="000000"/>
          <w:spacing w:val="-4"/>
          <w:kern w:val="0"/>
          <w:sz w:val="32"/>
          <w:szCs w:val="32"/>
        </w:rPr>
        <w:t>附件:新疆维吾尔自治区财政衔接推进乡村振兴补助资金</w:t>
      </w:r>
    </w:p>
    <w:p>
      <w:pPr>
        <w:widowControl/>
        <w:kinsoku w:val="0"/>
        <w:autoSpaceDE w:val="0"/>
        <w:autoSpaceDN w:val="0"/>
        <w:adjustRightInd w:val="0"/>
        <w:snapToGrid w:val="0"/>
        <w:spacing w:line="120" w:lineRule="exact"/>
        <w:jc w:val="left"/>
      </w:pPr>
    </w:p>
    <w:p>
      <w:pPr>
        <w:rPr>
          <w:rFonts w:ascii="Arial" w:hAnsi="Arial" w:eastAsia="Arial" w:cs="Times New Roman"/>
          <w:snapToGrid w:val="0"/>
          <w:color w:val="000000"/>
          <w:szCs w:val="21"/>
        </w:rPr>
        <w:sectPr>
          <w:pgSz w:w="11910" w:h="16840"/>
          <w:pgMar w:top="1431" w:right="1571" w:bottom="400" w:left="1519" w:header="1" w:footer="1" w:gutter="0"/>
          <w:cols w:space="425" w:num="1"/>
          <w:docGrid w:type="lines" w:linePitch="312" w:charSpace="0"/>
        </w:sectPr>
      </w:pPr>
    </w:p>
    <w:p>
      <w:pPr>
        <w:widowControl/>
        <w:kinsoku w:val="0"/>
        <w:autoSpaceDE w:val="0"/>
        <w:autoSpaceDN w:val="0"/>
        <w:adjustRightInd w:val="0"/>
        <w:snapToGrid w:val="0"/>
        <w:spacing w:before="65" w:line="223" w:lineRule="auto"/>
        <w:ind w:firstLine="1520" w:firstLineChars="500"/>
        <w:jc w:val="left"/>
        <w:rPr>
          <w:rFonts w:ascii="仿宋" w:hAnsi="仿宋" w:eastAsia="仿宋" w:cs="仿宋"/>
          <w:sz w:val="32"/>
          <w:szCs w:val="32"/>
        </w:rPr>
      </w:pPr>
      <w:r>
        <w:rPr>
          <w:rFonts w:hint="eastAsia" w:ascii="仿宋" w:hAnsi="仿宋" w:eastAsia="仿宋" w:cs="仿宋"/>
          <w:color w:val="000000"/>
          <w:spacing w:val="-8"/>
          <w:kern w:val="0"/>
          <w:sz w:val="32"/>
          <w:szCs w:val="32"/>
        </w:rPr>
        <w:t>管理办法</w:t>
      </w: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jc w:val="left"/>
      </w:pPr>
      <w:r>
        <w:rPr>
          <w:rFonts w:ascii="Arial" w:hAnsi="Arial" w:eastAsia="Arial" w:cs="Times New Roman"/>
          <w:color w:val="000000"/>
          <w:kern w:val="0"/>
          <w:szCs w:val="21"/>
        </w:rPr>
        <w:drawing>
          <wp:anchor distT="0" distB="0" distL="0" distR="0" simplePos="0" relativeHeight="251665408" behindDoc="0" locked="0" layoutInCell="1" allowOverlap="1">
            <wp:simplePos x="0" y="0"/>
            <wp:positionH relativeFrom="column">
              <wp:posOffset>3338195</wp:posOffset>
            </wp:positionH>
            <wp:positionV relativeFrom="paragraph">
              <wp:posOffset>96520</wp:posOffset>
            </wp:positionV>
            <wp:extent cx="1543050" cy="1562100"/>
            <wp:effectExtent l="0" t="0" r="11430" b="7620"/>
            <wp:wrapNone/>
            <wp:docPr id="2" name="IM 5"/>
            <wp:cNvGraphicFramePr/>
            <a:graphic xmlns:a="http://schemas.openxmlformats.org/drawingml/2006/main">
              <a:graphicData uri="http://schemas.openxmlformats.org/drawingml/2006/picture">
                <pic:pic xmlns:pic="http://schemas.openxmlformats.org/drawingml/2006/picture">
                  <pic:nvPicPr>
                    <pic:cNvPr id="2" name="IM 5"/>
                    <pic:cNvPicPr/>
                  </pic:nvPicPr>
                  <pic:blipFill>
                    <a:blip r:embed="rId11"/>
                    <a:stretch>
                      <a:fillRect/>
                    </a:stretch>
                  </pic:blipFill>
                  <pic:spPr>
                    <a:xfrm>
                      <a:off x="0" y="0"/>
                      <a:ext cx="1543050" cy="1562100"/>
                    </a:xfrm>
                    <a:prstGeom prst="rect">
                      <a:avLst/>
                    </a:prstGeom>
                    <a:noFill/>
                    <a:ln>
                      <a:noFill/>
                    </a:ln>
                  </pic:spPr>
                </pic:pic>
              </a:graphicData>
            </a:graphic>
          </wp:anchor>
        </w:drawing>
      </w: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before="104" w:line="220" w:lineRule="auto"/>
        <w:jc w:val="left"/>
        <w:rPr>
          <w:rFonts w:ascii="仿宋" w:hAnsi="仿宋" w:eastAsia="仿宋" w:cs="仿宋"/>
          <w:sz w:val="32"/>
          <w:szCs w:val="32"/>
        </w:rPr>
      </w:pPr>
      <w:r>
        <w:rPr>
          <w:rFonts w:ascii="Arial" w:hAnsi="Arial" w:eastAsia="Arial" w:cs="Times New Roman"/>
          <w:color w:val="000000"/>
          <w:kern w:val="0"/>
          <w:szCs w:val="21"/>
        </w:rPr>
        <w:drawing>
          <wp:anchor distT="0" distB="0" distL="0" distR="0" simplePos="0" relativeHeight="251664384" behindDoc="0" locked="0" layoutInCell="1" allowOverlap="1">
            <wp:simplePos x="0" y="0"/>
            <wp:positionH relativeFrom="column">
              <wp:posOffset>374650</wp:posOffset>
            </wp:positionH>
            <wp:positionV relativeFrom="paragraph">
              <wp:posOffset>-949325</wp:posOffset>
            </wp:positionV>
            <wp:extent cx="1638300" cy="1638300"/>
            <wp:effectExtent l="0" t="0" r="7620" b="7620"/>
            <wp:wrapNone/>
            <wp:docPr id="7" name="IM 3"/>
            <wp:cNvGraphicFramePr/>
            <a:graphic xmlns:a="http://schemas.openxmlformats.org/drawingml/2006/main">
              <a:graphicData uri="http://schemas.openxmlformats.org/drawingml/2006/picture">
                <pic:pic xmlns:pic="http://schemas.openxmlformats.org/drawingml/2006/picture">
                  <pic:nvPicPr>
                    <pic:cNvPr id="7" name="IM 3"/>
                    <pic:cNvPicPr/>
                  </pic:nvPicPr>
                  <pic:blipFill>
                    <a:blip r:embed="rId12"/>
                    <a:stretch>
                      <a:fillRect/>
                    </a:stretch>
                  </pic:blipFill>
                  <pic:spPr>
                    <a:xfrm>
                      <a:off x="0" y="0"/>
                      <a:ext cx="1638300" cy="1638300"/>
                    </a:xfrm>
                    <a:prstGeom prst="rect">
                      <a:avLst/>
                    </a:prstGeom>
                    <a:noFill/>
                    <a:ln>
                      <a:noFill/>
                    </a:ln>
                  </pic:spPr>
                </pic:pic>
              </a:graphicData>
            </a:graphic>
          </wp:anchor>
        </w:drawing>
      </w:r>
      <w:r>
        <w:rPr>
          <w:rFonts w:hint="eastAsia" w:ascii="仿宋" w:hAnsi="仿宋" w:eastAsia="仿宋" w:cs="仿宋"/>
          <w:color w:val="000000"/>
          <w:spacing w:val="-2"/>
          <w:kern w:val="0"/>
          <w:sz w:val="32"/>
          <w:szCs w:val="32"/>
        </w:rPr>
        <w:t xml:space="preserve">新疆维吾尔自治区财政厅     </w:t>
      </w:r>
      <w:r>
        <w:rPr>
          <w:rFonts w:hint="eastAsia" w:ascii="仿宋" w:hAnsi="仿宋" w:eastAsia="仿宋" w:cs="仿宋"/>
          <w:color w:val="000000"/>
          <w:spacing w:val="-4"/>
          <w:kern w:val="0"/>
          <w:sz w:val="32"/>
          <w:szCs w:val="32"/>
        </w:rPr>
        <w:t>新疆维吾尔自治区乡村振兴局</w:t>
      </w:r>
    </w:p>
    <w:p>
      <w:pPr>
        <w:widowControl/>
        <w:kinsoku w:val="0"/>
        <w:autoSpaceDE w:val="0"/>
        <w:autoSpaceDN w:val="0"/>
        <w:adjustRightInd w:val="0"/>
        <w:snapToGrid w:val="0"/>
        <w:spacing w:line="247" w:lineRule="auto"/>
        <w:jc w:val="left"/>
      </w:pPr>
    </w:p>
    <w:p>
      <w:pPr>
        <w:widowControl/>
        <w:kinsoku w:val="0"/>
        <w:autoSpaceDE w:val="0"/>
        <w:autoSpaceDN w:val="0"/>
        <w:adjustRightInd w:val="0"/>
        <w:snapToGrid w:val="0"/>
        <w:spacing w:line="247" w:lineRule="auto"/>
        <w:jc w:val="left"/>
      </w:pPr>
    </w:p>
    <w:p>
      <w:pPr>
        <w:widowControl/>
        <w:kinsoku w:val="0"/>
        <w:autoSpaceDE w:val="0"/>
        <w:autoSpaceDN w:val="0"/>
        <w:adjustRightInd w:val="0"/>
        <w:snapToGrid w:val="0"/>
        <w:spacing w:line="247" w:lineRule="auto"/>
        <w:jc w:val="left"/>
      </w:pPr>
      <w:r>
        <w:rPr>
          <w:rFonts w:ascii="Arial" w:hAnsi="Arial" w:eastAsia="Arial" w:cs="Times New Roman"/>
          <w:color w:val="000000"/>
          <w:kern w:val="0"/>
          <w:szCs w:val="21"/>
        </w:rPr>
        <w:drawing>
          <wp:anchor distT="0" distB="0" distL="0" distR="0" simplePos="0" relativeHeight="251662336" behindDoc="0" locked="0" layoutInCell="1" allowOverlap="1">
            <wp:simplePos x="0" y="0"/>
            <wp:positionH relativeFrom="column">
              <wp:posOffset>3467100</wp:posOffset>
            </wp:positionH>
            <wp:positionV relativeFrom="paragraph">
              <wp:posOffset>23495</wp:posOffset>
            </wp:positionV>
            <wp:extent cx="1676400" cy="1663700"/>
            <wp:effectExtent l="0" t="0" r="0" b="12700"/>
            <wp:wrapNone/>
            <wp:docPr id="8" name="IM 6"/>
            <wp:cNvGraphicFramePr/>
            <a:graphic xmlns:a="http://schemas.openxmlformats.org/drawingml/2006/main">
              <a:graphicData uri="http://schemas.openxmlformats.org/drawingml/2006/picture">
                <pic:pic xmlns:pic="http://schemas.openxmlformats.org/drawingml/2006/picture">
                  <pic:nvPicPr>
                    <pic:cNvPr id="8" name="IM 6"/>
                    <pic:cNvPicPr/>
                  </pic:nvPicPr>
                  <pic:blipFill>
                    <a:blip r:embed="rId13"/>
                    <a:stretch>
                      <a:fillRect/>
                    </a:stretch>
                  </pic:blipFill>
                  <pic:spPr>
                    <a:xfrm>
                      <a:off x="0" y="0"/>
                      <a:ext cx="1676400" cy="1663700"/>
                    </a:xfrm>
                    <a:prstGeom prst="rect">
                      <a:avLst/>
                    </a:prstGeom>
                    <a:noFill/>
                    <a:ln>
                      <a:noFill/>
                    </a:ln>
                  </pic:spPr>
                </pic:pic>
              </a:graphicData>
            </a:graphic>
          </wp:anchor>
        </w:drawing>
      </w:r>
    </w:p>
    <w:p>
      <w:pPr>
        <w:widowControl/>
        <w:kinsoku w:val="0"/>
        <w:autoSpaceDE w:val="0"/>
        <w:autoSpaceDN w:val="0"/>
        <w:adjustRightInd w:val="0"/>
        <w:snapToGrid w:val="0"/>
        <w:spacing w:line="247" w:lineRule="auto"/>
        <w:jc w:val="left"/>
      </w:pPr>
      <w:r>
        <w:rPr>
          <w:rFonts w:ascii="Arial" w:hAnsi="Arial" w:eastAsia="Arial" w:cs="Times New Roman"/>
          <w:color w:val="000000"/>
          <w:kern w:val="0"/>
          <w:szCs w:val="21"/>
        </w:rPr>
        <w:drawing>
          <wp:anchor distT="0" distB="0" distL="0" distR="0" simplePos="0" relativeHeight="251663360" behindDoc="0" locked="0" layoutInCell="1" allowOverlap="1">
            <wp:simplePos x="0" y="0"/>
            <wp:positionH relativeFrom="column">
              <wp:posOffset>213995</wp:posOffset>
            </wp:positionH>
            <wp:positionV relativeFrom="paragraph">
              <wp:posOffset>24765</wp:posOffset>
            </wp:positionV>
            <wp:extent cx="1670050" cy="1657350"/>
            <wp:effectExtent l="0" t="0" r="6350" b="3810"/>
            <wp:wrapNone/>
            <wp:docPr id="9" name="IM 4"/>
            <wp:cNvGraphicFramePr/>
            <a:graphic xmlns:a="http://schemas.openxmlformats.org/drawingml/2006/main">
              <a:graphicData uri="http://schemas.openxmlformats.org/drawingml/2006/picture">
                <pic:pic xmlns:pic="http://schemas.openxmlformats.org/drawingml/2006/picture">
                  <pic:nvPicPr>
                    <pic:cNvPr id="9" name="IM 4"/>
                    <pic:cNvPicPr/>
                  </pic:nvPicPr>
                  <pic:blipFill>
                    <a:blip r:embed="rId14"/>
                    <a:stretch>
                      <a:fillRect/>
                    </a:stretch>
                  </pic:blipFill>
                  <pic:spPr>
                    <a:xfrm>
                      <a:off x="0" y="0"/>
                      <a:ext cx="1670050" cy="1657350"/>
                    </a:xfrm>
                    <a:prstGeom prst="rect">
                      <a:avLst/>
                    </a:prstGeom>
                    <a:noFill/>
                    <a:ln>
                      <a:noFill/>
                    </a:ln>
                  </pic:spPr>
                </pic:pic>
              </a:graphicData>
            </a:graphic>
          </wp:anchor>
        </w:drawing>
      </w:r>
    </w:p>
    <w:p>
      <w:pPr>
        <w:widowControl/>
        <w:kinsoku w:val="0"/>
        <w:autoSpaceDE w:val="0"/>
        <w:autoSpaceDN w:val="0"/>
        <w:adjustRightInd w:val="0"/>
        <w:snapToGrid w:val="0"/>
        <w:spacing w:before="104" w:line="220" w:lineRule="auto"/>
        <w:ind w:firstLine="50"/>
        <w:jc w:val="left"/>
        <w:rPr>
          <w:rFonts w:ascii="仿宋" w:hAnsi="仿宋" w:eastAsia="仿宋" w:cs="仿宋"/>
          <w:sz w:val="32"/>
          <w:szCs w:val="32"/>
        </w:rPr>
      </w:pPr>
    </w:p>
    <w:p>
      <w:pPr>
        <w:widowControl/>
        <w:kinsoku w:val="0"/>
        <w:autoSpaceDE w:val="0"/>
        <w:autoSpaceDN w:val="0"/>
        <w:adjustRightInd w:val="0"/>
        <w:snapToGrid w:val="0"/>
        <w:spacing w:line="254" w:lineRule="auto"/>
        <w:jc w:val="left"/>
      </w:pPr>
    </w:p>
    <w:p>
      <w:pPr>
        <w:widowControl/>
        <w:kinsoku w:val="0"/>
        <w:autoSpaceDE w:val="0"/>
        <w:autoSpaceDN w:val="0"/>
        <w:adjustRightInd w:val="0"/>
        <w:snapToGrid w:val="0"/>
        <w:spacing w:line="254" w:lineRule="auto"/>
        <w:ind w:firstLine="4672" w:firstLineChars="1600"/>
        <w:jc w:val="left"/>
      </w:pPr>
      <w:r>
        <w:rPr>
          <w:rFonts w:hint="eastAsia" w:ascii="仿宋" w:hAnsi="仿宋" w:eastAsia="仿宋" w:cs="仿宋"/>
          <w:color w:val="000000"/>
          <w:spacing w:val="-14"/>
          <w:kern w:val="0"/>
          <w:sz w:val="32"/>
          <w:szCs w:val="32"/>
        </w:rPr>
        <w:t>新疆维吾尔自治区民族事务</w:t>
      </w:r>
    </w:p>
    <w:p>
      <w:pPr>
        <w:widowControl/>
        <w:kinsoku w:val="0"/>
        <w:autoSpaceDE w:val="0"/>
        <w:autoSpaceDN w:val="0"/>
        <w:adjustRightInd w:val="0"/>
        <w:snapToGrid w:val="0"/>
        <w:spacing w:line="254" w:lineRule="auto"/>
        <w:jc w:val="left"/>
      </w:pPr>
      <w:r>
        <w:rPr>
          <w:rFonts w:hint="eastAsia" w:ascii="仿宋" w:hAnsi="仿宋" w:eastAsia="仿宋" w:cs="仿宋"/>
          <w:color w:val="000000"/>
          <w:spacing w:val="-6"/>
          <w:kern w:val="0"/>
          <w:sz w:val="32"/>
          <w:szCs w:val="32"/>
          <w:lang w:eastAsia="zh-CN"/>
        </w:rPr>
        <w:t>新疆维吾尔自治区发展和改革委员会</w:t>
      </w:r>
    </w:p>
    <w:p>
      <w:pPr>
        <w:widowControl/>
        <w:kinsoku w:val="0"/>
        <w:autoSpaceDE w:val="0"/>
        <w:autoSpaceDN w:val="0"/>
        <w:adjustRightInd w:val="0"/>
        <w:snapToGrid w:val="0"/>
        <w:spacing w:line="254" w:lineRule="auto"/>
        <w:ind w:firstLine="5256" w:firstLineChars="1800"/>
        <w:jc w:val="left"/>
      </w:pPr>
      <w:r>
        <w:rPr>
          <w:rFonts w:hint="eastAsia" w:ascii="仿宋" w:hAnsi="仿宋" w:eastAsia="仿宋" w:cs="仿宋"/>
          <w:color w:val="000000"/>
          <w:spacing w:val="-14"/>
          <w:kern w:val="0"/>
          <w:sz w:val="32"/>
          <w:szCs w:val="32"/>
        </w:rPr>
        <w:t>委员会</w:t>
      </w:r>
      <w:r>
        <w:rPr>
          <w:rFonts w:hint="eastAsia" w:ascii="仿宋" w:hAnsi="仿宋" w:eastAsia="仿宋" w:cs="仿宋"/>
          <w:color w:val="000000"/>
          <w:spacing w:val="-21"/>
          <w:kern w:val="0"/>
          <w:sz w:val="32"/>
          <w:szCs w:val="32"/>
        </w:rPr>
        <w:t>宗教事务局</w:t>
      </w:r>
    </w:p>
    <w:p>
      <w:pPr>
        <w:widowControl/>
        <w:kinsoku w:val="0"/>
        <w:autoSpaceDE w:val="0"/>
        <w:autoSpaceDN w:val="0"/>
        <w:adjustRightInd w:val="0"/>
        <w:snapToGrid w:val="0"/>
        <w:spacing w:before="105" w:line="338" w:lineRule="auto"/>
        <w:ind w:left="6090" w:right="62" w:hanging="6090" w:hangingChars="2900"/>
        <w:jc w:val="left"/>
        <w:rPr>
          <w:rFonts w:ascii="仿宋" w:hAnsi="仿宋" w:eastAsia="仿宋" w:cs="仿宋"/>
          <w:color w:val="000000"/>
          <w:spacing w:val="-21"/>
          <w:kern w:val="0"/>
          <w:sz w:val="32"/>
          <w:szCs w:val="32"/>
        </w:rPr>
      </w:pPr>
      <w:r>
        <w:rPr>
          <w:rFonts w:ascii="Arial" w:hAnsi="Arial" w:eastAsia="Arial" w:cs="Times New Roman"/>
          <w:color w:val="000000"/>
          <w:kern w:val="0"/>
          <w:szCs w:val="21"/>
        </w:rPr>
        <w:drawing>
          <wp:anchor distT="0" distB="0" distL="0" distR="0" simplePos="0" relativeHeight="251660288" behindDoc="0" locked="0" layoutInCell="1" allowOverlap="1">
            <wp:simplePos x="0" y="0"/>
            <wp:positionH relativeFrom="column">
              <wp:posOffset>3592195</wp:posOffset>
            </wp:positionH>
            <wp:positionV relativeFrom="paragraph">
              <wp:posOffset>547370</wp:posOffset>
            </wp:positionV>
            <wp:extent cx="1676400" cy="1663700"/>
            <wp:effectExtent l="0" t="0" r="0" b="12700"/>
            <wp:wrapNone/>
            <wp:docPr id="12" name="IM 7"/>
            <wp:cNvGraphicFramePr/>
            <a:graphic xmlns:a="http://schemas.openxmlformats.org/drawingml/2006/main">
              <a:graphicData uri="http://schemas.openxmlformats.org/drawingml/2006/picture">
                <pic:pic xmlns:pic="http://schemas.openxmlformats.org/drawingml/2006/picture">
                  <pic:nvPicPr>
                    <pic:cNvPr id="12" name="IM 7"/>
                    <pic:cNvPicPr/>
                  </pic:nvPicPr>
                  <pic:blipFill>
                    <a:blip r:embed="rId15"/>
                    <a:stretch>
                      <a:fillRect/>
                    </a:stretch>
                  </pic:blipFill>
                  <pic:spPr>
                    <a:xfrm>
                      <a:off x="0" y="0"/>
                      <a:ext cx="1676400" cy="1663700"/>
                    </a:xfrm>
                    <a:prstGeom prst="rect">
                      <a:avLst/>
                    </a:prstGeom>
                    <a:noFill/>
                    <a:ln>
                      <a:noFill/>
                    </a:ln>
                  </pic:spPr>
                </pic:pic>
              </a:graphicData>
            </a:graphic>
          </wp:anchor>
        </w:drawing>
      </w:r>
    </w:p>
    <w:p>
      <w:pPr>
        <w:pStyle w:val="22"/>
        <w:rPr>
          <w:rFonts w:ascii="仿宋" w:hAnsi="仿宋" w:eastAsia="仿宋" w:cs="仿宋"/>
          <w:color w:val="000000"/>
          <w:spacing w:val="-21"/>
          <w:kern w:val="0"/>
          <w:sz w:val="32"/>
          <w:szCs w:val="32"/>
        </w:rPr>
      </w:pPr>
      <w:r>
        <w:rPr>
          <w:rFonts w:ascii="宋体" w:hAnsi="宋体" w:eastAsia="宋体" w:cs="宋体"/>
          <w:sz w:val="24"/>
        </w:rPr>
        <w:drawing>
          <wp:anchor distT="0" distB="0" distL="0" distR="0" simplePos="0" relativeHeight="251661312" behindDoc="0" locked="0" layoutInCell="0" allowOverlap="1">
            <wp:simplePos x="0" y="0"/>
            <wp:positionH relativeFrom="page">
              <wp:posOffset>1030605</wp:posOffset>
            </wp:positionH>
            <wp:positionV relativeFrom="page">
              <wp:posOffset>7573010</wp:posOffset>
            </wp:positionV>
            <wp:extent cx="1682750" cy="1670050"/>
            <wp:effectExtent l="0" t="0" r="8890" b="6350"/>
            <wp:wrapNone/>
            <wp:docPr id="13" name="IM 2"/>
            <wp:cNvGraphicFramePr/>
            <a:graphic xmlns:a="http://schemas.openxmlformats.org/drawingml/2006/main">
              <a:graphicData uri="http://schemas.openxmlformats.org/drawingml/2006/picture">
                <pic:pic xmlns:pic="http://schemas.openxmlformats.org/drawingml/2006/picture">
                  <pic:nvPicPr>
                    <pic:cNvPr id="13" name="IM 2"/>
                    <pic:cNvPicPr/>
                  </pic:nvPicPr>
                  <pic:blipFill>
                    <a:blip r:embed="rId16"/>
                    <a:stretch>
                      <a:fillRect/>
                    </a:stretch>
                  </pic:blipFill>
                  <pic:spPr>
                    <a:xfrm>
                      <a:off x="0" y="0"/>
                      <a:ext cx="1682750" cy="1670050"/>
                    </a:xfrm>
                    <a:prstGeom prst="rect">
                      <a:avLst/>
                    </a:prstGeom>
                    <a:noFill/>
                    <a:ln>
                      <a:noFill/>
                    </a:ln>
                  </pic:spPr>
                </pic:pic>
              </a:graphicData>
            </a:graphic>
          </wp:anchor>
        </w:drawing>
      </w:r>
    </w:p>
    <w:p>
      <w:pPr>
        <w:pStyle w:val="22"/>
        <w:rPr>
          <w:rFonts w:ascii="仿宋" w:hAnsi="仿宋" w:eastAsia="仿宋" w:cs="仿宋"/>
          <w:color w:val="000000"/>
          <w:spacing w:val="-21"/>
          <w:kern w:val="0"/>
          <w:sz w:val="32"/>
          <w:szCs w:val="32"/>
        </w:rPr>
      </w:pPr>
    </w:p>
    <w:p>
      <w:pPr>
        <w:widowControl/>
        <w:kinsoku w:val="0"/>
        <w:autoSpaceDE w:val="0"/>
        <w:autoSpaceDN w:val="0"/>
        <w:adjustRightInd w:val="0"/>
        <w:snapToGrid w:val="0"/>
        <w:ind w:firstLine="4658" w:firstLineChars="1700"/>
        <w:jc w:val="left"/>
      </w:pPr>
      <w:r>
        <w:rPr>
          <w:rFonts w:hint="eastAsia" w:ascii="仿宋" w:hAnsi="仿宋" w:eastAsia="仿宋" w:cs="仿宋"/>
          <w:color w:val="000000"/>
          <w:spacing w:val="-23"/>
          <w:kern w:val="0"/>
          <w:sz w:val="32"/>
          <w:szCs w:val="32"/>
        </w:rPr>
        <w:t>新疆维吾尔自治区林业和草原局</w:t>
      </w:r>
    </w:p>
    <w:p>
      <w:pPr>
        <w:widowControl/>
        <w:kinsoku w:val="0"/>
        <w:autoSpaceDE w:val="0"/>
        <w:autoSpaceDN w:val="0"/>
        <w:adjustRightInd w:val="0"/>
        <w:snapToGrid w:val="0"/>
        <w:spacing w:before="105" w:line="338" w:lineRule="auto"/>
        <w:ind w:left="5490" w:right="42" w:hanging="830"/>
        <w:jc w:val="left"/>
        <w:rPr>
          <w:rFonts w:ascii="Arial" w:hAnsi="Arial" w:eastAsia="Arial" w:cs="Arial"/>
          <w:snapToGrid w:val="0"/>
          <w:color w:val="000000"/>
          <w:sz w:val="2"/>
          <w:szCs w:val="2"/>
        </w:rPr>
      </w:pPr>
    </w:p>
    <w:p>
      <w:pPr>
        <w:widowControl/>
        <w:kinsoku w:val="0"/>
        <w:autoSpaceDE w:val="0"/>
        <w:autoSpaceDN w:val="0"/>
        <w:adjustRightInd w:val="0"/>
        <w:snapToGrid w:val="0"/>
        <w:spacing w:before="19" w:line="220" w:lineRule="auto"/>
        <w:ind w:firstLine="20"/>
        <w:jc w:val="left"/>
        <w:rPr>
          <w:rFonts w:ascii="仿宋" w:hAnsi="仿宋" w:eastAsia="仿宋" w:cs="仿宋"/>
          <w:sz w:val="32"/>
          <w:szCs w:val="32"/>
        </w:rPr>
      </w:pPr>
      <w:r>
        <w:rPr>
          <w:rFonts w:hint="eastAsia" w:ascii="仿宋" w:hAnsi="仿宋" w:eastAsia="仿宋" w:cs="仿宋"/>
          <w:color w:val="000000"/>
          <w:spacing w:val="-21"/>
          <w:kern w:val="0"/>
          <w:sz w:val="32"/>
          <w:szCs w:val="32"/>
        </w:rPr>
        <w:t>新疆维吾尔自治区农业农村厅</w:t>
      </w:r>
    </w:p>
    <w:p>
      <w:pPr>
        <w:widowControl/>
        <w:kinsoku w:val="0"/>
        <w:autoSpaceDE w:val="0"/>
        <w:autoSpaceDN w:val="0"/>
        <w:adjustRightInd w:val="0"/>
        <w:snapToGrid w:val="0"/>
        <w:jc w:val="left"/>
      </w:pPr>
    </w:p>
    <w:p>
      <w:pPr>
        <w:widowControl/>
        <w:kinsoku w:val="0"/>
        <w:autoSpaceDE w:val="0"/>
        <w:autoSpaceDN w:val="0"/>
        <w:adjustRightInd w:val="0"/>
        <w:snapToGrid w:val="0"/>
        <w:spacing w:line="22" w:lineRule="exact"/>
        <w:jc w:val="left"/>
      </w:pPr>
    </w:p>
    <w:p>
      <w:pPr>
        <w:widowControl/>
        <w:kinsoku w:val="0"/>
        <w:autoSpaceDE w:val="0"/>
        <w:autoSpaceDN w:val="0"/>
        <w:adjustRightInd w:val="0"/>
        <w:snapToGrid w:val="0"/>
        <w:spacing w:before="105" w:line="338" w:lineRule="auto"/>
        <w:ind w:left="4049" w:leftChars="1928" w:right="42" w:firstLine="1763" w:firstLineChars="501"/>
        <w:jc w:val="left"/>
        <w:rPr>
          <w:rFonts w:hint="eastAsia" w:ascii="仿宋" w:hAnsi="仿宋" w:eastAsia="仿宋" w:cs="仿宋"/>
          <w:sz w:val="32"/>
          <w:szCs w:val="32"/>
          <w:lang w:val="en-US" w:eastAsia="zh-CN"/>
        </w:rPr>
      </w:pPr>
      <w:r>
        <w:rPr>
          <w:rFonts w:hint="eastAsia" w:ascii="仿宋" w:hAnsi="仿宋" w:eastAsia="仿宋" w:cs="仿宋"/>
          <w:color w:val="000000"/>
          <w:spacing w:val="16"/>
          <w:kern w:val="0"/>
          <w:sz w:val="32"/>
          <w:szCs w:val="32"/>
        </w:rPr>
        <w:t>2021年7月30</w:t>
      </w:r>
      <w:r>
        <w:rPr>
          <w:rFonts w:hint="eastAsia" w:ascii="仿宋" w:hAnsi="仿宋" w:eastAsia="仿宋" w:cs="仿宋"/>
          <w:color w:val="000000"/>
          <w:spacing w:val="16"/>
          <w:kern w:val="0"/>
          <w:sz w:val="32"/>
          <w:szCs w:val="32"/>
          <w:lang w:val="en-US" w:eastAsia="zh-CN"/>
        </w:rPr>
        <w:t>日</w:t>
      </w:r>
    </w:p>
    <w:p>
      <w:pPr>
        <w:widowControl/>
        <w:kinsoku w:val="0"/>
        <w:autoSpaceDE w:val="0"/>
        <w:autoSpaceDN w:val="0"/>
        <w:adjustRightInd w:val="0"/>
        <w:snapToGrid w:val="0"/>
        <w:spacing w:before="105" w:line="338" w:lineRule="auto"/>
        <w:ind w:left="5490" w:right="42" w:hanging="830"/>
        <w:jc w:val="left"/>
        <w:rPr>
          <w:rFonts w:ascii="Arial" w:hAnsi="Arial" w:eastAsia="Arial" w:cs="Arial"/>
          <w:snapToGrid w:val="0"/>
          <w:color w:val="000000"/>
          <w:sz w:val="2"/>
          <w:szCs w:val="2"/>
        </w:rPr>
      </w:pPr>
    </w:p>
    <w:p>
      <w:pPr>
        <w:widowControl/>
        <w:kinsoku w:val="0"/>
        <w:autoSpaceDE w:val="0"/>
        <w:autoSpaceDN w:val="0"/>
        <w:adjustRightInd w:val="0"/>
        <w:snapToGrid w:val="0"/>
        <w:spacing w:before="105" w:line="338" w:lineRule="auto"/>
        <w:ind w:left="5490" w:right="42" w:hanging="830"/>
        <w:jc w:val="left"/>
        <w:rPr>
          <w:rFonts w:ascii="Arial" w:hAnsi="Arial" w:eastAsia="Arial" w:cs="Arial"/>
          <w:snapToGrid w:val="0"/>
          <w:color w:val="000000"/>
          <w:sz w:val="2"/>
          <w:szCs w:val="2"/>
        </w:rPr>
      </w:pPr>
    </w:p>
    <w:p>
      <w:pPr>
        <w:widowControl/>
        <w:kinsoku w:val="0"/>
        <w:autoSpaceDE w:val="0"/>
        <w:autoSpaceDN w:val="0"/>
        <w:adjustRightInd w:val="0"/>
        <w:snapToGrid w:val="0"/>
        <w:spacing w:before="105" w:line="338" w:lineRule="auto"/>
        <w:ind w:left="5490" w:right="42" w:hanging="830"/>
        <w:jc w:val="left"/>
        <w:rPr>
          <w:rFonts w:ascii="Arial" w:hAnsi="Arial" w:eastAsia="Arial" w:cs="Arial"/>
          <w:snapToGrid w:val="0"/>
          <w:color w:val="000000"/>
          <w:sz w:val="2"/>
          <w:szCs w:val="2"/>
        </w:rPr>
      </w:pPr>
    </w:p>
    <w:p>
      <w:pPr>
        <w:widowControl/>
        <w:kinsoku w:val="0"/>
        <w:autoSpaceDE w:val="0"/>
        <w:autoSpaceDN w:val="0"/>
        <w:adjustRightInd w:val="0"/>
        <w:snapToGrid w:val="0"/>
        <w:spacing w:before="105" w:line="338" w:lineRule="auto"/>
        <w:ind w:left="5490" w:right="42" w:hanging="830"/>
        <w:jc w:val="left"/>
        <w:rPr>
          <w:rFonts w:ascii="Arial" w:hAnsi="Arial" w:eastAsia="Arial" w:cs="Arial"/>
          <w:snapToGrid w:val="0"/>
          <w:color w:val="000000"/>
          <w:sz w:val="2"/>
          <w:szCs w:val="2"/>
        </w:rPr>
      </w:pPr>
    </w:p>
    <w:p>
      <w:pPr>
        <w:widowControl/>
        <w:kinsoku w:val="0"/>
        <w:autoSpaceDE w:val="0"/>
        <w:autoSpaceDN w:val="0"/>
        <w:adjustRightInd w:val="0"/>
        <w:snapToGrid w:val="0"/>
        <w:spacing w:before="105" w:line="338" w:lineRule="auto"/>
        <w:ind w:right="42"/>
        <w:jc w:val="left"/>
        <w:rPr>
          <w:rFonts w:ascii="Arial" w:hAnsi="Arial" w:eastAsia="Arial" w:cs="Times New Roman"/>
          <w:snapToGrid w:val="0"/>
          <w:color w:val="000000"/>
          <w:szCs w:val="21"/>
        </w:rPr>
        <w:sectPr>
          <w:type w:val="continuous"/>
          <w:pgSz w:w="11910" w:h="16840"/>
          <w:pgMar w:top="1431" w:right="1518" w:bottom="400" w:left="1519" w:header="1" w:footer="1" w:gutter="0"/>
          <w:cols w:space="425" w:num="1"/>
          <w:docGrid w:type="lines" w:linePitch="312" w:charSpace="0"/>
        </w:sectPr>
      </w:pPr>
    </w:p>
    <w:p>
      <w:pPr>
        <w:rPr>
          <w:rFonts w:ascii="Arial" w:hAnsi="Arial" w:eastAsia="Arial" w:cs="Times New Roman"/>
          <w:snapToGrid w:val="0"/>
          <w:color w:val="000000"/>
          <w:szCs w:val="21"/>
        </w:rPr>
        <w:sectPr>
          <w:type w:val="continuous"/>
          <w:pgSz w:w="11910" w:h="16840"/>
          <w:pgMar w:top="1431" w:right="1518" w:bottom="400" w:left="1519" w:header="1" w:footer="1" w:gutter="0"/>
          <w:cols w:space="425" w:num="1"/>
          <w:docGrid w:type="lines" w:linePitch="312" w:charSpace="0"/>
        </w:sectPr>
      </w:pPr>
    </w:p>
    <w:p>
      <w:pPr>
        <w:widowControl/>
        <w:kinsoku w:val="0"/>
        <w:autoSpaceDE w:val="0"/>
        <w:autoSpaceDN w:val="0"/>
        <w:adjustRightInd w:val="0"/>
        <w:snapToGrid w:val="0"/>
        <w:spacing w:before="104" w:line="223" w:lineRule="auto"/>
        <w:ind w:firstLine="4"/>
        <w:jc w:val="left"/>
        <w:rPr>
          <w:rFonts w:ascii="黑体" w:hAnsi="宋体" w:eastAsia="黑体" w:cs="黑体"/>
          <w:sz w:val="32"/>
          <w:szCs w:val="32"/>
        </w:rPr>
      </w:pPr>
      <w:r>
        <w:rPr>
          <w:rFonts w:hint="eastAsia" w:ascii="黑体" w:hAnsi="宋体" w:eastAsia="黑体" w:cs="黑体"/>
          <w:color w:val="000000"/>
          <w:spacing w:val="-11"/>
          <w:kern w:val="0"/>
          <w:sz w:val="32"/>
          <w:szCs w:val="32"/>
        </w:rPr>
        <w:t>附件:</w:t>
      </w:r>
    </w:p>
    <w:p>
      <w:pPr>
        <w:widowControl/>
        <w:kinsoku w:val="0"/>
        <w:autoSpaceDE w:val="0"/>
        <w:autoSpaceDN w:val="0"/>
        <w:adjustRightInd w:val="0"/>
        <w:snapToGrid w:val="0"/>
        <w:spacing w:line="292" w:lineRule="auto"/>
        <w:jc w:val="left"/>
      </w:pPr>
    </w:p>
    <w:p>
      <w:pPr>
        <w:widowControl/>
        <w:kinsoku w:val="0"/>
        <w:autoSpaceDE w:val="0"/>
        <w:autoSpaceDN w:val="0"/>
        <w:adjustRightInd w:val="0"/>
        <w:snapToGrid w:val="0"/>
        <w:spacing w:line="292" w:lineRule="auto"/>
        <w:jc w:val="left"/>
      </w:pPr>
    </w:p>
    <w:p>
      <w:pPr>
        <w:widowControl/>
        <w:kinsoku w:val="0"/>
        <w:autoSpaceDE w:val="0"/>
        <w:autoSpaceDN w:val="0"/>
        <w:adjustRightInd w:val="0"/>
        <w:snapToGrid w:val="0"/>
        <w:spacing w:before="143" w:line="261" w:lineRule="auto"/>
        <w:ind w:left="2665" w:right="612" w:hanging="2189"/>
        <w:jc w:val="left"/>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color w:val="000000"/>
          <w:spacing w:val="-2"/>
          <w:kern w:val="0"/>
          <w:sz w:val="44"/>
          <w:szCs w:val="44"/>
        </w:rPr>
        <w:t>新疆维吾尔自治区财政衔接推进乡村振兴补助资金管理办法</w:t>
      </w:r>
    </w:p>
    <w:p>
      <w:pPr>
        <w:widowControl/>
        <w:kinsoku w:val="0"/>
        <w:autoSpaceDE w:val="0"/>
        <w:autoSpaceDN w:val="0"/>
        <w:adjustRightInd w:val="0"/>
        <w:snapToGrid w:val="0"/>
        <w:spacing w:line="266" w:lineRule="auto"/>
        <w:jc w:val="left"/>
      </w:pPr>
    </w:p>
    <w:p>
      <w:pPr>
        <w:widowControl/>
        <w:kinsoku w:val="0"/>
        <w:autoSpaceDE w:val="0"/>
        <w:autoSpaceDN w:val="0"/>
        <w:adjustRightInd w:val="0"/>
        <w:snapToGrid w:val="0"/>
        <w:spacing w:line="268" w:lineRule="auto"/>
        <w:jc w:val="left"/>
      </w:pPr>
    </w:p>
    <w:p>
      <w:pPr>
        <w:widowControl/>
        <w:kinsoku w:val="0"/>
        <w:autoSpaceDE w:val="0"/>
        <w:autoSpaceDN w:val="0"/>
        <w:adjustRightInd w:val="0"/>
        <w:snapToGrid w:val="0"/>
        <w:spacing w:before="104" w:line="220" w:lineRule="auto"/>
        <w:ind w:firstLine="3384"/>
        <w:jc w:val="left"/>
        <w:rPr>
          <w:rFonts w:ascii="黑体" w:hAnsi="宋体" w:eastAsia="黑体" w:cs="黑体"/>
          <w:sz w:val="32"/>
          <w:szCs w:val="32"/>
        </w:rPr>
      </w:pPr>
      <w:r>
        <w:rPr>
          <w:rFonts w:hint="eastAsia" w:ascii="黑体" w:hAnsi="宋体" w:eastAsia="黑体" w:cs="黑体"/>
          <w:color w:val="000000"/>
          <w:spacing w:val="-12"/>
          <w:kern w:val="0"/>
          <w:sz w:val="32"/>
          <w:szCs w:val="32"/>
        </w:rPr>
        <w:t>第一章</w:t>
      </w:r>
      <w:r>
        <w:rPr>
          <w:rFonts w:hint="eastAsia" w:ascii="黑体" w:hAnsi="宋体" w:eastAsia="黑体" w:cs="黑体"/>
          <w:color w:val="000000"/>
          <w:spacing w:val="-12"/>
          <w:kern w:val="0"/>
          <w:sz w:val="32"/>
          <w:szCs w:val="32"/>
          <w:lang w:val="en-US" w:eastAsia="zh-CN"/>
        </w:rPr>
        <w:t xml:space="preserve"> </w:t>
      </w:r>
      <w:r>
        <w:rPr>
          <w:rFonts w:hint="eastAsia" w:ascii="黑体" w:hAnsi="宋体" w:eastAsia="黑体" w:cs="黑体"/>
          <w:color w:val="000000"/>
          <w:spacing w:val="-12"/>
          <w:kern w:val="0"/>
          <w:sz w:val="32"/>
          <w:szCs w:val="32"/>
        </w:rPr>
        <w:t>总</w:t>
      </w:r>
      <w:r>
        <w:rPr>
          <w:rFonts w:hint="eastAsia" w:ascii="黑体" w:hAnsi="宋体" w:eastAsia="黑体" w:cs="黑体"/>
          <w:color w:val="000000"/>
          <w:spacing w:val="-12"/>
          <w:kern w:val="0"/>
          <w:sz w:val="32"/>
          <w:szCs w:val="32"/>
          <w:lang w:val="en-US" w:eastAsia="zh-CN"/>
        </w:rPr>
        <w:t xml:space="preserve"> </w:t>
      </w:r>
      <w:r>
        <w:rPr>
          <w:rFonts w:hint="eastAsia" w:ascii="黑体" w:hAnsi="宋体" w:eastAsia="黑体" w:cs="黑体"/>
          <w:color w:val="000000"/>
          <w:spacing w:val="-12"/>
          <w:kern w:val="0"/>
          <w:sz w:val="32"/>
          <w:szCs w:val="32"/>
        </w:rPr>
        <w:t>则</w:t>
      </w:r>
    </w:p>
    <w:p>
      <w:pPr>
        <w:widowControl/>
        <w:kinsoku w:val="0"/>
        <w:autoSpaceDE w:val="0"/>
        <w:autoSpaceDN w:val="0"/>
        <w:adjustRightInd w:val="0"/>
        <w:snapToGrid w:val="0"/>
        <w:spacing w:before="218" w:line="348" w:lineRule="auto"/>
        <w:ind w:firstLine="664"/>
        <w:jc w:val="left"/>
        <w:rPr>
          <w:rFonts w:hint="eastAsia" w:ascii="仿宋" w:hAnsi="仿宋" w:eastAsia="仿宋" w:cs="仿宋"/>
          <w:sz w:val="32"/>
          <w:szCs w:val="32"/>
          <w:lang w:eastAsia="zh-CN"/>
        </w:rPr>
      </w:pPr>
      <w:r>
        <w:rPr>
          <w:rFonts w:hint="eastAsia" w:ascii="仿宋" w:hAnsi="仿宋" w:eastAsia="仿宋" w:cs="仿宋"/>
          <w:color w:val="000000"/>
          <w:spacing w:val="7"/>
          <w:kern w:val="0"/>
          <w:sz w:val="32"/>
          <w:szCs w:val="32"/>
        </w:rPr>
        <w:t>第一条为贯彻落实党中央、国务院关于实现巩固拓展脱贫</w:t>
      </w:r>
      <w:r>
        <w:rPr>
          <w:rFonts w:hint="eastAsia" w:ascii="仿宋" w:hAnsi="仿宋" w:eastAsia="仿宋" w:cs="仿宋"/>
          <w:color w:val="000000"/>
          <w:spacing w:val="3"/>
          <w:kern w:val="0"/>
          <w:sz w:val="32"/>
          <w:szCs w:val="32"/>
        </w:rPr>
        <w:t>攻坚成果同乡村振兴有效衔接的决策部署,根据《自治区党委、</w:t>
      </w:r>
      <w:r>
        <w:rPr>
          <w:rFonts w:hint="eastAsia" w:ascii="仿宋" w:hAnsi="仿宋" w:eastAsia="仿宋" w:cs="仿宋"/>
          <w:color w:val="000000"/>
          <w:spacing w:val="10"/>
          <w:kern w:val="0"/>
          <w:sz w:val="32"/>
          <w:szCs w:val="32"/>
        </w:rPr>
        <w:t>自治区人民政府关于贯彻落实</w:t>
      </w:r>
      <w:r>
        <w:rPr>
          <w:rFonts w:hint="eastAsia" w:ascii="仿宋" w:hAnsi="仿宋" w:eastAsia="仿宋" w:cs="仿宋"/>
          <w:color w:val="000000"/>
          <w:spacing w:val="10"/>
          <w:kern w:val="0"/>
          <w:sz w:val="32"/>
          <w:szCs w:val="32"/>
          <w:lang w:eastAsia="zh-CN"/>
        </w:rPr>
        <w:t>〈中共中央、国务院</w:t>
      </w:r>
      <w:r>
        <w:rPr>
          <w:rFonts w:hint="eastAsia" w:ascii="仿宋" w:hAnsi="仿宋" w:eastAsia="仿宋" w:cs="仿宋"/>
          <w:color w:val="000000"/>
          <w:spacing w:val="10"/>
          <w:kern w:val="0"/>
          <w:sz w:val="32"/>
          <w:szCs w:val="32"/>
        </w:rPr>
        <w:t>关于实现巩固</w:t>
      </w:r>
      <w:r>
        <w:rPr>
          <w:rFonts w:hint="eastAsia" w:ascii="仿宋" w:hAnsi="仿宋" w:eastAsia="仿宋" w:cs="仿宋"/>
          <w:color w:val="000000"/>
          <w:spacing w:val="1"/>
          <w:kern w:val="0"/>
          <w:sz w:val="32"/>
          <w:szCs w:val="32"/>
        </w:rPr>
        <w:t>拓展脱贫攻坚成果同乡村振兴有效衔接的意见</w:t>
      </w:r>
      <w:r>
        <w:rPr>
          <w:rFonts w:hint="eastAsia" w:ascii="仿宋" w:hAnsi="仿宋" w:eastAsia="仿宋" w:cs="仿宋"/>
          <w:color w:val="000000"/>
          <w:spacing w:val="1"/>
          <w:kern w:val="0"/>
          <w:sz w:val="32"/>
          <w:szCs w:val="32"/>
          <w:lang w:eastAsia="zh-CN"/>
        </w:rPr>
        <w:t>〉</w:t>
      </w:r>
      <w:r>
        <w:rPr>
          <w:rFonts w:hint="eastAsia" w:ascii="仿宋" w:hAnsi="仿宋" w:eastAsia="仿宋" w:cs="仿宋"/>
          <w:color w:val="000000"/>
          <w:spacing w:val="1"/>
          <w:kern w:val="0"/>
          <w:sz w:val="32"/>
          <w:szCs w:val="32"/>
        </w:rPr>
        <w:t>的实施意见》和</w:t>
      </w:r>
      <w:r>
        <w:rPr>
          <w:rFonts w:hint="eastAsia" w:ascii="仿宋" w:hAnsi="仿宋" w:eastAsia="仿宋" w:cs="仿宋"/>
          <w:color w:val="000000"/>
          <w:spacing w:val="11"/>
          <w:kern w:val="0"/>
          <w:sz w:val="32"/>
          <w:szCs w:val="32"/>
        </w:rPr>
        <w:t>第三次中央新疆工作座谈会精神,加强过渡期财政衔接推进乡</w:t>
      </w:r>
      <w:r>
        <w:rPr>
          <w:rFonts w:hint="eastAsia" w:ascii="仿宋" w:hAnsi="仿宋" w:eastAsia="仿宋" w:cs="仿宋"/>
          <w:color w:val="000000"/>
          <w:spacing w:val="18"/>
          <w:kern w:val="0"/>
          <w:sz w:val="32"/>
          <w:szCs w:val="32"/>
        </w:rPr>
        <w:t>村振兴补助资金(以下简称衔接资金)管理,按照《中华人民</w:t>
      </w:r>
      <w:r>
        <w:rPr>
          <w:rFonts w:hint="eastAsia" w:ascii="仿宋" w:hAnsi="仿宋" w:eastAsia="仿宋" w:cs="仿宋"/>
          <w:color w:val="000000"/>
          <w:spacing w:val="-10"/>
          <w:kern w:val="0"/>
          <w:sz w:val="32"/>
          <w:szCs w:val="32"/>
        </w:rPr>
        <w:t>共和国预算法》《中央财政衔接推进乡村振兴补助资金管理办法》</w:t>
      </w:r>
      <w:r>
        <w:rPr>
          <w:rFonts w:hint="eastAsia" w:ascii="仿宋" w:hAnsi="仿宋" w:eastAsia="仿宋" w:cs="仿宋"/>
          <w:color w:val="000000"/>
          <w:spacing w:val="1"/>
          <w:kern w:val="0"/>
          <w:sz w:val="32"/>
          <w:szCs w:val="32"/>
        </w:rPr>
        <w:t>等有关规定,结合自治区实际,制定本办法</w:t>
      </w:r>
      <w:r>
        <w:rPr>
          <w:rFonts w:hint="eastAsia" w:ascii="仿宋" w:hAnsi="仿宋" w:eastAsia="仿宋" w:cs="仿宋"/>
          <w:color w:val="000000"/>
          <w:spacing w:val="1"/>
          <w:kern w:val="0"/>
          <w:sz w:val="32"/>
          <w:szCs w:val="32"/>
          <w:lang w:eastAsia="zh-CN"/>
        </w:rPr>
        <w:t>。</w:t>
      </w:r>
    </w:p>
    <w:p>
      <w:pPr>
        <w:widowControl/>
        <w:kinsoku w:val="0"/>
        <w:autoSpaceDE w:val="0"/>
        <w:autoSpaceDN w:val="0"/>
        <w:adjustRightInd w:val="0"/>
        <w:snapToGrid w:val="0"/>
        <w:spacing w:before="2" w:line="355" w:lineRule="auto"/>
        <w:ind w:right="117" w:firstLine="664"/>
        <w:jc w:val="left"/>
        <w:rPr>
          <w:rFonts w:ascii="仿宋" w:hAnsi="仿宋" w:eastAsia="仿宋" w:cs="仿宋"/>
          <w:sz w:val="32"/>
          <w:szCs w:val="32"/>
        </w:rPr>
      </w:pPr>
      <w:r>
        <w:rPr>
          <w:rFonts w:hint="eastAsia" w:ascii="仿宋" w:hAnsi="仿宋" w:eastAsia="仿宋" w:cs="仿宋"/>
          <w:color w:val="000000"/>
          <w:spacing w:val="8"/>
          <w:kern w:val="0"/>
          <w:sz w:val="32"/>
          <w:szCs w:val="32"/>
        </w:rPr>
        <w:t>第二条本办法所称衔接资金是指中央和自治区通过财政公</w:t>
      </w:r>
      <w:r>
        <w:rPr>
          <w:rFonts w:hint="eastAsia" w:ascii="仿宋" w:hAnsi="仿宋" w:eastAsia="仿宋" w:cs="仿宋"/>
          <w:color w:val="000000"/>
          <w:spacing w:val="1"/>
          <w:kern w:val="0"/>
          <w:sz w:val="32"/>
          <w:szCs w:val="32"/>
        </w:rPr>
        <w:t>共预算安排,用于支持各地巩固拓展脱贫攻坚成果同</w:t>
      </w:r>
      <w:bookmarkStart w:id="11" w:name="_GoBack"/>
      <w:bookmarkEnd w:id="11"/>
      <w:r>
        <w:rPr>
          <w:rFonts w:hint="eastAsia" w:ascii="仿宋" w:hAnsi="仿宋" w:eastAsia="仿宋" w:cs="仿宋"/>
          <w:color w:val="000000"/>
          <w:spacing w:val="1"/>
          <w:kern w:val="0"/>
          <w:sz w:val="32"/>
          <w:szCs w:val="32"/>
        </w:rPr>
        <w:t>乡村振</w:t>
      </w:r>
      <w:r>
        <w:rPr>
          <w:rFonts w:hint="eastAsia" w:ascii="仿宋" w:hAnsi="仿宋" w:eastAsia="仿宋" w:cs="仿宋"/>
          <w:color w:val="000000"/>
          <w:spacing w:val="-8"/>
          <w:kern w:val="0"/>
          <w:sz w:val="32"/>
          <w:szCs w:val="32"/>
        </w:rPr>
        <w:t>兴有效衔接的资金。</w:t>
      </w:r>
    </w:p>
    <w:p>
      <w:pPr>
        <w:widowControl/>
        <w:kinsoku w:val="0"/>
        <w:autoSpaceDE w:val="0"/>
        <w:autoSpaceDN w:val="0"/>
        <w:adjustRightInd w:val="0"/>
        <w:snapToGrid w:val="0"/>
        <w:spacing w:line="444" w:lineRule="auto"/>
        <w:jc w:val="left"/>
      </w:pPr>
    </w:p>
    <w:p>
      <w:pPr>
        <w:widowControl/>
        <w:kinsoku w:val="0"/>
        <w:autoSpaceDE w:val="0"/>
        <w:autoSpaceDN w:val="0"/>
        <w:adjustRightInd w:val="0"/>
        <w:snapToGrid w:val="0"/>
        <w:spacing w:before="105" w:line="220" w:lineRule="auto"/>
        <w:ind w:firstLine="3300" w:firstLineChars="1100"/>
        <w:jc w:val="left"/>
        <w:rPr>
          <w:rFonts w:ascii="黑体" w:hAnsi="宋体" w:eastAsia="黑体" w:cs="黑体"/>
          <w:sz w:val="32"/>
          <w:szCs w:val="32"/>
        </w:rPr>
      </w:pPr>
      <w:r>
        <w:rPr>
          <w:rFonts w:hint="eastAsia" w:ascii="黑体" w:hAnsi="宋体" w:eastAsia="黑体" w:cs="黑体"/>
          <w:color w:val="000000"/>
          <w:spacing w:val="-10"/>
          <w:kern w:val="0"/>
          <w:sz w:val="32"/>
          <w:szCs w:val="32"/>
        </w:rPr>
        <w:t>第二章</w:t>
      </w:r>
      <w:r>
        <w:rPr>
          <w:rFonts w:hint="eastAsia" w:ascii="黑体" w:hAnsi="宋体" w:eastAsia="黑体" w:cs="黑体"/>
          <w:color w:val="000000"/>
          <w:spacing w:val="-10"/>
          <w:kern w:val="0"/>
          <w:sz w:val="32"/>
          <w:szCs w:val="32"/>
          <w:lang w:val="en-US" w:eastAsia="zh-CN"/>
        </w:rPr>
        <w:t xml:space="preserve"> </w:t>
      </w:r>
      <w:r>
        <w:rPr>
          <w:rFonts w:hint="eastAsia" w:ascii="黑体" w:hAnsi="宋体" w:eastAsia="黑体" w:cs="黑体"/>
          <w:color w:val="000000"/>
          <w:spacing w:val="-10"/>
          <w:kern w:val="0"/>
          <w:sz w:val="32"/>
          <w:szCs w:val="32"/>
        </w:rPr>
        <w:t>资金使用</w:t>
      </w:r>
    </w:p>
    <w:p>
      <w:pPr>
        <w:widowControl/>
        <w:kinsoku w:val="0"/>
        <w:autoSpaceDE w:val="0"/>
        <w:autoSpaceDN w:val="0"/>
        <w:adjustRightInd w:val="0"/>
        <w:snapToGrid w:val="0"/>
        <w:spacing w:before="214" w:line="364" w:lineRule="auto"/>
        <w:ind w:right="153" w:firstLine="664"/>
        <w:jc w:val="left"/>
        <w:rPr>
          <w:rFonts w:ascii="仿宋" w:hAnsi="仿宋" w:eastAsia="仿宋" w:cs="仿宋"/>
          <w:sz w:val="32"/>
          <w:szCs w:val="32"/>
        </w:rPr>
      </w:pPr>
      <w:r>
        <w:rPr>
          <w:rFonts w:hint="eastAsia" w:ascii="仿宋" w:hAnsi="仿宋" w:eastAsia="仿宋" w:cs="仿宋"/>
          <w:color w:val="000000"/>
          <w:spacing w:val="12"/>
          <w:kern w:val="0"/>
          <w:sz w:val="32"/>
          <w:szCs w:val="32"/>
        </w:rPr>
        <w:t>第三条衔接资金应当统筹安排使用,形成合力,主要用于</w:t>
      </w:r>
      <w:r>
        <w:rPr>
          <w:rFonts w:hint="eastAsia" w:ascii="仿宋" w:hAnsi="仿宋" w:eastAsia="仿宋" w:cs="仿宋"/>
          <w:color w:val="000000"/>
          <w:spacing w:val="-3"/>
          <w:kern w:val="0"/>
          <w:sz w:val="32"/>
          <w:szCs w:val="32"/>
        </w:rPr>
        <w:t>支持以下三个方面:</w:t>
      </w:r>
    </w:p>
    <w:p>
      <w:pPr>
        <w:widowControl/>
        <w:kinsoku w:val="0"/>
        <w:autoSpaceDE w:val="0"/>
        <w:autoSpaceDN w:val="0"/>
        <w:adjustRightInd w:val="0"/>
        <w:snapToGrid w:val="0"/>
        <w:spacing w:line="278" w:lineRule="auto"/>
        <w:jc w:val="left"/>
        <w:rPr>
          <w:rFonts w:hint="default" w:eastAsia="宋体"/>
          <w:lang w:val="en-US" w:eastAsia="zh-CN"/>
        </w:rPr>
      </w:pPr>
      <w:r>
        <w:rPr>
          <w:rFonts w:hint="eastAsia"/>
          <w:lang w:val="en-US" w:eastAsia="zh-CN"/>
        </w:rPr>
        <w:t xml:space="preserve">       </w:t>
      </w:r>
    </w:p>
    <w:p>
      <w:pPr>
        <w:widowControl/>
        <w:kinsoku w:val="0"/>
        <w:autoSpaceDE w:val="0"/>
        <w:autoSpaceDN w:val="0"/>
        <w:adjustRightInd w:val="0"/>
        <w:snapToGrid w:val="0"/>
        <w:spacing w:before="104" w:line="220" w:lineRule="auto"/>
        <w:ind w:firstLine="830"/>
        <w:jc w:val="left"/>
        <w:rPr>
          <w:rFonts w:hint="eastAsia" w:ascii="楷体_GB2312" w:hAnsi="楷体_GB2312" w:eastAsia="楷体_GB2312" w:cs="楷体_GB2312"/>
          <w:b/>
          <w:bCs/>
          <w:sz w:val="32"/>
          <w:szCs w:val="32"/>
          <w:lang w:eastAsia="zh-CN"/>
        </w:rPr>
      </w:pPr>
      <w:r>
        <w:rPr>
          <w:rFonts w:hint="eastAsia" w:ascii="楷体_GB2312" w:hAnsi="楷体_GB2312" w:eastAsia="楷体_GB2312" w:cs="楷体_GB2312"/>
          <w:b/>
          <w:bCs/>
          <w:color w:val="000000"/>
          <w:kern w:val="0"/>
          <w:sz w:val="32"/>
          <w:szCs w:val="32"/>
        </w:rPr>
        <w:t>(一)支持巩固拓展脱贫攻坚成果</w:t>
      </w:r>
      <w:r>
        <w:rPr>
          <w:rFonts w:hint="eastAsia" w:ascii="楷体_GB2312" w:hAnsi="楷体_GB2312" w:eastAsia="楷体_GB2312" w:cs="楷体_GB2312"/>
          <w:b/>
          <w:bCs/>
          <w:color w:val="000000"/>
          <w:kern w:val="0"/>
          <w:sz w:val="32"/>
          <w:szCs w:val="32"/>
          <w:lang w:eastAsia="zh-CN"/>
        </w:rPr>
        <w:t>。</w:t>
      </w:r>
    </w:p>
    <w:p>
      <w:pPr>
        <w:widowControl/>
        <w:kinsoku w:val="0"/>
        <w:autoSpaceDE w:val="0"/>
        <w:autoSpaceDN w:val="0"/>
        <w:adjustRightInd w:val="0"/>
        <w:snapToGrid w:val="0"/>
        <w:spacing w:before="215" w:line="348" w:lineRule="auto"/>
        <w:ind w:right="16" w:firstLine="700"/>
        <w:jc w:val="left"/>
        <w:rPr>
          <w:rFonts w:hint="eastAsia" w:ascii="仿宋" w:hAnsi="仿宋" w:eastAsia="仿宋" w:cs="仿宋"/>
          <w:color w:val="000000"/>
          <w:spacing w:val="6"/>
          <w:kern w:val="0"/>
          <w:sz w:val="32"/>
          <w:szCs w:val="32"/>
        </w:rPr>
      </w:pPr>
    </w:p>
    <w:p>
      <w:pPr>
        <w:widowControl/>
        <w:kinsoku w:val="0"/>
        <w:autoSpaceDE w:val="0"/>
        <w:autoSpaceDN w:val="0"/>
        <w:adjustRightInd w:val="0"/>
        <w:snapToGrid w:val="0"/>
        <w:spacing w:before="215" w:line="348" w:lineRule="auto"/>
        <w:ind w:right="16" w:firstLine="700"/>
        <w:jc w:val="left"/>
        <w:rPr>
          <w:rFonts w:ascii="仿宋" w:hAnsi="仿宋" w:eastAsia="仿宋" w:cs="仿宋"/>
          <w:sz w:val="32"/>
          <w:szCs w:val="32"/>
        </w:rPr>
      </w:pPr>
      <w:r>
        <w:rPr>
          <w:rFonts w:hint="eastAsia" w:ascii="仿宋" w:hAnsi="仿宋" w:eastAsia="仿宋" w:cs="仿宋"/>
          <w:color w:val="000000"/>
          <w:spacing w:val="6"/>
          <w:kern w:val="0"/>
          <w:sz w:val="32"/>
          <w:szCs w:val="32"/>
        </w:rPr>
        <w:t>1.健全防止返贫致贫监测和帮扶机制,加强监测预警,强化</w:t>
      </w:r>
      <w:r>
        <w:rPr>
          <w:rFonts w:hint="eastAsia" w:ascii="仿宋" w:hAnsi="仿宋" w:eastAsia="仿宋" w:cs="仿宋"/>
          <w:color w:val="000000"/>
          <w:spacing w:val="1"/>
          <w:kern w:val="0"/>
          <w:sz w:val="32"/>
          <w:szCs w:val="32"/>
        </w:rPr>
        <w:t xml:space="preserve">及时帮扶,对监测帮扶对象采取有针对性的预防性措施和事后帮 </w:t>
      </w:r>
      <w:r>
        <w:rPr>
          <w:rFonts w:hint="eastAsia" w:ascii="仿宋" w:hAnsi="仿宋" w:eastAsia="仿宋" w:cs="仿宋"/>
          <w:color w:val="000000"/>
          <w:spacing w:val="-6"/>
          <w:kern w:val="0"/>
          <w:sz w:val="32"/>
          <w:szCs w:val="32"/>
        </w:rPr>
        <w:t>扶措施。可安排产业发展、小额信贷贴息、生产经营和劳动技能培训、</w:t>
      </w:r>
      <w:r>
        <w:rPr>
          <w:rFonts w:hint="eastAsia" w:ascii="仿宋" w:hAnsi="仿宋" w:eastAsia="仿宋" w:cs="仿宋"/>
          <w:color w:val="000000"/>
          <w:spacing w:val="-6"/>
          <w:kern w:val="0"/>
          <w:sz w:val="32"/>
          <w:szCs w:val="32"/>
          <w:lang w:eastAsia="zh-CN"/>
        </w:rPr>
        <w:t>公益性岗位</w:t>
      </w:r>
      <w:r>
        <w:rPr>
          <w:rFonts w:hint="eastAsia" w:ascii="仿宋" w:hAnsi="仿宋" w:eastAsia="仿宋" w:cs="仿宋"/>
          <w:color w:val="000000"/>
          <w:spacing w:val="-6"/>
          <w:kern w:val="0"/>
          <w:sz w:val="32"/>
          <w:szCs w:val="32"/>
        </w:rPr>
        <w:t>补助等支出。低保、医保、养老保险、临时救助</w:t>
      </w:r>
      <w:r>
        <w:rPr>
          <w:rFonts w:hint="eastAsia" w:ascii="仿宋" w:hAnsi="仿宋" w:eastAsia="仿宋" w:cs="仿宋"/>
          <w:color w:val="000000"/>
          <w:spacing w:val="6"/>
          <w:kern w:val="0"/>
          <w:sz w:val="32"/>
          <w:szCs w:val="32"/>
        </w:rPr>
        <w:t>等综合保障措施,通过原资金渠道支持.监测预警工作经费通过</w:t>
      </w:r>
      <w:r>
        <w:rPr>
          <w:rFonts w:hint="eastAsia" w:ascii="仿宋" w:hAnsi="仿宋" w:eastAsia="仿宋" w:cs="仿宋"/>
          <w:color w:val="000000"/>
          <w:spacing w:val="-7"/>
          <w:kern w:val="0"/>
          <w:sz w:val="32"/>
          <w:szCs w:val="32"/>
        </w:rPr>
        <w:t>各级部门预算安排。</w:t>
      </w:r>
    </w:p>
    <w:p>
      <w:pPr>
        <w:widowControl/>
        <w:kinsoku w:val="0"/>
        <w:autoSpaceDE w:val="0"/>
        <w:autoSpaceDN w:val="0"/>
        <w:adjustRightInd w:val="0"/>
        <w:snapToGrid w:val="0"/>
        <w:spacing w:before="2" w:line="345" w:lineRule="auto"/>
        <w:ind w:firstLine="700"/>
        <w:jc w:val="left"/>
        <w:rPr>
          <w:rFonts w:ascii="仿宋" w:hAnsi="仿宋" w:eastAsia="仿宋" w:cs="仿宋"/>
          <w:sz w:val="32"/>
          <w:szCs w:val="32"/>
        </w:rPr>
      </w:pPr>
      <w:r>
        <w:rPr>
          <w:rFonts w:hint="eastAsia" w:ascii="仿宋" w:hAnsi="仿宋" w:eastAsia="仿宋" w:cs="仿宋"/>
          <w:color w:val="000000"/>
          <w:spacing w:val="12"/>
          <w:kern w:val="0"/>
          <w:sz w:val="32"/>
          <w:szCs w:val="32"/>
        </w:rPr>
        <w:t>2.</w:t>
      </w:r>
      <w:r>
        <w:rPr>
          <w:rFonts w:hint="eastAsia" w:ascii="仿宋" w:hAnsi="仿宋" w:eastAsia="仿宋" w:cs="仿宋"/>
          <w:color w:val="000000"/>
          <w:spacing w:val="12"/>
          <w:kern w:val="0"/>
          <w:sz w:val="32"/>
          <w:szCs w:val="32"/>
          <w:lang w:eastAsia="zh-CN"/>
        </w:rPr>
        <w:t>“十三五”</w:t>
      </w:r>
      <w:r>
        <w:rPr>
          <w:rFonts w:hint="eastAsia" w:ascii="仿宋" w:hAnsi="仿宋" w:eastAsia="仿宋" w:cs="仿宋"/>
          <w:color w:val="000000"/>
          <w:spacing w:val="12"/>
          <w:kern w:val="0"/>
          <w:sz w:val="32"/>
          <w:szCs w:val="32"/>
        </w:rPr>
        <w:t>易地扶贫搬迁后续扶持.支持实施带动搬迁群</w:t>
      </w:r>
      <w:r>
        <w:rPr>
          <w:rFonts w:hint="eastAsia" w:ascii="仿宋" w:hAnsi="仿宋" w:eastAsia="仿宋" w:cs="仿宋"/>
          <w:color w:val="000000"/>
          <w:spacing w:val="13"/>
          <w:kern w:val="0"/>
          <w:sz w:val="32"/>
          <w:szCs w:val="32"/>
        </w:rPr>
        <w:t>众发展的项目,对集中安置区聘用搬迁群众的公共服务岗位和</w:t>
      </w:r>
      <w:r>
        <w:rPr>
          <w:rFonts w:hint="eastAsia" w:ascii="仿宋" w:hAnsi="仿宋" w:eastAsia="仿宋" w:cs="仿宋"/>
          <w:color w:val="000000"/>
          <w:spacing w:val="2"/>
          <w:kern w:val="0"/>
          <w:sz w:val="32"/>
          <w:szCs w:val="32"/>
        </w:rPr>
        <w:t>“一站式</w:t>
      </w:r>
      <w:r>
        <w:rPr>
          <w:rFonts w:hint="eastAsia" w:ascii="仿宋" w:hAnsi="仿宋" w:eastAsia="仿宋" w:cs="仿宋"/>
          <w:color w:val="000000"/>
          <w:spacing w:val="2"/>
          <w:kern w:val="0"/>
          <w:sz w:val="32"/>
          <w:szCs w:val="32"/>
          <w:lang w:eastAsia="zh-CN"/>
        </w:rPr>
        <w:t>”</w:t>
      </w:r>
      <w:r>
        <w:rPr>
          <w:rFonts w:hint="eastAsia" w:ascii="仿宋" w:hAnsi="仿宋" w:eastAsia="仿宋" w:cs="仿宋"/>
          <w:color w:val="000000"/>
          <w:spacing w:val="2"/>
          <w:kern w:val="0"/>
          <w:sz w:val="32"/>
          <w:szCs w:val="32"/>
        </w:rPr>
        <w:t>社区综合服务设施建设等费用予以适当补助。对规划</w:t>
      </w:r>
      <w:r>
        <w:rPr>
          <w:rFonts w:hint="eastAsia" w:ascii="仿宋" w:hAnsi="仿宋" w:eastAsia="仿宋" w:cs="仿宋"/>
          <w:color w:val="000000"/>
          <w:spacing w:val="5"/>
          <w:kern w:val="0"/>
          <w:sz w:val="32"/>
          <w:szCs w:val="32"/>
        </w:rPr>
        <w:t>内的易地扶贫搬迁贷款和调整规范易地扶贫搬迁融资方式后的</w:t>
      </w:r>
      <w:r>
        <w:rPr>
          <w:rFonts w:hint="eastAsia" w:ascii="仿宋" w:hAnsi="仿宋" w:eastAsia="仿宋" w:cs="仿宋"/>
          <w:color w:val="000000"/>
          <w:spacing w:val="-4"/>
          <w:kern w:val="0"/>
          <w:sz w:val="32"/>
          <w:szCs w:val="32"/>
        </w:rPr>
        <w:t>地方政府债券按规定予以贴息补助。</w:t>
      </w:r>
    </w:p>
    <w:p>
      <w:pPr>
        <w:widowControl/>
        <w:kinsoku w:val="0"/>
        <w:autoSpaceDE w:val="0"/>
        <w:autoSpaceDN w:val="0"/>
        <w:adjustRightInd w:val="0"/>
        <w:snapToGrid w:val="0"/>
        <w:spacing w:before="14" w:line="345" w:lineRule="auto"/>
        <w:ind w:firstLine="700"/>
        <w:jc w:val="left"/>
        <w:rPr>
          <w:rFonts w:ascii="Arial" w:hAnsi="Arial" w:eastAsia="Arial" w:cs="Times New Roman"/>
          <w:snapToGrid w:val="0"/>
          <w:color w:val="000000"/>
          <w:szCs w:val="21"/>
        </w:rPr>
        <w:sectPr>
          <w:pgSz w:w="11910" w:h="16840"/>
          <w:pgMar w:top="1431" w:right="1509" w:bottom="400" w:left="1509" w:header="1" w:footer="1" w:gutter="0"/>
          <w:cols w:space="425" w:num="1"/>
          <w:docGrid w:type="lines" w:linePitch="312" w:charSpace="0"/>
        </w:sectPr>
      </w:pPr>
      <w:r>
        <w:rPr>
          <w:rFonts w:hint="eastAsia" w:ascii="仿宋" w:hAnsi="仿宋" w:eastAsia="仿宋" w:cs="仿宋"/>
          <w:color w:val="000000"/>
          <w:spacing w:val="8"/>
          <w:kern w:val="0"/>
          <w:sz w:val="32"/>
          <w:szCs w:val="32"/>
        </w:rPr>
        <w:t>3.外出务工脱贫劳动力(含监测帮扶对象)稳定就业.对跨</w:t>
      </w:r>
      <w:r>
        <w:rPr>
          <w:rFonts w:hint="eastAsia" w:ascii="仿宋" w:hAnsi="仿宋" w:eastAsia="仿宋" w:cs="仿宋"/>
          <w:color w:val="000000"/>
          <w:spacing w:val="7"/>
          <w:kern w:val="0"/>
          <w:sz w:val="32"/>
          <w:szCs w:val="32"/>
        </w:rPr>
        <w:t>省区就业的脱贫劳动力中央衔接资金可适当安排一次性交通补助,自治区衔接资金可对疆内跨地(州、市)就业的脱贫劳动力</w:t>
      </w:r>
      <w:r>
        <w:rPr>
          <w:rFonts w:hint="eastAsia" w:ascii="仿宋" w:hAnsi="仿宋" w:eastAsia="仿宋" w:cs="仿宋"/>
          <w:color w:val="000000"/>
          <w:spacing w:val="9"/>
          <w:kern w:val="0"/>
          <w:sz w:val="32"/>
          <w:szCs w:val="32"/>
        </w:rPr>
        <w:t>适当安排一次性交通补助.采取扶贫车间(卫星工厂)、以工代</w:t>
      </w:r>
      <w:r>
        <w:rPr>
          <w:rFonts w:hint="eastAsia" w:ascii="仿宋" w:hAnsi="仿宋" w:eastAsia="仿宋" w:cs="仿宋"/>
          <w:color w:val="000000"/>
          <w:kern w:val="0"/>
          <w:sz w:val="32"/>
          <w:szCs w:val="32"/>
        </w:rPr>
        <w:t xml:space="preserve"> 赈、生产奖补、劳务补助等方式,促进返乡在乡脱贫劳动力发展</w:t>
      </w:r>
      <w:r>
        <w:rPr>
          <w:rFonts w:hint="eastAsia" w:ascii="仿宋" w:hAnsi="仿宋" w:eastAsia="仿宋" w:cs="仿宋"/>
          <w:color w:val="000000"/>
          <w:spacing w:val="6"/>
          <w:kern w:val="0"/>
          <w:sz w:val="32"/>
          <w:szCs w:val="32"/>
        </w:rPr>
        <w:t>产业和就业增收.对稳定吸纳脱贫劳动力就业的扶贫车间(卫星</w:t>
      </w:r>
      <w:r>
        <w:rPr>
          <w:rFonts w:hint="eastAsia" w:ascii="仿宋" w:hAnsi="仿宋" w:eastAsia="仿宋" w:cs="仿宋"/>
          <w:color w:val="000000"/>
          <w:spacing w:val="1"/>
          <w:kern w:val="0"/>
          <w:sz w:val="32"/>
          <w:szCs w:val="32"/>
        </w:rPr>
        <w:t>工厂)继续给予奖补,对推进巩固拓展脱贫攻坚成果同乡村振兴</w:t>
      </w:r>
      <w:r>
        <w:rPr>
          <w:rFonts w:hint="eastAsia" w:ascii="仿宋" w:hAnsi="仿宋" w:eastAsia="仿宋" w:cs="仿宋"/>
          <w:color w:val="000000"/>
          <w:spacing w:val="-6"/>
          <w:kern w:val="0"/>
          <w:sz w:val="32"/>
          <w:szCs w:val="32"/>
        </w:rPr>
        <w:t>有效衔接的龙头企业、国有农垦企业、合作社等给予支持。继续</w:t>
      </w:r>
      <w:r>
        <w:rPr>
          <w:rFonts w:hint="eastAsia" w:ascii="仿宋" w:hAnsi="仿宋" w:eastAsia="仿宋" w:cs="仿宋"/>
          <w:color w:val="000000"/>
          <w:spacing w:val="1"/>
          <w:kern w:val="0"/>
          <w:sz w:val="32"/>
          <w:szCs w:val="32"/>
        </w:rPr>
        <w:t>向符合条件的脱贫家庭(含监测帮扶对象家庭)安排</w:t>
      </w:r>
      <w:r>
        <w:rPr>
          <w:rFonts w:hint="eastAsia" w:ascii="仿宋" w:hAnsi="仿宋" w:eastAsia="仿宋" w:cs="仿宋"/>
          <w:color w:val="000000"/>
          <w:spacing w:val="1"/>
          <w:kern w:val="0"/>
          <w:sz w:val="32"/>
          <w:szCs w:val="32"/>
          <w:lang w:eastAsia="zh-CN"/>
        </w:rPr>
        <w:t>“</w:t>
      </w:r>
      <w:r>
        <w:rPr>
          <w:rFonts w:hint="eastAsia" w:ascii="仿宋" w:hAnsi="仿宋" w:eastAsia="仿宋" w:cs="仿宋"/>
          <w:color w:val="000000"/>
          <w:spacing w:val="1"/>
          <w:kern w:val="0"/>
          <w:sz w:val="32"/>
          <w:szCs w:val="32"/>
        </w:rPr>
        <w:t>雨露计划</w:t>
      </w:r>
    </w:p>
    <w:p>
      <w:pPr>
        <w:widowControl/>
        <w:kinsoku w:val="0"/>
        <w:autoSpaceDE w:val="0"/>
        <w:autoSpaceDN w:val="0"/>
        <w:adjustRightInd w:val="0"/>
        <w:snapToGrid w:val="0"/>
        <w:spacing w:before="104" w:line="220" w:lineRule="auto"/>
        <w:jc w:val="left"/>
        <w:rPr>
          <w:rFonts w:ascii="仿宋" w:hAnsi="仿宋" w:eastAsia="仿宋" w:cs="仿宋"/>
          <w:sz w:val="32"/>
          <w:szCs w:val="32"/>
        </w:rPr>
      </w:pPr>
      <w:r>
        <w:rPr>
          <w:rFonts w:hint="eastAsia" w:ascii="仿宋" w:hAnsi="仿宋" w:eastAsia="仿宋" w:cs="仿宋"/>
          <w:color w:val="000000"/>
          <w:spacing w:val="-16"/>
          <w:kern w:val="0"/>
          <w:sz w:val="32"/>
          <w:szCs w:val="32"/>
          <w:lang w:eastAsia="zh-CN"/>
        </w:rPr>
        <w:t>”</w:t>
      </w:r>
      <w:r>
        <w:rPr>
          <w:rFonts w:hint="eastAsia" w:ascii="仿宋" w:hAnsi="仿宋" w:eastAsia="仿宋" w:cs="仿宋"/>
          <w:color w:val="000000"/>
          <w:spacing w:val="-16"/>
          <w:kern w:val="0"/>
          <w:sz w:val="32"/>
          <w:szCs w:val="32"/>
        </w:rPr>
        <w:t>补助。</w:t>
      </w:r>
    </w:p>
    <w:p>
      <w:pPr>
        <w:widowControl/>
        <w:kinsoku w:val="0"/>
        <w:autoSpaceDE w:val="0"/>
        <w:autoSpaceDN w:val="0"/>
        <w:adjustRightInd w:val="0"/>
        <w:snapToGrid w:val="0"/>
        <w:spacing w:before="203" w:line="220" w:lineRule="auto"/>
        <w:ind w:firstLine="779"/>
        <w:jc w:val="left"/>
        <w:rPr>
          <w:rFonts w:hint="eastAsia" w:ascii="楷体" w:hAnsi="楷体" w:eastAsia="楷体" w:cs="楷体"/>
          <w:b/>
          <w:bCs/>
          <w:sz w:val="32"/>
          <w:szCs w:val="32"/>
          <w:lang w:eastAsia="zh-CN"/>
        </w:rPr>
      </w:pPr>
      <w:r>
        <w:rPr>
          <w:rFonts w:hint="eastAsia" w:ascii="楷体" w:hAnsi="楷体" w:eastAsia="楷体" w:cs="楷体"/>
          <w:b/>
          <w:bCs/>
          <w:color w:val="000000"/>
          <w:spacing w:val="-1"/>
          <w:kern w:val="0"/>
          <w:sz w:val="32"/>
          <w:szCs w:val="32"/>
        </w:rPr>
        <w:t>(二)支持衔接推进乡村振兴</w:t>
      </w:r>
      <w:r>
        <w:rPr>
          <w:rFonts w:hint="eastAsia" w:ascii="楷体" w:hAnsi="楷体" w:eastAsia="楷体" w:cs="楷体"/>
          <w:b/>
          <w:bCs/>
          <w:color w:val="000000"/>
          <w:spacing w:val="-1"/>
          <w:kern w:val="0"/>
          <w:sz w:val="32"/>
          <w:szCs w:val="32"/>
          <w:lang w:eastAsia="zh-CN"/>
        </w:rPr>
        <w:t>。</w:t>
      </w:r>
    </w:p>
    <w:p>
      <w:pPr>
        <w:widowControl/>
        <w:kinsoku w:val="0"/>
        <w:autoSpaceDE w:val="0"/>
        <w:autoSpaceDN w:val="0"/>
        <w:adjustRightInd w:val="0"/>
        <w:snapToGrid w:val="0"/>
        <w:spacing w:before="215" w:line="350" w:lineRule="auto"/>
        <w:ind w:right="57" w:firstLine="650"/>
        <w:jc w:val="left"/>
        <w:rPr>
          <w:rFonts w:ascii="仿宋" w:hAnsi="仿宋" w:eastAsia="仿宋" w:cs="仿宋"/>
          <w:sz w:val="32"/>
          <w:szCs w:val="32"/>
        </w:rPr>
      </w:pPr>
      <w:r>
        <w:rPr>
          <w:rFonts w:hint="eastAsia" w:ascii="仿宋" w:hAnsi="仿宋" w:eastAsia="仿宋" w:cs="仿宋"/>
          <w:color w:val="000000"/>
          <w:kern w:val="0"/>
          <w:sz w:val="32"/>
          <w:szCs w:val="32"/>
        </w:rPr>
        <w:t>1.培育和壮大脱贫地区特色优势产业.年度到县的中央衔接</w:t>
      </w:r>
      <w:r>
        <w:rPr>
          <w:rFonts w:hint="eastAsia" w:ascii="仿宋" w:hAnsi="仿宋" w:eastAsia="仿宋" w:cs="仿宋"/>
          <w:color w:val="000000"/>
          <w:spacing w:val="6"/>
          <w:kern w:val="0"/>
          <w:sz w:val="32"/>
          <w:szCs w:val="32"/>
        </w:rPr>
        <w:t>资金原则上不低于50%用于支持特色产业发展,并逐年提高资金</w:t>
      </w:r>
      <w:r>
        <w:rPr>
          <w:rFonts w:hint="eastAsia" w:ascii="仿宋" w:hAnsi="仿宋" w:eastAsia="仿宋" w:cs="仿宋"/>
          <w:color w:val="000000"/>
          <w:spacing w:val="-7"/>
          <w:kern w:val="0"/>
          <w:sz w:val="32"/>
          <w:szCs w:val="32"/>
        </w:rPr>
        <w:t>占比。支持农业品种培优、品质提升、品牌打造。推动产销对接</w:t>
      </w:r>
      <w:r>
        <w:rPr>
          <w:rFonts w:hint="eastAsia" w:ascii="仿宋" w:hAnsi="仿宋" w:eastAsia="仿宋" w:cs="仿宋"/>
          <w:color w:val="000000"/>
          <w:spacing w:val="17"/>
          <w:kern w:val="0"/>
          <w:sz w:val="32"/>
          <w:szCs w:val="32"/>
        </w:rPr>
        <w:t>和消费帮扶,解决农产品</w:t>
      </w:r>
      <w:r>
        <w:rPr>
          <w:rFonts w:hint="eastAsia" w:ascii="仿宋" w:hAnsi="仿宋" w:eastAsia="仿宋" w:cs="仿宋"/>
          <w:color w:val="000000"/>
          <w:spacing w:val="17"/>
          <w:kern w:val="0"/>
          <w:sz w:val="32"/>
          <w:szCs w:val="32"/>
          <w:lang w:eastAsia="zh-CN"/>
        </w:rPr>
        <w:t>“</w:t>
      </w:r>
      <w:r>
        <w:rPr>
          <w:rFonts w:hint="eastAsia" w:ascii="仿宋" w:hAnsi="仿宋" w:eastAsia="仿宋" w:cs="仿宋"/>
          <w:color w:val="000000"/>
          <w:spacing w:val="17"/>
          <w:kern w:val="0"/>
          <w:sz w:val="32"/>
          <w:szCs w:val="32"/>
        </w:rPr>
        <w:t>卖难</w:t>
      </w:r>
      <w:r>
        <w:rPr>
          <w:rFonts w:hint="eastAsia" w:ascii="仿宋" w:hAnsi="仿宋" w:eastAsia="仿宋" w:cs="仿宋"/>
          <w:color w:val="000000"/>
          <w:spacing w:val="17"/>
          <w:kern w:val="0"/>
          <w:sz w:val="32"/>
          <w:szCs w:val="32"/>
          <w:lang w:eastAsia="zh-CN"/>
        </w:rPr>
        <w:t>”</w:t>
      </w:r>
      <w:r>
        <w:rPr>
          <w:rFonts w:hint="eastAsia" w:ascii="仿宋" w:hAnsi="仿宋" w:eastAsia="仿宋" w:cs="仿宋"/>
          <w:color w:val="000000"/>
          <w:spacing w:val="17"/>
          <w:kern w:val="0"/>
          <w:sz w:val="32"/>
          <w:szCs w:val="32"/>
        </w:rPr>
        <w:t>问题.支持必要的产业配套基</w:t>
      </w:r>
      <w:r>
        <w:rPr>
          <w:rFonts w:hint="eastAsia" w:ascii="仿宋" w:hAnsi="仿宋" w:eastAsia="仿宋" w:cs="仿宋"/>
          <w:color w:val="000000"/>
          <w:spacing w:val="-6"/>
          <w:kern w:val="0"/>
          <w:sz w:val="32"/>
          <w:szCs w:val="32"/>
        </w:rPr>
        <w:t>础设施建设。支持脱贫村发展壮大村级集体经济和支持欠发达国</w:t>
      </w:r>
      <w:r>
        <w:rPr>
          <w:rFonts w:hint="eastAsia" w:ascii="仿宋" w:hAnsi="仿宋" w:eastAsia="仿宋" w:cs="仿宋"/>
          <w:color w:val="000000"/>
          <w:spacing w:val="-5"/>
          <w:kern w:val="0"/>
          <w:sz w:val="32"/>
          <w:szCs w:val="32"/>
        </w:rPr>
        <w:t>有农牧林场发展国有经济。</w:t>
      </w:r>
    </w:p>
    <w:p>
      <w:pPr>
        <w:widowControl/>
        <w:kinsoku w:val="0"/>
        <w:autoSpaceDE w:val="0"/>
        <w:autoSpaceDN w:val="0"/>
        <w:adjustRightInd w:val="0"/>
        <w:snapToGrid w:val="0"/>
        <w:spacing w:before="190" w:line="345" w:lineRule="auto"/>
        <w:ind w:firstLine="650"/>
        <w:jc w:val="left"/>
        <w:rPr>
          <w:rFonts w:ascii="仿宋" w:hAnsi="仿宋" w:eastAsia="仿宋" w:cs="仿宋"/>
          <w:sz w:val="32"/>
          <w:szCs w:val="32"/>
        </w:rPr>
      </w:pPr>
      <w:r>
        <w:rPr>
          <w:rFonts w:hint="eastAsia" w:ascii="仿宋" w:hAnsi="仿宋" w:eastAsia="仿宋" w:cs="仿宋"/>
          <w:color w:val="000000"/>
          <w:spacing w:val="7"/>
          <w:kern w:val="0"/>
          <w:sz w:val="32"/>
          <w:szCs w:val="32"/>
        </w:rPr>
        <w:t>2.补齐必要的农村人居环境整治和小型公益性基础设施建设短板.主要包括水、电、路、网等农业生产配套设施,污水垃</w:t>
      </w:r>
      <w:r>
        <w:rPr>
          <w:rFonts w:hint="eastAsia" w:ascii="仿宋" w:hAnsi="仿宋" w:eastAsia="仿宋" w:cs="仿宋"/>
          <w:color w:val="000000"/>
          <w:kern w:val="0"/>
          <w:sz w:val="32"/>
          <w:szCs w:val="32"/>
        </w:rPr>
        <w:t>圾清运处理等小型公益性生活设施,以及农户庭院整治、三区分</w:t>
      </w:r>
      <w:r>
        <w:rPr>
          <w:rFonts w:hint="eastAsia" w:ascii="仿宋" w:hAnsi="仿宋" w:eastAsia="仿宋" w:cs="仿宋"/>
          <w:color w:val="000000"/>
          <w:spacing w:val="-3"/>
          <w:kern w:val="0"/>
          <w:sz w:val="32"/>
          <w:szCs w:val="32"/>
        </w:rPr>
        <w:t>离、改厨改厕、住房加固节能改造等。教育、卫生、养老服务、文化等农村基本公共服务通过原资金渠道支持。</w:t>
      </w:r>
    </w:p>
    <w:p>
      <w:pPr>
        <w:widowControl/>
        <w:kinsoku w:val="0"/>
        <w:autoSpaceDE w:val="0"/>
        <w:autoSpaceDN w:val="0"/>
        <w:adjustRightInd w:val="0"/>
        <w:snapToGrid w:val="0"/>
        <w:spacing w:line="348" w:lineRule="auto"/>
        <w:ind w:right="45" w:firstLine="650"/>
        <w:jc w:val="left"/>
        <w:rPr>
          <w:rFonts w:hint="eastAsia" w:ascii="仿宋" w:hAnsi="仿宋" w:eastAsia="仿宋" w:cs="仿宋"/>
          <w:sz w:val="32"/>
          <w:szCs w:val="32"/>
          <w:lang w:eastAsia="zh-CN"/>
        </w:rPr>
      </w:pPr>
      <w:r>
        <w:rPr>
          <w:rFonts w:hint="eastAsia" w:ascii="仿宋" w:hAnsi="仿宋" w:eastAsia="仿宋" w:cs="仿宋"/>
          <w:color w:val="000000"/>
          <w:spacing w:val="6"/>
          <w:kern w:val="0"/>
          <w:sz w:val="32"/>
          <w:szCs w:val="32"/>
        </w:rPr>
        <w:t>3.确保衔接资金完成实施兴边富民行动、人口较少民族发</w:t>
      </w:r>
      <w:r>
        <w:rPr>
          <w:rFonts w:hint="eastAsia" w:ascii="仿宋" w:hAnsi="仿宋" w:eastAsia="仿宋" w:cs="仿宋"/>
          <w:color w:val="000000"/>
          <w:spacing w:val="-5"/>
          <w:kern w:val="0"/>
          <w:sz w:val="32"/>
          <w:szCs w:val="32"/>
        </w:rPr>
        <w:t>展、少数民族特色产业和民族村寨发展、困难群众饮用低氟边销</w:t>
      </w:r>
      <w:r>
        <w:rPr>
          <w:rFonts w:hint="eastAsia" w:ascii="仿宋" w:hAnsi="仿宋" w:eastAsia="仿宋" w:cs="仿宋"/>
          <w:color w:val="000000"/>
          <w:spacing w:val="15"/>
          <w:kern w:val="0"/>
          <w:sz w:val="32"/>
          <w:szCs w:val="32"/>
        </w:rPr>
        <w:t>茶,以工代赈项目,欠发达国有农牧林场专项任务</w:t>
      </w:r>
      <w:r>
        <w:rPr>
          <w:rFonts w:hint="eastAsia" w:ascii="仿宋" w:hAnsi="仿宋" w:eastAsia="仿宋" w:cs="仿宋"/>
          <w:color w:val="000000"/>
          <w:spacing w:val="15"/>
          <w:kern w:val="0"/>
          <w:sz w:val="32"/>
          <w:szCs w:val="32"/>
          <w:lang w:eastAsia="zh-CN"/>
        </w:rPr>
        <w:t>。</w:t>
      </w:r>
    </w:p>
    <w:p>
      <w:pPr>
        <w:widowControl/>
        <w:kinsoku w:val="0"/>
        <w:autoSpaceDE w:val="0"/>
        <w:autoSpaceDN w:val="0"/>
        <w:adjustRightInd w:val="0"/>
        <w:snapToGrid w:val="0"/>
        <w:spacing w:line="348" w:lineRule="auto"/>
        <w:ind w:right="45" w:firstLine="667" w:firstLineChars="200"/>
        <w:jc w:val="left"/>
        <w:rPr>
          <w:rFonts w:hint="eastAsia" w:ascii="仿宋" w:hAnsi="仿宋" w:eastAsia="仿宋" w:cs="仿宋"/>
          <w:b/>
          <w:bCs/>
          <w:color w:val="000000"/>
          <w:spacing w:val="6"/>
          <w:kern w:val="0"/>
          <w:sz w:val="32"/>
          <w:szCs w:val="32"/>
        </w:rPr>
      </w:pPr>
      <w:r>
        <w:rPr>
          <w:rFonts w:hint="eastAsia" w:ascii="楷体" w:hAnsi="楷体" w:eastAsia="楷体" w:cs="楷体"/>
          <w:b/>
          <w:bCs/>
          <w:color w:val="000000"/>
          <w:spacing w:val="6"/>
          <w:kern w:val="0"/>
          <w:sz w:val="32"/>
          <w:szCs w:val="32"/>
        </w:rPr>
        <w:t>(三)巩固拓展脱贫攻坚成果同乡村振兴有效衔接的其他</w:t>
      </w:r>
      <w:r>
        <w:rPr>
          <w:rFonts w:hint="eastAsia" w:ascii="仿宋" w:hAnsi="仿宋" w:eastAsia="仿宋" w:cs="仿宋"/>
          <w:b/>
          <w:bCs/>
          <w:color w:val="000000"/>
          <w:spacing w:val="6"/>
          <w:kern w:val="0"/>
          <w:sz w:val="32"/>
          <w:szCs w:val="32"/>
        </w:rPr>
        <w:t>相关支出。</w:t>
      </w:r>
    </w:p>
    <w:p>
      <w:pPr>
        <w:widowControl/>
        <w:kinsoku w:val="0"/>
        <w:autoSpaceDE w:val="0"/>
        <w:autoSpaceDN w:val="0"/>
        <w:adjustRightInd w:val="0"/>
        <w:snapToGrid w:val="0"/>
        <w:spacing w:line="348" w:lineRule="auto"/>
        <w:ind w:right="45" w:firstLine="650"/>
        <w:jc w:val="left"/>
        <w:rPr>
          <w:rFonts w:hint="eastAsia" w:ascii="仿宋" w:hAnsi="仿宋" w:eastAsia="仿宋" w:cs="仿宋"/>
          <w:color w:val="000000"/>
          <w:spacing w:val="6"/>
          <w:kern w:val="0"/>
          <w:sz w:val="32"/>
          <w:szCs w:val="32"/>
        </w:rPr>
      </w:pPr>
      <w:r>
        <w:rPr>
          <w:rFonts w:hint="eastAsia" w:ascii="仿宋" w:hAnsi="仿宋" w:eastAsia="仿宋" w:cs="仿宋"/>
          <w:color w:val="000000"/>
          <w:spacing w:val="6"/>
          <w:kern w:val="0"/>
          <w:sz w:val="32"/>
          <w:szCs w:val="32"/>
        </w:rPr>
        <w:t>第四条衔接资金不得用于与巩固拓展脱贫攻坚成果和推进脱贫地区乡村振兴无关的支出。包括:</w:t>
      </w:r>
    </w:p>
    <w:p>
      <w:pPr>
        <w:widowControl/>
        <w:kinsoku w:val="0"/>
        <w:autoSpaceDE w:val="0"/>
        <w:autoSpaceDN w:val="0"/>
        <w:adjustRightInd w:val="0"/>
        <w:snapToGrid w:val="0"/>
        <w:spacing w:line="348" w:lineRule="auto"/>
        <w:ind w:right="45" w:firstLine="650"/>
        <w:jc w:val="left"/>
        <w:rPr>
          <w:rFonts w:hint="eastAsia" w:ascii="仿宋" w:hAnsi="仿宋" w:eastAsia="仿宋" w:cs="仿宋"/>
          <w:color w:val="000000"/>
          <w:spacing w:val="6"/>
          <w:kern w:val="0"/>
          <w:sz w:val="32"/>
          <w:szCs w:val="32"/>
        </w:rPr>
      </w:pPr>
      <w:r>
        <w:rPr>
          <w:rFonts w:hint="eastAsia" w:ascii="仿宋" w:hAnsi="仿宋" w:eastAsia="仿宋" w:cs="仿宋"/>
          <w:color w:val="000000"/>
          <w:spacing w:val="6"/>
          <w:kern w:val="0"/>
          <w:sz w:val="32"/>
          <w:szCs w:val="32"/>
        </w:rPr>
        <w:t>1.单位基本支出；</w:t>
      </w:r>
    </w:p>
    <w:p>
      <w:pPr>
        <w:widowControl/>
        <w:kinsoku w:val="0"/>
        <w:autoSpaceDE w:val="0"/>
        <w:autoSpaceDN w:val="0"/>
        <w:adjustRightInd w:val="0"/>
        <w:snapToGrid w:val="0"/>
        <w:spacing w:line="348" w:lineRule="auto"/>
        <w:ind w:right="45" w:firstLine="650"/>
        <w:jc w:val="left"/>
        <w:rPr>
          <w:rFonts w:hint="eastAsia" w:ascii="仿宋" w:hAnsi="仿宋" w:eastAsia="仿宋" w:cs="仿宋"/>
          <w:color w:val="000000"/>
          <w:spacing w:val="6"/>
          <w:kern w:val="0"/>
          <w:sz w:val="32"/>
          <w:szCs w:val="32"/>
        </w:rPr>
      </w:pPr>
      <w:r>
        <w:rPr>
          <w:rFonts w:hint="eastAsia" w:ascii="仿宋" w:hAnsi="仿宋" w:eastAsia="仿宋" w:cs="仿宋"/>
          <w:color w:val="000000"/>
          <w:spacing w:val="6"/>
          <w:kern w:val="0"/>
          <w:sz w:val="32"/>
          <w:szCs w:val="32"/>
        </w:rPr>
        <w:t>2.交通工具及通讯设备;</w:t>
      </w:r>
    </w:p>
    <w:p>
      <w:pPr>
        <w:widowControl/>
        <w:kinsoku w:val="0"/>
        <w:autoSpaceDE w:val="0"/>
        <w:autoSpaceDN w:val="0"/>
        <w:adjustRightInd w:val="0"/>
        <w:snapToGrid w:val="0"/>
        <w:spacing w:line="220" w:lineRule="auto"/>
        <w:ind w:firstLine="679"/>
        <w:jc w:val="left"/>
        <w:rPr>
          <w:rFonts w:ascii="仿宋" w:hAnsi="仿宋" w:eastAsia="仿宋" w:cs="仿宋"/>
          <w:sz w:val="32"/>
          <w:szCs w:val="32"/>
        </w:rPr>
      </w:pPr>
      <w:r>
        <w:rPr>
          <w:rFonts w:hint="eastAsia" w:ascii="仿宋" w:hAnsi="仿宋" w:eastAsia="仿宋" w:cs="仿宋"/>
          <w:color w:val="000000"/>
          <w:spacing w:val="-2"/>
          <w:kern w:val="0"/>
          <w:sz w:val="32"/>
          <w:szCs w:val="32"/>
        </w:rPr>
        <w:t>3.修建楼堂馆所;</w:t>
      </w:r>
    </w:p>
    <w:p>
      <w:pPr>
        <w:widowControl/>
        <w:kinsoku w:val="0"/>
        <w:autoSpaceDE w:val="0"/>
        <w:autoSpaceDN w:val="0"/>
        <w:adjustRightInd w:val="0"/>
        <w:snapToGrid w:val="0"/>
        <w:spacing w:before="214" w:line="220" w:lineRule="auto"/>
        <w:ind w:firstLine="679"/>
        <w:jc w:val="left"/>
        <w:rPr>
          <w:rFonts w:ascii="仿宋" w:hAnsi="仿宋" w:eastAsia="仿宋" w:cs="仿宋"/>
          <w:sz w:val="32"/>
          <w:szCs w:val="32"/>
        </w:rPr>
      </w:pPr>
      <w:r>
        <w:rPr>
          <w:rFonts w:hint="eastAsia" w:ascii="仿宋" w:hAnsi="仿宋" w:eastAsia="仿宋" w:cs="仿宋"/>
          <w:color w:val="000000"/>
          <w:spacing w:val="-1"/>
          <w:kern w:val="0"/>
          <w:sz w:val="32"/>
          <w:szCs w:val="32"/>
        </w:rPr>
        <w:t>4.各种奖金津贴和福利补助;</w:t>
      </w:r>
    </w:p>
    <w:p>
      <w:pPr>
        <w:widowControl/>
        <w:kinsoku w:val="0"/>
        <w:autoSpaceDE w:val="0"/>
        <w:autoSpaceDN w:val="0"/>
        <w:adjustRightInd w:val="0"/>
        <w:snapToGrid w:val="0"/>
        <w:spacing w:before="216" w:line="220" w:lineRule="auto"/>
        <w:ind w:firstLine="679"/>
        <w:jc w:val="left"/>
        <w:rPr>
          <w:rFonts w:ascii="仿宋" w:hAnsi="仿宋" w:eastAsia="仿宋" w:cs="仿宋"/>
          <w:sz w:val="32"/>
          <w:szCs w:val="32"/>
        </w:rPr>
      </w:pPr>
      <w:r>
        <w:rPr>
          <w:rFonts w:hint="eastAsia" w:ascii="仿宋" w:hAnsi="仿宋" w:eastAsia="仿宋" w:cs="仿宋"/>
          <w:color w:val="000000"/>
          <w:spacing w:val="-2"/>
          <w:kern w:val="0"/>
          <w:sz w:val="32"/>
          <w:szCs w:val="32"/>
        </w:rPr>
        <w:t>5.偿还债务和垫资;</w:t>
      </w:r>
    </w:p>
    <w:p>
      <w:pPr>
        <w:widowControl/>
        <w:kinsoku w:val="0"/>
        <w:autoSpaceDE w:val="0"/>
        <w:autoSpaceDN w:val="0"/>
        <w:adjustRightInd w:val="0"/>
        <w:snapToGrid w:val="0"/>
        <w:spacing w:before="217" w:line="220" w:lineRule="auto"/>
        <w:ind w:firstLine="679"/>
        <w:jc w:val="left"/>
        <w:rPr>
          <w:rFonts w:ascii="仿宋" w:hAnsi="仿宋" w:eastAsia="仿宋" w:cs="仿宋"/>
          <w:sz w:val="32"/>
          <w:szCs w:val="32"/>
        </w:rPr>
      </w:pPr>
      <w:r>
        <w:rPr>
          <w:rFonts w:hint="eastAsia" w:ascii="仿宋" w:hAnsi="仿宋" w:eastAsia="仿宋" w:cs="仿宋"/>
          <w:color w:val="000000"/>
          <w:spacing w:val="-2"/>
          <w:kern w:val="0"/>
          <w:sz w:val="32"/>
          <w:szCs w:val="32"/>
        </w:rPr>
        <w:t>6.弥补企业亏损;</w:t>
      </w:r>
    </w:p>
    <w:p>
      <w:pPr>
        <w:widowControl/>
        <w:kinsoku w:val="0"/>
        <w:autoSpaceDE w:val="0"/>
        <w:autoSpaceDN w:val="0"/>
        <w:adjustRightInd w:val="0"/>
        <w:snapToGrid w:val="0"/>
        <w:spacing w:before="216" w:line="348" w:lineRule="auto"/>
        <w:ind w:left="679" w:right="331"/>
        <w:jc w:val="left"/>
        <w:rPr>
          <w:rFonts w:hint="eastAsia" w:ascii="仿宋" w:hAnsi="仿宋" w:eastAsia="仿宋" w:cs="仿宋"/>
          <w:sz w:val="32"/>
          <w:szCs w:val="32"/>
          <w:lang w:eastAsia="zh-CN"/>
        </w:rPr>
      </w:pPr>
      <w:r>
        <w:rPr>
          <w:rFonts w:hint="eastAsia" w:ascii="仿宋" w:hAnsi="仿宋" w:eastAsia="仿宋" w:cs="仿宋"/>
          <w:color w:val="000000"/>
          <w:spacing w:val="-2"/>
          <w:kern w:val="0"/>
          <w:sz w:val="32"/>
          <w:szCs w:val="32"/>
        </w:rPr>
        <w:t>7.城市基础设施建设;</w:t>
      </w:r>
      <w:r>
        <w:rPr>
          <w:rFonts w:hint="eastAsia" w:ascii="仿宋" w:hAnsi="仿宋" w:eastAsia="仿宋" w:cs="仿宋"/>
          <w:color w:val="000000"/>
          <w:spacing w:val="1"/>
          <w:kern w:val="0"/>
          <w:sz w:val="32"/>
          <w:szCs w:val="32"/>
        </w:rPr>
        <w:t>8.其他与巩固拓展脱贫攻坚成果同乡村振兴无关的支出</w:t>
      </w:r>
      <w:r>
        <w:rPr>
          <w:rFonts w:hint="eastAsia" w:ascii="仿宋" w:hAnsi="仿宋" w:eastAsia="仿宋" w:cs="仿宋"/>
          <w:color w:val="000000"/>
          <w:spacing w:val="1"/>
          <w:kern w:val="0"/>
          <w:sz w:val="32"/>
          <w:szCs w:val="32"/>
          <w:lang w:eastAsia="zh-CN"/>
        </w:rPr>
        <w:t>。</w:t>
      </w:r>
    </w:p>
    <w:p>
      <w:pPr>
        <w:widowControl/>
        <w:kinsoku w:val="0"/>
        <w:autoSpaceDE w:val="0"/>
        <w:autoSpaceDN w:val="0"/>
        <w:adjustRightInd w:val="0"/>
        <w:snapToGrid w:val="0"/>
        <w:spacing w:before="2" w:line="357" w:lineRule="auto"/>
        <w:ind w:left="49" w:firstLine="630"/>
        <w:jc w:val="left"/>
        <w:rPr>
          <w:rFonts w:ascii="仿宋" w:hAnsi="仿宋" w:eastAsia="仿宋" w:cs="仿宋"/>
          <w:sz w:val="32"/>
          <w:szCs w:val="32"/>
        </w:rPr>
      </w:pPr>
      <w:r>
        <w:rPr>
          <w:rFonts w:hint="eastAsia" w:ascii="仿宋" w:hAnsi="仿宋" w:eastAsia="仿宋" w:cs="仿宋"/>
          <w:color w:val="000000"/>
          <w:spacing w:val="1"/>
          <w:kern w:val="0"/>
          <w:sz w:val="32"/>
          <w:szCs w:val="32"/>
        </w:rPr>
        <w:t>偿还易地扶贫搬迁长期低息贷款按有关计划执行;用于易地</w:t>
      </w:r>
      <w:r>
        <w:rPr>
          <w:rFonts w:hint="eastAsia" w:ascii="仿宋" w:hAnsi="仿宋" w:eastAsia="仿宋" w:cs="仿宋"/>
          <w:color w:val="000000"/>
          <w:spacing w:val="-4"/>
          <w:kern w:val="0"/>
          <w:sz w:val="32"/>
          <w:szCs w:val="32"/>
        </w:rPr>
        <w:t>扶贫搬迁的地方政府债券资金按有关规定执行。</w:t>
      </w:r>
    </w:p>
    <w:p>
      <w:pPr>
        <w:widowControl/>
        <w:kinsoku w:val="0"/>
        <w:autoSpaceDE w:val="0"/>
        <w:autoSpaceDN w:val="0"/>
        <w:adjustRightInd w:val="0"/>
        <w:snapToGrid w:val="0"/>
        <w:spacing w:line="434" w:lineRule="auto"/>
        <w:jc w:val="left"/>
      </w:pPr>
    </w:p>
    <w:p>
      <w:pPr>
        <w:widowControl/>
        <w:kinsoku w:val="0"/>
        <w:autoSpaceDE w:val="0"/>
        <w:autoSpaceDN w:val="0"/>
        <w:adjustRightInd w:val="0"/>
        <w:snapToGrid w:val="0"/>
        <w:spacing w:before="105" w:line="220" w:lineRule="auto"/>
        <w:ind w:firstLine="3194"/>
        <w:jc w:val="left"/>
        <w:rPr>
          <w:rFonts w:hint="eastAsia" w:ascii="黑体" w:hAnsi="黑体" w:eastAsia="黑体" w:cs="黑体"/>
          <w:sz w:val="32"/>
          <w:szCs w:val="32"/>
        </w:rPr>
      </w:pPr>
      <w:r>
        <w:rPr>
          <w:rFonts w:hint="eastAsia" w:ascii="黑体" w:hAnsi="黑体" w:eastAsia="黑体" w:cs="黑体"/>
          <w:color w:val="000000"/>
          <w:spacing w:val="-13"/>
          <w:kern w:val="0"/>
          <w:sz w:val="32"/>
          <w:szCs w:val="32"/>
        </w:rPr>
        <w:t>第三章</w:t>
      </w:r>
      <w:r>
        <w:rPr>
          <w:rFonts w:hint="eastAsia" w:ascii="黑体" w:hAnsi="黑体" w:eastAsia="黑体" w:cs="黑体"/>
          <w:color w:val="000000"/>
          <w:spacing w:val="-13"/>
          <w:kern w:val="0"/>
          <w:sz w:val="32"/>
          <w:szCs w:val="32"/>
          <w:lang w:val="en-US" w:eastAsia="zh-CN"/>
        </w:rPr>
        <w:t xml:space="preserve"> </w:t>
      </w:r>
      <w:r>
        <w:rPr>
          <w:rFonts w:hint="eastAsia" w:ascii="黑体" w:hAnsi="黑体" w:eastAsia="黑体" w:cs="黑体"/>
          <w:color w:val="000000"/>
          <w:spacing w:val="-13"/>
          <w:kern w:val="0"/>
          <w:sz w:val="32"/>
          <w:szCs w:val="32"/>
        </w:rPr>
        <w:t>资金管理</w:t>
      </w:r>
    </w:p>
    <w:p>
      <w:pPr>
        <w:widowControl/>
        <w:kinsoku w:val="0"/>
        <w:autoSpaceDE w:val="0"/>
        <w:autoSpaceDN w:val="0"/>
        <w:adjustRightInd w:val="0"/>
        <w:snapToGrid w:val="0"/>
        <w:spacing w:before="237" w:line="345" w:lineRule="auto"/>
        <w:ind w:left="49" w:right="13" w:firstLine="634"/>
        <w:jc w:val="left"/>
        <w:rPr>
          <w:rFonts w:hint="eastAsia" w:ascii="仿宋" w:hAnsi="仿宋" w:eastAsia="仿宋" w:cs="仿宋"/>
          <w:sz w:val="32"/>
          <w:szCs w:val="32"/>
          <w:lang w:eastAsia="zh-CN"/>
        </w:rPr>
      </w:pPr>
      <w:r>
        <w:rPr>
          <w:rFonts w:hint="eastAsia" w:ascii="仿宋" w:hAnsi="仿宋" w:eastAsia="仿宋" w:cs="仿宋"/>
          <w:color w:val="000000"/>
          <w:spacing w:val="6"/>
          <w:kern w:val="0"/>
          <w:sz w:val="32"/>
          <w:szCs w:val="32"/>
        </w:rPr>
        <w:t>第五条各级财政部门要根据巩固拓展脱贫攻坚成果同乡村</w:t>
      </w:r>
      <w:r>
        <w:rPr>
          <w:rFonts w:hint="eastAsia" w:ascii="仿宋" w:hAnsi="仿宋" w:eastAsia="仿宋" w:cs="仿宋"/>
          <w:color w:val="000000"/>
          <w:kern w:val="0"/>
          <w:sz w:val="32"/>
          <w:szCs w:val="32"/>
        </w:rPr>
        <w:t>振兴有效衔接的任务需要及财力情况,每年预算安排一定规模的</w:t>
      </w:r>
      <w:r>
        <w:rPr>
          <w:rFonts w:hint="eastAsia" w:ascii="仿宋" w:hAnsi="仿宋" w:eastAsia="仿宋" w:cs="仿宋"/>
          <w:color w:val="000000"/>
          <w:spacing w:val="11"/>
          <w:kern w:val="0"/>
          <w:sz w:val="32"/>
          <w:szCs w:val="32"/>
        </w:rPr>
        <w:t>本级衔接资金,保持投入力度总体稳定</w:t>
      </w:r>
      <w:r>
        <w:rPr>
          <w:rFonts w:hint="eastAsia" w:ascii="仿宋" w:hAnsi="仿宋" w:eastAsia="仿宋" w:cs="仿宋"/>
          <w:color w:val="000000"/>
          <w:spacing w:val="11"/>
          <w:kern w:val="0"/>
          <w:sz w:val="32"/>
          <w:szCs w:val="32"/>
          <w:lang w:eastAsia="zh-CN"/>
        </w:rPr>
        <w:t>。</w:t>
      </w:r>
    </w:p>
    <w:p>
      <w:pPr>
        <w:widowControl/>
        <w:kinsoku w:val="0"/>
        <w:autoSpaceDE w:val="0"/>
        <w:autoSpaceDN w:val="0"/>
        <w:adjustRightInd w:val="0"/>
        <w:snapToGrid w:val="0"/>
        <w:spacing w:before="5" w:line="348" w:lineRule="auto"/>
        <w:ind w:left="49" w:right="5" w:firstLine="634"/>
        <w:jc w:val="left"/>
        <w:rPr>
          <w:rFonts w:hint="eastAsia" w:ascii="Arial" w:hAnsi="Arial" w:eastAsia="仿宋" w:cs="Times New Roman"/>
          <w:snapToGrid w:val="0"/>
          <w:color w:val="000000"/>
          <w:szCs w:val="21"/>
          <w:lang w:eastAsia="zh-CN"/>
        </w:rPr>
        <w:sectPr>
          <w:pgSz w:w="11940" w:h="16860"/>
          <w:pgMar w:top="1433" w:right="1545" w:bottom="1409" w:left="1510" w:header="1" w:footer="1227" w:gutter="0"/>
          <w:cols w:space="425" w:num="1"/>
          <w:docGrid w:type="lines" w:linePitch="312" w:charSpace="0"/>
        </w:sectPr>
      </w:pPr>
      <w:r>
        <w:rPr>
          <w:rFonts w:hint="eastAsia" w:ascii="仿宋" w:hAnsi="仿宋" w:eastAsia="仿宋" w:cs="仿宋"/>
          <w:color w:val="000000"/>
          <w:spacing w:val="6"/>
          <w:kern w:val="0"/>
          <w:sz w:val="32"/>
          <w:szCs w:val="32"/>
        </w:rPr>
        <w:t>第六条衔接资金按照巩固拓展脱贫攻坚成果和乡村振兴、</w:t>
      </w:r>
      <w:r>
        <w:rPr>
          <w:rFonts w:hint="eastAsia" w:ascii="仿宋" w:hAnsi="仿宋" w:eastAsia="仿宋" w:cs="仿宋"/>
          <w:color w:val="000000"/>
          <w:spacing w:val="-6"/>
          <w:kern w:val="0"/>
          <w:sz w:val="32"/>
          <w:szCs w:val="32"/>
        </w:rPr>
        <w:t>以工代赈、少数民族发展、欠发达国有农牧林场巩固提升进行分</w:t>
      </w:r>
      <w:r>
        <w:rPr>
          <w:rFonts w:hint="eastAsia" w:ascii="仿宋" w:hAnsi="仿宋" w:eastAsia="仿宋" w:cs="仿宋"/>
          <w:color w:val="000000"/>
          <w:spacing w:val="2"/>
          <w:kern w:val="0"/>
          <w:sz w:val="32"/>
          <w:szCs w:val="32"/>
        </w:rPr>
        <w:t>配.资金分配主要按照因素法进行测算,因素和权重为:相关人</w:t>
      </w:r>
      <w:r>
        <w:rPr>
          <w:rFonts w:hint="eastAsia" w:ascii="仿宋" w:hAnsi="仿宋" w:eastAsia="仿宋" w:cs="仿宋"/>
          <w:color w:val="000000"/>
          <w:spacing w:val="9"/>
          <w:kern w:val="0"/>
          <w:sz w:val="32"/>
          <w:szCs w:val="32"/>
        </w:rPr>
        <w:t>群数量及结构30%、相关人群收入30%、政策因素30%、绩效等</w:t>
      </w:r>
      <w:r>
        <w:rPr>
          <w:rFonts w:hint="eastAsia" w:ascii="仿宋" w:hAnsi="仿宋" w:eastAsia="仿宋" w:cs="仿宋"/>
          <w:color w:val="000000"/>
          <w:spacing w:val="6"/>
          <w:kern w:val="0"/>
          <w:sz w:val="32"/>
          <w:szCs w:val="32"/>
        </w:rPr>
        <w:t>考核结果10%,可根据当年中央或自治区党委、自治区人民政府</w:t>
      </w:r>
      <w:r>
        <w:rPr>
          <w:rFonts w:hint="eastAsia" w:ascii="仿宋" w:hAnsi="仿宋" w:eastAsia="仿宋" w:cs="仿宋"/>
          <w:color w:val="000000"/>
          <w:spacing w:val="-6"/>
          <w:kern w:val="0"/>
          <w:sz w:val="32"/>
          <w:szCs w:val="32"/>
        </w:rPr>
        <w:t>重点工作任务并进行综合平衡。各项任务按照上述因素分别确定</w:t>
      </w:r>
      <w:r>
        <w:rPr>
          <w:rFonts w:hint="eastAsia" w:ascii="仿宋" w:hAnsi="仿宋" w:eastAsia="仿宋" w:cs="仿宋"/>
          <w:color w:val="000000"/>
          <w:spacing w:val="-7"/>
          <w:kern w:val="0"/>
          <w:sz w:val="32"/>
          <w:szCs w:val="32"/>
        </w:rPr>
        <w:t>具体测算指标(详见附件)</w:t>
      </w:r>
    </w:p>
    <w:p>
      <w:pPr>
        <w:widowControl/>
        <w:kinsoku w:val="0"/>
        <w:autoSpaceDE w:val="0"/>
        <w:autoSpaceDN w:val="0"/>
        <w:adjustRightInd w:val="0"/>
        <w:snapToGrid w:val="0"/>
        <w:spacing w:line="259" w:lineRule="auto"/>
        <w:jc w:val="left"/>
      </w:pPr>
    </w:p>
    <w:p>
      <w:pPr>
        <w:widowControl/>
        <w:kinsoku w:val="0"/>
        <w:autoSpaceDE w:val="0"/>
        <w:autoSpaceDN w:val="0"/>
        <w:adjustRightInd w:val="0"/>
        <w:snapToGrid w:val="0"/>
        <w:spacing w:before="104" w:line="350" w:lineRule="auto"/>
        <w:ind w:right="86" w:firstLine="664"/>
        <w:jc w:val="left"/>
        <w:rPr>
          <w:rFonts w:ascii="仿宋" w:hAnsi="仿宋" w:eastAsia="仿宋" w:cs="仿宋"/>
          <w:sz w:val="32"/>
          <w:szCs w:val="32"/>
        </w:rPr>
      </w:pPr>
      <w:r>
        <w:rPr>
          <w:rFonts w:hint="eastAsia" w:ascii="仿宋" w:hAnsi="仿宋" w:eastAsia="仿宋" w:cs="仿宋"/>
          <w:color w:val="000000"/>
          <w:spacing w:val="13"/>
          <w:kern w:val="0"/>
          <w:sz w:val="32"/>
          <w:szCs w:val="32"/>
        </w:rPr>
        <w:t>第七条衔接资金安排应综合考虑脱贫县规模和分布,兼顾</w:t>
      </w:r>
      <w:r>
        <w:rPr>
          <w:rFonts w:hint="eastAsia" w:ascii="仿宋" w:hAnsi="仿宋" w:eastAsia="仿宋" w:cs="仿宋"/>
          <w:color w:val="000000"/>
          <w:kern w:val="0"/>
          <w:sz w:val="32"/>
          <w:szCs w:val="32"/>
        </w:rPr>
        <w:t>脱贫县和非贫困县的实际情况,对国家和自治区乡村振兴重点帮</w:t>
      </w:r>
      <w:r>
        <w:rPr>
          <w:rFonts w:hint="eastAsia" w:ascii="仿宋" w:hAnsi="仿宋" w:eastAsia="仿宋" w:cs="仿宋"/>
          <w:color w:val="000000"/>
          <w:spacing w:val="6"/>
          <w:kern w:val="0"/>
          <w:sz w:val="32"/>
          <w:szCs w:val="32"/>
        </w:rPr>
        <w:t>扶县予以倾斜.衔接资金项目审批权限下放到县级,强化县级管</w:t>
      </w:r>
      <w:r>
        <w:rPr>
          <w:rFonts w:hint="eastAsia" w:ascii="仿宋" w:hAnsi="仿宋" w:eastAsia="仿宋" w:cs="仿宋"/>
          <w:color w:val="000000"/>
          <w:spacing w:val="12"/>
          <w:kern w:val="0"/>
          <w:sz w:val="32"/>
          <w:szCs w:val="32"/>
        </w:rPr>
        <w:t>理责任,县级可统筹安排不超过30%的到县衔接资金,支持非贫</w:t>
      </w:r>
      <w:r>
        <w:rPr>
          <w:rFonts w:hint="eastAsia" w:ascii="仿宋" w:hAnsi="仿宋" w:eastAsia="仿宋" w:cs="仿宋"/>
          <w:color w:val="000000"/>
          <w:spacing w:val="-6"/>
          <w:kern w:val="0"/>
          <w:sz w:val="32"/>
          <w:szCs w:val="32"/>
        </w:rPr>
        <w:t>困村发展产业、补齐必要的基础设施短板及县级乡村振兴规划相</w:t>
      </w:r>
      <w:r>
        <w:rPr>
          <w:rFonts w:hint="eastAsia" w:ascii="仿宋" w:hAnsi="仿宋" w:eastAsia="仿宋" w:cs="仿宋"/>
          <w:color w:val="000000"/>
          <w:spacing w:val="-14"/>
          <w:kern w:val="0"/>
          <w:sz w:val="32"/>
          <w:szCs w:val="32"/>
        </w:rPr>
        <w:t>关项目。</w:t>
      </w:r>
    </w:p>
    <w:p>
      <w:pPr>
        <w:widowControl/>
        <w:kinsoku w:val="0"/>
        <w:autoSpaceDE w:val="0"/>
        <w:autoSpaceDN w:val="0"/>
        <w:adjustRightInd w:val="0"/>
        <w:snapToGrid w:val="0"/>
        <w:spacing w:before="171" w:line="350" w:lineRule="auto"/>
        <w:ind w:right="74" w:firstLine="664"/>
        <w:jc w:val="left"/>
        <w:rPr>
          <w:rFonts w:hint="eastAsia" w:ascii="仿宋" w:hAnsi="仿宋" w:eastAsia="仿宋" w:cs="仿宋"/>
          <w:sz w:val="32"/>
          <w:szCs w:val="32"/>
          <w:lang w:eastAsia="zh-CN"/>
        </w:rPr>
      </w:pPr>
      <w:r>
        <w:rPr>
          <w:rFonts w:hint="eastAsia" w:ascii="仿宋" w:hAnsi="仿宋" w:eastAsia="仿宋" w:cs="仿宋"/>
          <w:color w:val="000000"/>
          <w:spacing w:val="8"/>
          <w:kern w:val="0"/>
          <w:sz w:val="32"/>
          <w:szCs w:val="32"/>
        </w:rPr>
        <w:t>第八条各地要建立完善巩固拓展脱贫攻坚成果和乡村振兴</w:t>
      </w:r>
      <w:r>
        <w:rPr>
          <w:rFonts w:hint="eastAsia" w:ascii="仿宋" w:hAnsi="仿宋" w:eastAsia="仿宋" w:cs="仿宋"/>
          <w:color w:val="000000"/>
          <w:spacing w:val="12"/>
          <w:kern w:val="0"/>
          <w:sz w:val="32"/>
          <w:szCs w:val="32"/>
        </w:rPr>
        <w:t>项目库,提前做好项目储备,严格项目论证入库,衔接资金支持</w:t>
      </w:r>
      <w:r>
        <w:rPr>
          <w:rFonts w:hint="eastAsia" w:ascii="仿宋" w:hAnsi="仿宋" w:eastAsia="仿宋" w:cs="仿宋"/>
          <w:color w:val="000000"/>
          <w:spacing w:val="5"/>
          <w:kern w:val="0"/>
          <w:sz w:val="32"/>
          <w:szCs w:val="32"/>
        </w:rPr>
        <w:t>的项目原则上要从项目库选择,且符合本办法要求.属于政府采购管理范围的项目,执行政府采购相关规定.村级微小型项目可</w:t>
      </w:r>
      <w:r>
        <w:rPr>
          <w:rFonts w:hint="eastAsia" w:ascii="仿宋" w:hAnsi="仿宋" w:eastAsia="仿宋" w:cs="仿宋"/>
          <w:color w:val="000000"/>
          <w:spacing w:val="-5"/>
          <w:kern w:val="0"/>
          <w:sz w:val="32"/>
          <w:szCs w:val="32"/>
        </w:rPr>
        <w:t>按照村民民主议事方式直接委托村级组织自建自营。各地要加强</w:t>
      </w:r>
      <w:r>
        <w:rPr>
          <w:rFonts w:hint="eastAsia" w:ascii="仿宋" w:hAnsi="仿宋" w:eastAsia="仿宋" w:cs="仿宋"/>
          <w:color w:val="000000"/>
          <w:spacing w:val="7"/>
          <w:kern w:val="0"/>
          <w:sz w:val="32"/>
          <w:szCs w:val="32"/>
        </w:rPr>
        <w:t>衔接资金和项目管理,落实绩效管理要求,全面推行公开公示制</w:t>
      </w:r>
      <w:r>
        <w:rPr>
          <w:rFonts w:hint="eastAsia" w:ascii="仿宋" w:hAnsi="仿宋" w:eastAsia="仿宋" w:cs="仿宋"/>
          <w:color w:val="000000"/>
          <w:spacing w:val="17"/>
          <w:w w:val="101"/>
          <w:kern w:val="0"/>
          <w:sz w:val="32"/>
          <w:szCs w:val="32"/>
        </w:rPr>
        <w:t>度,加快预算执行,提高资金使用效益</w:t>
      </w:r>
      <w:r>
        <w:rPr>
          <w:rFonts w:hint="eastAsia" w:ascii="仿宋" w:hAnsi="仿宋" w:eastAsia="仿宋" w:cs="仿宋"/>
          <w:color w:val="000000"/>
          <w:spacing w:val="17"/>
          <w:w w:val="101"/>
          <w:kern w:val="0"/>
          <w:sz w:val="32"/>
          <w:szCs w:val="32"/>
          <w:lang w:eastAsia="zh-CN"/>
        </w:rPr>
        <w:t>。</w:t>
      </w:r>
    </w:p>
    <w:p>
      <w:pPr>
        <w:widowControl/>
        <w:kinsoku w:val="0"/>
        <w:autoSpaceDE w:val="0"/>
        <w:autoSpaceDN w:val="0"/>
        <w:adjustRightInd w:val="0"/>
        <w:snapToGrid w:val="0"/>
        <w:spacing w:before="177" w:line="348" w:lineRule="auto"/>
        <w:ind w:right="76" w:firstLine="664"/>
        <w:jc w:val="left"/>
        <w:rPr>
          <w:rFonts w:ascii="仿宋" w:hAnsi="仿宋" w:eastAsia="仿宋" w:cs="仿宋"/>
          <w:sz w:val="32"/>
          <w:szCs w:val="32"/>
        </w:rPr>
      </w:pPr>
      <w:r>
        <w:rPr>
          <w:rFonts w:hint="eastAsia" w:ascii="仿宋" w:hAnsi="仿宋" w:eastAsia="仿宋" w:cs="仿宋"/>
          <w:color w:val="000000"/>
          <w:spacing w:val="14"/>
          <w:kern w:val="0"/>
          <w:sz w:val="32"/>
          <w:szCs w:val="32"/>
        </w:rPr>
        <w:t>第九条县级可根据衔接资金项目管理工作需要,从衔接资</w:t>
      </w:r>
      <w:r>
        <w:rPr>
          <w:rFonts w:hint="eastAsia" w:ascii="仿宋" w:hAnsi="仿宋" w:eastAsia="仿宋" w:cs="仿宋"/>
          <w:color w:val="000000"/>
          <w:spacing w:val="17"/>
          <w:kern w:val="0"/>
          <w:sz w:val="32"/>
          <w:szCs w:val="32"/>
        </w:rPr>
        <w:t>金中,按最高不超过1%的比例据实列支项目管理费.项目管理</w:t>
      </w:r>
      <w:r>
        <w:rPr>
          <w:rFonts w:hint="eastAsia" w:ascii="仿宋" w:hAnsi="仿宋" w:eastAsia="仿宋" w:cs="仿宋"/>
          <w:color w:val="000000"/>
          <w:spacing w:val="-6"/>
          <w:kern w:val="0"/>
          <w:sz w:val="32"/>
          <w:szCs w:val="32"/>
        </w:rPr>
        <w:t>费主要用于项目前期设计、评审、招标、监理以及验收等与项目</w:t>
      </w:r>
      <w:r>
        <w:rPr>
          <w:rFonts w:hint="eastAsia" w:ascii="仿宋" w:hAnsi="仿宋" w:eastAsia="仿宋" w:cs="仿宋"/>
          <w:color w:val="000000"/>
          <w:spacing w:val="-9"/>
          <w:kern w:val="0"/>
          <w:sz w:val="32"/>
          <w:szCs w:val="32"/>
        </w:rPr>
        <w:t>管理相关的支出。</w:t>
      </w:r>
    </w:p>
    <w:p>
      <w:pPr>
        <w:widowControl/>
        <w:kinsoku w:val="0"/>
        <w:autoSpaceDE w:val="0"/>
        <w:autoSpaceDN w:val="0"/>
        <w:adjustRightInd w:val="0"/>
        <w:snapToGrid w:val="0"/>
        <w:spacing w:before="5" w:line="352" w:lineRule="auto"/>
        <w:ind w:firstLine="664"/>
        <w:jc w:val="left"/>
        <w:rPr>
          <w:rFonts w:ascii="仿宋" w:hAnsi="仿宋" w:eastAsia="仿宋" w:cs="仿宋"/>
          <w:sz w:val="32"/>
          <w:szCs w:val="32"/>
        </w:rPr>
      </w:pPr>
      <w:r>
        <w:rPr>
          <w:rFonts w:hint="eastAsia" w:ascii="仿宋" w:hAnsi="仿宋" w:eastAsia="仿宋" w:cs="仿宋"/>
          <w:color w:val="000000"/>
          <w:spacing w:val="6"/>
          <w:kern w:val="0"/>
          <w:sz w:val="32"/>
          <w:szCs w:val="32"/>
        </w:rPr>
        <w:t xml:space="preserve">第十条各级财政部门负责预算安排、审核资金分配建议方 </w:t>
      </w:r>
      <w:r>
        <w:rPr>
          <w:rFonts w:hint="eastAsia" w:ascii="仿宋" w:hAnsi="仿宋" w:eastAsia="仿宋" w:cs="仿宋"/>
          <w:color w:val="000000"/>
          <w:spacing w:val="-7"/>
          <w:kern w:val="0"/>
          <w:sz w:val="32"/>
          <w:szCs w:val="32"/>
        </w:rPr>
        <w:t>案和下达资金,指导各级乡村振兴、发展改革、民委、农业农村、</w:t>
      </w:r>
      <w:r>
        <w:rPr>
          <w:rFonts w:hint="eastAsia" w:ascii="仿宋" w:hAnsi="仿宋" w:eastAsia="仿宋" w:cs="仿宋"/>
          <w:color w:val="000000"/>
          <w:kern w:val="0"/>
          <w:sz w:val="32"/>
          <w:szCs w:val="32"/>
        </w:rPr>
        <w:t xml:space="preserve">林草等行业主管部门(以下简称行业主管部门)加强资金监管和 </w:t>
      </w:r>
      <w:r>
        <w:rPr>
          <w:rFonts w:hint="eastAsia" w:ascii="仿宋" w:hAnsi="仿宋" w:eastAsia="仿宋" w:cs="仿宋"/>
          <w:color w:val="000000"/>
          <w:spacing w:val="-5"/>
          <w:kern w:val="0"/>
          <w:sz w:val="32"/>
          <w:szCs w:val="32"/>
        </w:rPr>
        <w:t>绩效管理。各级行业主管部门负责提出资金分配建议方案、资金</w:t>
      </w:r>
    </w:p>
    <w:p>
      <w:pPr>
        <w:rPr>
          <w:rFonts w:ascii="Arial" w:hAnsi="Arial" w:eastAsia="Arial" w:cs="Times New Roman"/>
          <w:snapToGrid w:val="0"/>
          <w:color w:val="000000"/>
          <w:szCs w:val="21"/>
        </w:rPr>
      </w:pPr>
    </w:p>
    <w:p>
      <w:pPr>
        <w:widowControl/>
        <w:kinsoku w:val="0"/>
        <w:autoSpaceDE w:val="0"/>
        <w:autoSpaceDN w:val="0"/>
        <w:adjustRightInd w:val="0"/>
        <w:snapToGrid w:val="0"/>
        <w:spacing w:before="104" w:line="345" w:lineRule="auto"/>
        <w:ind w:left="49" w:right="160"/>
        <w:jc w:val="left"/>
        <w:rPr>
          <w:rFonts w:ascii="仿宋" w:hAnsi="仿宋" w:eastAsia="仿宋" w:cs="仿宋"/>
          <w:sz w:val="32"/>
          <w:szCs w:val="32"/>
        </w:rPr>
      </w:pPr>
      <w:r>
        <w:rPr>
          <w:rFonts w:hint="eastAsia" w:ascii="仿宋" w:hAnsi="仿宋" w:eastAsia="仿宋" w:cs="仿宋"/>
          <w:color w:val="000000"/>
          <w:kern w:val="0"/>
          <w:sz w:val="32"/>
          <w:szCs w:val="32"/>
        </w:rPr>
        <w:t>和项目使用管理、绩效管理、监督管理等工作,按照权责对等原</w:t>
      </w:r>
      <w:r>
        <w:rPr>
          <w:rFonts w:hint="eastAsia" w:ascii="仿宋" w:hAnsi="仿宋" w:eastAsia="仿宋" w:cs="仿宋"/>
          <w:color w:val="000000"/>
          <w:spacing w:val="-8"/>
          <w:kern w:val="0"/>
          <w:sz w:val="32"/>
          <w:szCs w:val="32"/>
        </w:rPr>
        <w:t>则落实监管责任。</w:t>
      </w:r>
    </w:p>
    <w:p>
      <w:pPr>
        <w:widowControl/>
        <w:kinsoku w:val="0"/>
        <w:autoSpaceDE w:val="0"/>
        <w:autoSpaceDN w:val="0"/>
        <w:adjustRightInd w:val="0"/>
        <w:snapToGrid w:val="0"/>
        <w:spacing w:before="2" w:line="345" w:lineRule="auto"/>
        <w:ind w:left="49" w:firstLine="654"/>
        <w:jc w:val="left"/>
        <w:rPr>
          <w:rFonts w:ascii="仿宋" w:hAnsi="仿宋" w:eastAsia="仿宋" w:cs="仿宋"/>
          <w:sz w:val="32"/>
          <w:szCs w:val="32"/>
        </w:rPr>
      </w:pPr>
      <w:r>
        <w:rPr>
          <w:rFonts w:hint="eastAsia" w:ascii="仿宋" w:hAnsi="仿宋" w:eastAsia="仿宋" w:cs="仿宋"/>
          <w:color w:val="000000"/>
          <w:spacing w:val="6"/>
          <w:kern w:val="0"/>
          <w:sz w:val="32"/>
          <w:szCs w:val="32"/>
        </w:rPr>
        <w:t>第十一条自治区乡村振兴、发展改革、民委、农业农村、林草等行业主管部门在收到资金文件或财政厅告知函后10日内,</w:t>
      </w:r>
      <w:r>
        <w:rPr>
          <w:rFonts w:hint="eastAsia" w:ascii="仿宋" w:hAnsi="仿宋" w:eastAsia="仿宋" w:cs="仿宋"/>
          <w:color w:val="000000"/>
          <w:spacing w:val="18"/>
          <w:kern w:val="0"/>
          <w:sz w:val="32"/>
          <w:szCs w:val="32"/>
        </w:rPr>
        <w:t>提出资金分配方案正式行文报财政厅;财政厅在15日内,按程</w:t>
      </w:r>
      <w:r>
        <w:rPr>
          <w:rFonts w:hint="eastAsia" w:ascii="仿宋" w:hAnsi="仿宋" w:eastAsia="仿宋" w:cs="仿宋"/>
          <w:color w:val="000000"/>
          <w:spacing w:val="13"/>
          <w:kern w:val="0"/>
          <w:sz w:val="32"/>
          <w:szCs w:val="32"/>
        </w:rPr>
        <w:t>序审核分配方案,报请自治区人民政府审定后,下达资金,并抄</w:t>
      </w:r>
      <w:r>
        <w:rPr>
          <w:rFonts w:hint="eastAsia" w:ascii="仿宋" w:hAnsi="仿宋" w:eastAsia="仿宋" w:cs="仿宋"/>
          <w:color w:val="000000"/>
          <w:spacing w:val="-5"/>
          <w:kern w:val="0"/>
          <w:sz w:val="32"/>
          <w:szCs w:val="32"/>
        </w:rPr>
        <w:t>送财政部新疆监管局。</w:t>
      </w:r>
    </w:p>
    <w:p>
      <w:pPr>
        <w:widowControl/>
        <w:kinsoku w:val="0"/>
        <w:autoSpaceDE w:val="0"/>
        <w:autoSpaceDN w:val="0"/>
        <w:adjustRightInd w:val="0"/>
        <w:snapToGrid w:val="0"/>
        <w:spacing w:line="629" w:lineRule="exact"/>
        <w:ind w:firstLine="699"/>
        <w:jc w:val="left"/>
        <w:rPr>
          <w:rFonts w:ascii="仿宋" w:hAnsi="仿宋" w:eastAsia="仿宋" w:cs="仿宋"/>
          <w:sz w:val="32"/>
          <w:szCs w:val="32"/>
        </w:rPr>
      </w:pPr>
      <w:r>
        <w:rPr>
          <w:rFonts w:hint="eastAsia" w:ascii="仿宋" w:hAnsi="仿宋" w:eastAsia="仿宋" w:cs="仿宋"/>
          <w:color w:val="000000"/>
          <w:spacing w:val="1"/>
          <w:kern w:val="0"/>
          <w:position w:val="23"/>
          <w:sz w:val="32"/>
          <w:szCs w:val="32"/>
        </w:rPr>
        <w:t>地州市财政部门在收到资金文件后,要及时书面通知同级行</w:t>
      </w:r>
    </w:p>
    <w:p>
      <w:pPr>
        <w:widowControl/>
        <w:kinsoku w:val="0"/>
        <w:autoSpaceDE w:val="0"/>
        <w:autoSpaceDN w:val="0"/>
        <w:adjustRightInd w:val="0"/>
        <w:snapToGrid w:val="0"/>
        <w:spacing w:line="218" w:lineRule="auto"/>
        <w:ind w:firstLine="49"/>
        <w:jc w:val="left"/>
        <w:rPr>
          <w:rFonts w:ascii="仿宋" w:hAnsi="仿宋" w:eastAsia="仿宋" w:cs="仿宋"/>
          <w:sz w:val="32"/>
          <w:szCs w:val="32"/>
        </w:rPr>
      </w:pPr>
      <w:r>
        <w:rPr>
          <w:rFonts w:hint="eastAsia" w:ascii="仿宋" w:hAnsi="仿宋" w:eastAsia="仿宋" w:cs="仿宋"/>
          <w:color w:val="000000"/>
          <w:kern w:val="0"/>
          <w:sz w:val="32"/>
          <w:szCs w:val="32"/>
        </w:rPr>
        <w:t>业主管部门,在5日内将指标或资金及时下达到有关县(市、区).</w:t>
      </w:r>
    </w:p>
    <w:p>
      <w:pPr>
        <w:widowControl/>
        <w:kinsoku w:val="0"/>
        <w:autoSpaceDE w:val="0"/>
        <w:autoSpaceDN w:val="0"/>
        <w:adjustRightInd w:val="0"/>
        <w:snapToGrid w:val="0"/>
        <w:spacing w:before="212" w:line="345" w:lineRule="auto"/>
        <w:ind w:left="49" w:right="171" w:firstLine="650"/>
        <w:jc w:val="left"/>
        <w:rPr>
          <w:rFonts w:ascii="仿宋" w:hAnsi="仿宋" w:eastAsia="仿宋" w:cs="仿宋"/>
          <w:sz w:val="32"/>
          <w:szCs w:val="32"/>
        </w:rPr>
      </w:pPr>
      <w:r>
        <w:rPr>
          <w:rFonts w:hint="eastAsia" w:ascii="仿宋" w:hAnsi="仿宋" w:eastAsia="仿宋" w:cs="仿宋"/>
          <w:color w:val="000000"/>
          <w:kern w:val="0"/>
          <w:sz w:val="32"/>
          <w:szCs w:val="32"/>
        </w:rPr>
        <w:t>县级财政部门在收到资金文件后,要及时书面通知同级行业主管部门,并由县级行业主管部门会同财政部门根据年度巩固拓展脱贫攻坚成果同乡村振兴有效衔接工作任务,从项目库中遴选</w:t>
      </w:r>
      <w:r>
        <w:rPr>
          <w:rFonts w:hint="eastAsia" w:ascii="仿宋" w:hAnsi="仿宋" w:eastAsia="仿宋" w:cs="仿宋"/>
          <w:color w:val="000000"/>
          <w:spacing w:val="6"/>
          <w:kern w:val="0"/>
          <w:sz w:val="32"/>
          <w:szCs w:val="32"/>
        </w:rPr>
        <w:t>项目,及时拟定年度项目计划或资金使用方案,并逐级上报行业</w:t>
      </w:r>
      <w:r>
        <w:rPr>
          <w:rFonts w:hint="eastAsia" w:ascii="仿宋" w:hAnsi="仿宋" w:eastAsia="仿宋" w:cs="仿宋"/>
          <w:color w:val="000000"/>
          <w:spacing w:val="-9"/>
          <w:kern w:val="0"/>
          <w:sz w:val="32"/>
          <w:szCs w:val="32"/>
        </w:rPr>
        <w:t>主管部门备案。</w:t>
      </w:r>
    </w:p>
    <w:p>
      <w:pPr>
        <w:widowControl/>
        <w:kinsoku w:val="0"/>
        <w:autoSpaceDE w:val="0"/>
        <w:autoSpaceDN w:val="0"/>
        <w:adjustRightInd w:val="0"/>
        <w:snapToGrid w:val="0"/>
        <w:spacing w:before="5" w:line="343" w:lineRule="auto"/>
        <w:ind w:left="49" w:right="104" w:firstLine="654"/>
        <w:jc w:val="left"/>
        <w:rPr>
          <w:rFonts w:ascii="仿宋" w:hAnsi="仿宋" w:eastAsia="仿宋" w:cs="仿宋"/>
          <w:sz w:val="32"/>
          <w:szCs w:val="32"/>
        </w:rPr>
      </w:pPr>
      <w:r>
        <w:rPr>
          <w:rFonts w:hint="eastAsia" w:ascii="仿宋" w:hAnsi="仿宋" w:eastAsia="仿宋" w:cs="仿宋"/>
          <w:color w:val="000000"/>
          <w:spacing w:val="15"/>
          <w:kern w:val="0"/>
          <w:sz w:val="32"/>
          <w:szCs w:val="32"/>
        </w:rPr>
        <w:t>第十二条各级财政部门按照工作职责和工作要求,对衔接</w:t>
      </w:r>
      <w:r>
        <w:rPr>
          <w:rFonts w:hint="eastAsia" w:ascii="仿宋" w:hAnsi="仿宋" w:eastAsia="仿宋" w:cs="仿宋"/>
          <w:color w:val="000000"/>
          <w:spacing w:val="-6"/>
          <w:kern w:val="0"/>
          <w:sz w:val="32"/>
          <w:szCs w:val="32"/>
        </w:rPr>
        <w:t>资金使用管理情况进行监管。各级财政和行业主管部门按要求配合审计、纪检监察、检察机关做好衔接资金和项目的审计、检查</w:t>
      </w:r>
      <w:r>
        <w:rPr>
          <w:rFonts w:hint="eastAsia" w:ascii="仿宋" w:hAnsi="仿宋" w:eastAsia="仿宋" w:cs="仿宋"/>
          <w:color w:val="000000"/>
          <w:spacing w:val="-15"/>
          <w:kern w:val="0"/>
          <w:sz w:val="32"/>
          <w:szCs w:val="32"/>
        </w:rPr>
        <w:t>等工作。</w:t>
      </w:r>
    </w:p>
    <w:p>
      <w:pPr>
        <w:widowControl/>
        <w:kinsoku w:val="0"/>
        <w:autoSpaceDE w:val="0"/>
        <w:autoSpaceDN w:val="0"/>
        <w:adjustRightInd w:val="0"/>
        <w:snapToGrid w:val="0"/>
        <w:spacing w:before="104" w:line="348" w:lineRule="auto"/>
        <w:ind w:right="41" w:firstLine="636" w:firstLineChars="200"/>
        <w:jc w:val="left"/>
        <w:rPr>
          <w:rFonts w:hint="eastAsia" w:ascii="仿宋" w:hAnsi="仿宋" w:eastAsia="仿宋" w:cs="仿宋"/>
          <w:sz w:val="32"/>
          <w:szCs w:val="32"/>
          <w:lang w:eastAsia="zh-CN"/>
        </w:rPr>
      </w:pPr>
      <w:r>
        <w:rPr>
          <w:rFonts w:hint="eastAsia" w:ascii="仿宋" w:hAnsi="仿宋" w:eastAsia="仿宋" w:cs="仿宋"/>
          <w:color w:val="000000"/>
          <w:spacing w:val="-1"/>
          <w:kern w:val="0"/>
          <w:sz w:val="32"/>
          <w:szCs w:val="32"/>
        </w:rPr>
        <w:t>第十三条 衔接资金实行国库集中支付管理。各级财政部门</w:t>
      </w:r>
      <w:r>
        <w:rPr>
          <w:rFonts w:hint="eastAsia" w:ascii="仿宋" w:hAnsi="仿宋" w:eastAsia="仿宋" w:cs="仿宋"/>
          <w:color w:val="000000"/>
          <w:spacing w:val="1"/>
          <w:kern w:val="0"/>
          <w:sz w:val="32"/>
          <w:szCs w:val="32"/>
        </w:rPr>
        <w:t>应当按照国库集中支付制度的有关规定和政府采购程序,及时办</w:t>
      </w:r>
      <w:r>
        <w:rPr>
          <w:rFonts w:hint="eastAsia" w:ascii="仿宋" w:hAnsi="仿宋" w:eastAsia="仿宋" w:cs="仿宋"/>
          <w:color w:val="000000"/>
          <w:spacing w:val="6"/>
          <w:kern w:val="0"/>
          <w:sz w:val="32"/>
          <w:szCs w:val="32"/>
        </w:rPr>
        <w:t>理资金拨付手续.县级行业主管部门根据项目的实际情况,可采取工程竣工决算后一次性支付或按工程进度分批次申请支付项</w:t>
      </w:r>
      <w:r>
        <w:rPr>
          <w:rFonts w:hint="eastAsia" w:ascii="仿宋" w:hAnsi="仿宋" w:eastAsia="仿宋" w:cs="仿宋"/>
          <w:color w:val="000000"/>
          <w:spacing w:val="5"/>
          <w:kern w:val="0"/>
          <w:sz w:val="32"/>
          <w:szCs w:val="32"/>
        </w:rPr>
        <w:t>目资金.经县级行业主管部门出具审核意见后,县级财政部门可</w:t>
      </w:r>
      <w:r>
        <w:rPr>
          <w:rFonts w:hint="eastAsia" w:ascii="仿宋" w:hAnsi="仿宋" w:eastAsia="仿宋" w:cs="仿宋"/>
          <w:color w:val="000000"/>
          <w:spacing w:val="6"/>
          <w:kern w:val="0"/>
          <w:sz w:val="32"/>
          <w:szCs w:val="32"/>
        </w:rPr>
        <w:t>预付部分项目启动资金,比例由县级根据实际自行确定.预付资</w:t>
      </w:r>
      <w:r>
        <w:rPr>
          <w:rFonts w:hint="eastAsia" w:ascii="仿宋" w:hAnsi="仿宋" w:eastAsia="仿宋" w:cs="仿宋"/>
          <w:color w:val="000000"/>
          <w:spacing w:val="-5"/>
          <w:kern w:val="0"/>
          <w:sz w:val="32"/>
          <w:szCs w:val="32"/>
        </w:rPr>
        <w:t>金在项目资金支付时抵扣。预付资金总额合计原则上不超过应付</w:t>
      </w:r>
      <w:r>
        <w:rPr>
          <w:rFonts w:hint="eastAsia" w:ascii="仿宋" w:hAnsi="仿宋" w:eastAsia="仿宋" w:cs="仿宋"/>
          <w:color w:val="000000"/>
          <w:spacing w:val="4"/>
          <w:kern w:val="0"/>
          <w:sz w:val="32"/>
          <w:szCs w:val="32"/>
        </w:rPr>
        <w:t>该项目资金总额的50%,其中:基础建设类项目预付资金原则上</w:t>
      </w:r>
      <w:r>
        <w:rPr>
          <w:rFonts w:hint="eastAsia" w:ascii="仿宋" w:hAnsi="仿宋" w:eastAsia="仿宋" w:cs="仿宋"/>
          <w:color w:val="000000"/>
          <w:spacing w:val="11"/>
          <w:kern w:val="0"/>
          <w:sz w:val="32"/>
          <w:szCs w:val="32"/>
        </w:rPr>
        <w:t>不超过合同金额的30%.项目资金支付后,在审计或检查中发现</w:t>
      </w:r>
      <w:r>
        <w:rPr>
          <w:rFonts w:hint="eastAsia" w:ascii="仿宋" w:hAnsi="仿宋" w:eastAsia="仿宋" w:cs="仿宋"/>
          <w:color w:val="000000"/>
          <w:spacing w:val="7"/>
          <w:kern w:val="0"/>
          <w:sz w:val="32"/>
          <w:szCs w:val="32"/>
        </w:rPr>
        <w:t>资金使用存在违法违规问题的,应及时追回、收回</w:t>
      </w:r>
      <w:r>
        <w:rPr>
          <w:rFonts w:hint="eastAsia" w:ascii="仿宋" w:hAnsi="仿宋" w:eastAsia="仿宋" w:cs="仿宋"/>
          <w:color w:val="000000"/>
          <w:spacing w:val="7"/>
          <w:kern w:val="0"/>
          <w:sz w:val="32"/>
          <w:szCs w:val="32"/>
          <w:lang w:eastAsia="zh-CN"/>
        </w:rPr>
        <w:t>。</w:t>
      </w:r>
    </w:p>
    <w:p>
      <w:pPr>
        <w:widowControl/>
        <w:kinsoku w:val="0"/>
        <w:autoSpaceDE w:val="0"/>
        <w:autoSpaceDN w:val="0"/>
        <w:adjustRightInd w:val="0"/>
        <w:snapToGrid w:val="0"/>
        <w:spacing w:before="4" w:line="350" w:lineRule="auto"/>
        <w:ind w:right="40" w:firstLine="664"/>
        <w:jc w:val="left"/>
        <w:rPr>
          <w:rFonts w:ascii="仿宋" w:hAnsi="仿宋" w:eastAsia="仿宋" w:cs="仿宋"/>
          <w:sz w:val="32"/>
          <w:szCs w:val="32"/>
        </w:rPr>
      </w:pPr>
      <w:r>
        <w:rPr>
          <w:rFonts w:hint="eastAsia" w:ascii="仿宋" w:hAnsi="仿宋" w:eastAsia="仿宋" w:cs="仿宋"/>
          <w:color w:val="000000"/>
          <w:spacing w:val="7"/>
          <w:kern w:val="0"/>
          <w:sz w:val="32"/>
          <w:szCs w:val="32"/>
        </w:rPr>
        <w:t>第十四条各地衔接资金执行进度纳入自治区衔接资金绩效</w:t>
      </w:r>
      <w:r>
        <w:rPr>
          <w:rFonts w:hint="eastAsia" w:ascii="仿宋" w:hAnsi="仿宋" w:eastAsia="仿宋" w:cs="仿宋"/>
          <w:color w:val="000000"/>
          <w:spacing w:val="6"/>
          <w:kern w:val="0"/>
          <w:sz w:val="32"/>
          <w:szCs w:val="32"/>
        </w:rPr>
        <w:t>考评内容,严禁虚列支出、以拨代支虚增预算执行进度.各地要</w:t>
      </w:r>
      <w:r>
        <w:rPr>
          <w:rFonts w:hint="eastAsia" w:ascii="仿宋" w:hAnsi="仿宋" w:eastAsia="仿宋" w:cs="仿宋"/>
          <w:color w:val="000000"/>
          <w:spacing w:val="1"/>
          <w:kern w:val="0"/>
          <w:sz w:val="32"/>
          <w:szCs w:val="32"/>
        </w:rPr>
        <w:t>定期清理盘活历年结转结余资金,上年结转结余资金按照自治区</w:t>
      </w:r>
      <w:r>
        <w:rPr>
          <w:rFonts w:hint="eastAsia" w:ascii="仿宋" w:hAnsi="仿宋" w:eastAsia="仿宋" w:cs="仿宋"/>
          <w:color w:val="000000"/>
          <w:spacing w:val="-4"/>
          <w:kern w:val="0"/>
          <w:sz w:val="32"/>
          <w:szCs w:val="32"/>
        </w:rPr>
        <w:t>关于结转结余资金管理的相关规定执行。</w:t>
      </w:r>
    </w:p>
    <w:p>
      <w:pPr>
        <w:widowControl/>
        <w:kinsoku w:val="0"/>
        <w:autoSpaceDE w:val="0"/>
        <w:autoSpaceDN w:val="0"/>
        <w:adjustRightInd w:val="0"/>
        <w:snapToGrid w:val="0"/>
        <w:spacing w:before="201" w:line="348" w:lineRule="auto"/>
        <w:ind w:firstLine="664"/>
        <w:jc w:val="left"/>
        <w:rPr>
          <w:rFonts w:ascii="仿宋" w:hAnsi="仿宋" w:eastAsia="仿宋" w:cs="仿宋"/>
          <w:sz w:val="32"/>
          <w:szCs w:val="32"/>
        </w:rPr>
      </w:pPr>
      <w:r>
        <w:rPr>
          <w:rFonts w:hint="eastAsia" w:ascii="仿宋" w:hAnsi="仿宋" w:eastAsia="仿宋" w:cs="仿宋"/>
          <w:color w:val="000000"/>
          <w:spacing w:val="9"/>
          <w:kern w:val="0"/>
          <w:sz w:val="32"/>
          <w:szCs w:val="32"/>
        </w:rPr>
        <w:t>第十五条继续按规定开展统筹整合使用财政涉农资金试点</w:t>
      </w:r>
      <w:r>
        <w:rPr>
          <w:rFonts w:hint="eastAsia" w:ascii="仿宋" w:hAnsi="仿宋" w:eastAsia="仿宋" w:cs="仿宋"/>
          <w:color w:val="000000"/>
          <w:spacing w:val="11"/>
          <w:kern w:val="0"/>
          <w:sz w:val="32"/>
          <w:szCs w:val="32"/>
        </w:rPr>
        <w:t>工作的脱贫县,衔接资金使用按照涉农资金统筹整合有关要求</w:t>
      </w:r>
      <w:r>
        <w:rPr>
          <w:rFonts w:hint="eastAsia" w:ascii="仿宋" w:hAnsi="仿宋" w:eastAsia="仿宋" w:cs="仿宋"/>
          <w:color w:val="000000"/>
          <w:spacing w:val="-14"/>
          <w:kern w:val="0"/>
          <w:sz w:val="32"/>
          <w:szCs w:val="32"/>
        </w:rPr>
        <w:t>执行。</w:t>
      </w:r>
    </w:p>
    <w:p>
      <w:pPr>
        <w:widowControl/>
        <w:kinsoku w:val="0"/>
        <w:autoSpaceDE w:val="0"/>
        <w:autoSpaceDN w:val="0"/>
        <w:adjustRightInd w:val="0"/>
        <w:snapToGrid w:val="0"/>
        <w:spacing w:before="4" w:line="352" w:lineRule="auto"/>
        <w:ind w:right="56" w:firstLine="664"/>
        <w:jc w:val="left"/>
        <w:rPr>
          <w:rFonts w:hint="eastAsia" w:ascii="仿宋" w:hAnsi="仿宋" w:eastAsia="仿宋" w:cs="仿宋"/>
          <w:sz w:val="32"/>
          <w:szCs w:val="32"/>
          <w:lang w:eastAsia="zh-CN"/>
        </w:rPr>
      </w:pPr>
      <w:r>
        <w:rPr>
          <w:rFonts w:hint="eastAsia" w:ascii="仿宋" w:hAnsi="仿宋" w:eastAsia="仿宋" w:cs="仿宋"/>
          <w:color w:val="000000"/>
          <w:spacing w:val="6"/>
          <w:kern w:val="0"/>
          <w:sz w:val="32"/>
          <w:szCs w:val="32"/>
        </w:rPr>
        <w:t>第十六条各级财政和行业主管部门及其工作人员在衔接资金分配、使用管理等工作中,存在违反本办法规定,以及滥用职</w:t>
      </w:r>
      <w:r>
        <w:rPr>
          <w:rFonts w:hint="eastAsia" w:ascii="仿宋" w:hAnsi="仿宋" w:eastAsia="仿宋" w:cs="仿宋"/>
          <w:color w:val="000000"/>
          <w:kern w:val="0"/>
          <w:sz w:val="32"/>
          <w:szCs w:val="32"/>
        </w:rPr>
        <w:t>权、玩忽职守、徇私舞弊等违法违纪行为的,按照国家有关规定</w:t>
      </w:r>
      <w:r>
        <w:rPr>
          <w:rFonts w:hint="eastAsia" w:ascii="仿宋" w:hAnsi="仿宋" w:eastAsia="仿宋" w:cs="仿宋"/>
          <w:color w:val="000000"/>
          <w:spacing w:val="14"/>
          <w:kern w:val="0"/>
          <w:sz w:val="32"/>
          <w:szCs w:val="32"/>
        </w:rPr>
        <w:t>追究相应责任;涉嫌犯罪的,移送有关国家机关处理</w:t>
      </w:r>
      <w:r>
        <w:rPr>
          <w:rFonts w:hint="eastAsia" w:ascii="仿宋" w:hAnsi="仿宋" w:eastAsia="仿宋" w:cs="仿宋"/>
          <w:color w:val="000000"/>
          <w:spacing w:val="14"/>
          <w:kern w:val="0"/>
          <w:sz w:val="32"/>
          <w:szCs w:val="32"/>
          <w:lang w:eastAsia="zh-CN"/>
        </w:rPr>
        <w:t>。</w:t>
      </w:r>
    </w:p>
    <w:p>
      <w:pPr>
        <w:widowControl/>
        <w:kinsoku w:val="0"/>
        <w:autoSpaceDE w:val="0"/>
        <w:autoSpaceDN w:val="0"/>
        <w:adjustRightInd w:val="0"/>
        <w:snapToGrid w:val="0"/>
        <w:spacing w:line="446" w:lineRule="auto"/>
        <w:jc w:val="left"/>
        <w:rPr>
          <w:b w:val="0"/>
          <w:bCs w:val="0"/>
        </w:rPr>
      </w:pPr>
    </w:p>
    <w:p>
      <w:pPr>
        <w:widowControl/>
        <w:kinsoku w:val="0"/>
        <w:autoSpaceDE w:val="0"/>
        <w:autoSpaceDN w:val="0"/>
        <w:adjustRightInd w:val="0"/>
        <w:snapToGrid w:val="0"/>
        <w:spacing w:before="105" w:line="220" w:lineRule="auto"/>
        <w:ind w:firstLine="3384"/>
        <w:jc w:val="left"/>
        <w:rPr>
          <w:rFonts w:ascii="黑体" w:hAnsi="宋体" w:eastAsia="黑体" w:cs="黑体"/>
          <w:b w:val="0"/>
          <w:bCs w:val="0"/>
          <w:sz w:val="32"/>
          <w:szCs w:val="32"/>
        </w:rPr>
      </w:pPr>
      <w:r>
        <w:rPr>
          <w:rFonts w:hint="eastAsia" w:ascii="黑体" w:hAnsi="宋体" w:eastAsia="黑体" w:cs="黑体"/>
          <w:b w:val="0"/>
          <w:bCs w:val="0"/>
          <w:color w:val="000000"/>
          <w:spacing w:val="-16"/>
          <w:kern w:val="0"/>
          <w:sz w:val="32"/>
          <w:szCs w:val="32"/>
        </w:rPr>
        <w:t>第四章</w:t>
      </w:r>
      <w:r>
        <w:rPr>
          <w:rFonts w:hint="eastAsia" w:ascii="黑体" w:hAnsi="宋体" w:eastAsia="黑体" w:cs="黑体"/>
          <w:b w:val="0"/>
          <w:bCs w:val="0"/>
          <w:color w:val="000000"/>
          <w:spacing w:val="-16"/>
          <w:kern w:val="0"/>
          <w:sz w:val="32"/>
          <w:szCs w:val="32"/>
          <w:lang w:val="en-US" w:eastAsia="zh-CN"/>
        </w:rPr>
        <w:t xml:space="preserve">  </w:t>
      </w:r>
      <w:r>
        <w:rPr>
          <w:rFonts w:hint="eastAsia" w:ascii="黑体" w:hAnsi="宋体" w:eastAsia="黑体" w:cs="黑体"/>
          <w:b w:val="0"/>
          <w:bCs w:val="0"/>
          <w:color w:val="000000"/>
          <w:spacing w:val="-16"/>
          <w:kern w:val="0"/>
          <w:sz w:val="32"/>
          <w:szCs w:val="32"/>
        </w:rPr>
        <w:t>附</w:t>
      </w:r>
      <w:r>
        <w:rPr>
          <w:rFonts w:hint="eastAsia" w:ascii="黑体" w:hAnsi="宋体" w:eastAsia="黑体" w:cs="黑体"/>
          <w:b w:val="0"/>
          <w:bCs w:val="0"/>
          <w:color w:val="000000"/>
          <w:spacing w:val="-16"/>
          <w:kern w:val="0"/>
          <w:sz w:val="32"/>
          <w:szCs w:val="32"/>
          <w:lang w:val="en-US" w:eastAsia="zh-CN"/>
        </w:rPr>
        <w:t xml:space="preserve"> </w:t>
      </w:r>
      <w:r>
        <w:rPr>
          <w:rFonts w:hint="eastAsia" w:ascii="黑体" w:hAnsi="宋体" w:eastAsia="黑体" w:cs="黑体"/>
          <w:b w:val="0"/>
          <w:bCs w:val="0"/>
          <w:color w:val="000000"/>
          <w:spacing w:val="-16"/>
          <w:kern w:val="0"/>
          <w:sz w:val="32"/>
          <w:szCs w:val="32"/>
        </w:rPr>
        <w:t>则</w:t>
      </w:r>
    </w:p>
    <w:p>
      <w:pPr>
        <w:widowControl/>
        <w:kinsoku w:val="0"/>
        <w:autoSpaceDE w:val="0"/>
        <w:autoSpaceDN w:val="0"/>
        <w:adjustRightInd w:val="0"/>
        <w:snapToGrid w:val="0"/>
        <w:spacing w:before="110" w:line="220" w:lineRule="auto"/>
        <w:ind w:firstLine="632" w:firstLineChars="200"/>
        <w:jc w:val="left"/>
        <w:rPr>
          <w:rFonts w:hint="eastAsia" w:ascii="仿宋" w:hAnsi="仿宋" w:eastAsia="仿宋" w:cs="仿宋"/>
          <w:sz w:val="32"/>
          <w:szCs w:val="32"/>
          <w:lang w:eastAsia="zh-CN"/>
        </w:rPr>
      </w:pPr>
      <w:r>
        <w:rPr>
          <w:rFonts w:hint="eastAsia" w:ascii="仿宋" w:hAnsi="仿宋" w:eastAsia="仿宋" w:cs="仿宋"/>
          <w:color w:val="000000"/>
          <w:spacing w:val="-2"/>
          <w:kern w:val="0"/>
          <w:sz w:val="32"/>
          <w:szCs w:val="32"/>
        </w:rPr>
        <w:t>第十七条各地(州、市)财政部门可根据本办法制定实施</w:t>
      </w:r>
      <w:r>
        <w:rPr>
          <w:rFonts w:hint="eastAsia" w:ascii="仿宋" w:hAnsi="仿宋" w:eastAsia="仿宋" w:cs="仿宋"/>
          <w:color w:val="000000"/>
          <w:spacing w:val="-3"/>
          <w:kern w:val="0"/>
          <w:sz w:val="32"/>
          <w:szCs w:val="32"/>
        </w:rPr>
        <w:t>细则,报自治区财政厅备案</w:t>
      </w:r>
      <w:r>
        <w:rPr>
          <w:rFonts w:hint="eastAsia" w:ascii="仿宋" w:hAnsi="仿宋" w:eastAsia="仿宋" w:cs="仿宋"/>
          <w:color w:val="000000"/>
          <w:spacing w:val="-3"/>
          <w:kern w:val="0"/>
          <w:sz w:val="32"/>
          <w:szCs w:val="32"/>
          <w:lang w:eastAsia="zh-CN"/>
        </w:rPr>
        <w:t>。</w:t>
      </w:r>
    </w:p>
    <w:p>
      <w:pPr>
        <w:widowControl/>
        <w:kinsoku w:val="0"/>
        <w:autoSpaceDE w:val="0"/>
        <w:autoSpaceDN w:val="0"/>
        <w:adjustRightInd w:val="0"/>
        <w:snapToGrid w:val="0"/>
        <w:spacing w:before="178" w:line="326" w:lineRule="auto"/>
        <w:ind w:firstLine="714"/>
        <w:jc w:val="left"/>
        <w:rPr>
          <w:rFonts w:hint="eastAsia" w:ascii="仿宋" w:hAnsi="仿宋" w:eastAsia="仿宋" w:cs="仿宋"/>
          <w:sz w:val="32"/>
          <w:szCs w:val="32"/>
          <w:lang w:eastAsia="zh-CN"/>
        </w:rPr>
      </w:pPr>
      <w:r>
        <w:rPr>
          <w:rFonts w:hint="eastAsia" w:ascii="仿宋" w:hAnsi="仿宋" w:eastAsia="仿宋" w:cs="仿宋"/>
          <w:color w:val="000000"/>
          <w:spacing w:val="20"/>
          <w:kern w:val="0"/>
          <w:sz w:val="32"/>
          <w:szCs w:val="32"/>
        </w:rPr>
        <w:t>第十八条本办法自2021年8月5日起施行,由自治区财</w:t>
      </w:r>
      <w:r>
        <w:rPr>
          <w:rFonts w:hint="eastAsia" w:ascii="仿宋" w:hAnsi="仿宋" w:eastAsia="仿宋" w:cs="仿宋"/>
          <w:color w:val="000000"/>
          <w:kern w:val="0"/>
          <w:sz w:val="32"/>
          <w:szCs w:val="32"/>
        </w:rPr>
        <w:t>政厅会同行业主管部门负责解释。《财政厅扶贫办发改委民</w:t>
      </w:r>
      <w:r>
        <w:rPr>
          <w:rFonts w:hint="eastAsia" w:ascii="仿宋" w:hAnsi="仿宋" w:eastAsia="仿宋" w:cs="仿宋"/>
          <w:color w:val="000000"/>
          <w:spacing w:val="18"/>
          <w:w w:val="101"/>
          <w:kern w:val="0"/>
          <w:sz w:val="32"/>
          <w:szCs w:val="32"/>
        </w:rPr>
        <w:t>委农业厅林业厅畜牧厅关于印发</w:t>
      </w:r>
      <w:r>
        <w:rPr>
          <w:rFonts w:hint="eastAsia" w:ascii="仿宋" w:hAnsi="仿宋" w:eastAsia="仿宋" w:cs="仿宋"/>
          <w:color w:val="000000"/>
          <w:spacing w:val="18"/>
          <w:w w:val="101"/>
          <w:kern w:val="0"/>
          <w:sz w:val="32"/>
          <w:szCs w:val="32"/>
          <w:lang w:eastAsia="zh-CN"/>
        </w:rPr>
        <w:t>〈</w:t>
      </w:r>
      <w:r>
        <w:rPr>
          <w:rFonts w:hint="eastAsia" w:ascii="仿宋" w:hAnsi="仿宋" w:eastAsia="仿宋" w:cs="仿宋"/>
          <w:color w:val="000000"/>
          <w:spacing w:val="18"/>
          <w:w w:val="101"/>
          <w:kern w:val="0"/>
          <w:sz w:val="32"/>
          <w:szCs w:val="32"/>
        </w:rPr>
        <w:t>新疆维吾尔自治区财政</w:t>
      </w:r>
      <w:r>
        <w:rPr>
          <w:rFonts w:hint="eastAsia" w:ascii="仿宋" w:hAnsi="仿宋" w:eastAsia="仿宋" w:cs="仿宋"/>
          <w:color w:val="000000"/>
          <w:spacing w:val="-9"/>
          <w:kern w:val="0"/>
          <w:sz w:val="32"/>
          <w:szCs w:val="32"/>
        </w:rPr>
        <w:t>专项扶贫资金管理办法</w:t>
      </w:r>
      <w:r>
        <w:rPr>
          <w:rFonts w:hint="eastAsia" w:ascii="仿宋" w:hAnsi="仿宋" w:eastAsia="仿宋" w:cs="仿宋"/>
          <w:color w:val="000000"/>
          <w:spacing w:val="-9"/>
          <w:kern w:val="0"/>
          <w:sz w:val="32"/>
          <w:szCs w:val="32"/>
          <w:lang w:eastAsia="zh-CN"/>
        </w:rPr>
        <w:t>〉</w:t>
      </w:r>
      <w:r>
        <w:rPr>
          <w:rFonts w:hint="eastAsia" w:ascii="仿宋" w:hAnsi="仿宋" w:eastAsia="仿宋" w:cs="仿宋"/>
          <w:color w:val="000000"/>
          <w:spacing w:val="-9"/>
          <w:kern w:val="0"/>
          <w:sz w:val="32"/>
          <w:szCs w:val="32"/>
        </w:rPr>
        <w:t>的通知》(新财扶〔2017〕32号)、</w:t>
      </w:r>
      <w:r>
        <w:rPr>
          <w:rFonts w:hint="eastAsia" w:ascii="仿宋" w:hAnsi="仿宋" w:eastAsia="仿宋" w:cs="仿宋"/>
          <w:color w:val="000000"/>
          <w:spacing w:val="-6"/>
          <w:kern w:val="0"/>
          <w:sz w:val="32"/>
          <w:szCs w:val="32"/>
        </w:rPr>
        <w:t>《转发财政部国家民族委员会关于印发</w:t>
      </w:r>
      <w:r>
        <w:rPr>
          <w:rFonts w:hint="eastAsia" w:ascii="仿宋" w:hAnsi="仿宋" w:eastAsia="仿宋" w:cs="仿宋"/>
          <w:color w:val="000000"/>
          <w:spacing w:val="-6"/>
          <w:kern w:val="0"/>
          <w:sz w:val="32"/>
          <w:szCs w:val="32"/>
          <w:lang w:eastAsia="zh-CN"/>
        </w:rPr>
        <w:t>〈</w:t>
      </w:r>
      <w:r>
        <w:rPr>
          <w:rFonts w:hint="eastAsia" w:ascii="仿宋" w:hAnsi="仿宋" w:eastAsia="仿宋" w:cs="仿宋"/>
          <w:color w:val="000000"/>
          <w:spacing w:val="-6"/>
          <w:kern w:val="0"/>
          <w:sz w:val="32"/>
          <w:szCs w:val="32"/>
        </w:rPr>
        <w:t>少数民族发展资金管</w:t>
      </w:r>
      <w:r>
        <w:rPr>
          <w:rFonts w:hint="eastAsia" w:ascii="仿宋" w:hAnsi="仿宋" w:eastAsia="仿宋" w:cs="仿宋"/>
          <w:color w:val="000000"/>
          <w:spacing w:val="-8"/>
          <w:kern w:val="0"/>
          <w:sz w:val="32"/>
          <w:szCs w:val="32"/>
        </w:rPr>
        <w:t>理办法的通知</w:t>
      </w:r>
      <w:r>
        <w:rPr>
          <w:rFonts w:hint="eastAsia" w:ascii="仿宋" w:hAnsi="仿宋" w:eastAsia="仿宋" w:cs="仿宋"/>
          <w:color w:val="000000"/>
          <w:spacing w:val="-8"/>
          <w:kern w:val="0"/>
          <w:sz w:val="32"/>
          <w:szCs w:val="32"/>
          <w:lang w:eastAsia="zh-CN"/>
        </w:rPr>
        <w:t>〉</w:t>
      </w:r>
      <w:r>
        <w:rPr>
          <w:rFonts w:hint="eastAsia" w:ascii="仿宋" w:hAnsi="仿宋" w:eastAsia="仿宋" w:cs="仿宋"/>
          <w:color w:val="000000"/>
          <w:spacing w:val="-8"/>
          <w:kern w:val="0"/>
          <w:sz w:val="32"/>
          <w:szCs w:val="32"/>
        </w:rPr>
        <w:t>的通知》(新财扶〔2006〕7号)、《关于转</w:t>
      </w:r>
      <w:r>
        <w:rPr>
          <w:rFonts w:hint="eastAsia" w:ascii="仿宋" w:hAnsi="仿宋" w:eastAsia="仿宋" w:cs="仿宋"/>
          <w:color w:val="000000"/>
          <w:spacing w:val="-6"/>
          <w:kern w:val="0"/>
          <w:sz w:val="32"/>
          <w:szCs w:val="32"/>
        </w:rPr>
        <w:t>发财政部、国家林业局关于印发</w:t>
      </w:r>
      <w:r>
        <w:rPr>
          <w:rFonts w:hint="eastAsia" w:ascii="仿宋" w:hAnsi="仿宋" w:eastAsia="仿宋" w:cs="仿宋"/>
          <w:color w:val="000000"/>
          <w:spacing w:val="-6"/>
          <w:kern w:val="0"/>
          <w:sz w:val="32"/>
          <w:szCs w:val="32"/>
          <w:lang w:eastAsia="zh-CN"/>
        </w:rPr>
        <w:t>〈</w:t>
      </w:r>
      <w:r>
        <w:rPr>
          <w:rFonts w:hint="eastAsia" w:ascii="仿宋" w:hAnsi="仿宋" w:eastAsia="仿宋" w:cs="仿宋"/>
          <w:color w:val="000000"/>
          <w:spacing w:val="-6"/>
          <w:kern w:val="0"/>
          <w:sz w:val="32"/>
          <w:szCs w:val="32"/>
        </w:rPr>
        <w:t>国有贫困林场扶贫资金管理</w:t>
      </w:r>
      <w:r>
        <w:rPr>
          <w:rFonts w:hint="eastAsia" w:ascii="仿宋" w:hAnsi="仿宋" w:eastAsia="仿宋" w:cs="仿宋"/>
          <w:color w:val="000000"/>
          <w:spacing w:val="-8"/>
          <w:kern w:val="0"/>
          <w:sz w:val="32"/>
          <w:szCs w:val="32"/>
        </w:rPr>
        <w:t>办法的通知</w:t>
      </w:r>
      <w:r>
        <w:rPr>
          <w:rFonts w:hint="eastAsia" w:ascii="仿宋" w:hAnsi="仿宋" w:eastAsia="仿宋" w:cs="仿宋"/>
          <w:color w:val="000000"/>
          <w:spacing w:val="-8"/>
          <w:kern w:val="0"/>
          <w:sz w:val="32"/>
          <w:szCs w:val="32"/>
          <w:lang w:eastAsia="zh-CN"/>
        </w:rPr>
        <w:t>〉</w:t>
      </w:r>
      <w:r>
        <w:rPr>
          <w:rFonts w:hint="eastAsia" w:ascii="仿宋" w:hAnsi="仿宋" w:eastAsia="仿宋" w:cs="仿宋"/>
          <w:color w:val="000000"/>
          <w:spacing w:val="-8"/>
          <w:kern w:val="0"/>
          <w:sz w:val="32"/>
          <w:szCs w:val="32"/>
        </w:rPr>
        <w:t>的通知》(新财扶〔2005〕18号)、《财政厅林</w:t>
      </w:r>
      <w:r>
        <w:rPr>
          <w:rFonts w:hint="eastAsia" w:ascii="仿宋" w:hAnsi="仿宋" w:eastAsia="仿宋" w:cs="仿宋"/>
          <w:color w:val="000000"/>
          <w:spacing w:val="-6"/>
          <w:kern w:val="0"/>
          <w:sz w:val="32"/>
          <w:szCs w:val="32"/>
        </w:rPr>
        <w:t>业厅关于印发</w:t>
      </w:r>
      <w:r>
        <w:rPr>
          <w:rFonts w:hint="eastAsia" w:ascii="仿宋" w:hAnsi="仿宋" w:eastAsia="仿宋" w:cs="仿宋"/>
          <w:color w:val="000000"/>
          <w:spacing w:val="-6"/>
          <w:kern w:val="0"/>
          <w:sz w:val="32"/>
          <w:szCs w:val="32"/>
          <w:lang w:eastAsia="zh-CN"/>
        </w:rPr>
        <w:t>〈</w:t>
      </w:r>
      <w:r>
        <w:rPr>
          <w:rFonts w:hint="eastAsia" w:ascii="仿宋" w:hAnsi="仿宋" w:eastAsia="仿宋" w:cs="仿宋"/>
          <w:color w:val="000000"/>
          <w:spacing w:val="-6"/>
          <w:kern w:val="0"/>
          <w:sz w:val="32"/>
          <w:szCs w:val="32"/>
        </w:rPr>
        <w:t>新疆维吾尔自治区国有贫困林场扶贫资金管理</w:t>
      </w:r>
      <w:r>
        <w:rPr>
          <w:rFonts w:hint="eastAsia" w:ascii="仿宋" w:hAnsi="仿宋" w:eastAsia="仿宋" w:cs="仿宋"/>
          <w:color w:val="000000"/>
          <w:spacing w:val="-1"/>
          <w:kern w:val="0"/>
          <w:sz w:val="32"/>
          <w:szCs w:val="32"/>
        </w:rPr>
        <w:t>办法实施细则</w:t>
      </w:r>
      <w:r>
        <w:rPr>
          <w:rFonts w:hint="eastAsia" w:ascii="仿宋" w:hAnsi="仿宋" w:eastAsia="仿宋" w:cs="仿宋"/>
          <w:color w:val="000000"/>
          <w:spacing w:val="-1"/>
          <w:kern w:val="0"/>
          <w:sz w:val="32"/>
          <w:szCs w:val="32"/>
          <w:lang w:eastAsia="zh-CN"/>
        </w:rPr>
        <w:t>〉</w:t>
      </w:r>
      <w:r>
        <w:rPr>
          <w:rFonts w:hint="eastAsia" w:ascii="仿宋" w:hAnsi="仿宋" w:eastAsia="仿宋" w:cs="仿宋"/>
          <w:color w:val="000000"/>
          <w:spacing w:val="-1"/>
          <w:kern w:val="0"/>
          <w:sz w:val="32"/>
          <w:szCs w:val="32"/>
        </w:rPr>
        <w:t>的通知》(新财扶〔2006〕24号)同时废止.</w:t>
      </w:r>
      <w:r>
        <w:rPr>
          <w:rFonts w:hint="eastAsia" w:ascii="仿宋" w:hAnsi="仿宋" w:eastAsia="仿宋" w:cs="仿宋"/>
          <w:color w:val="000000"/>
          <w:spacing w:val="-12"/>
          <w:kern w:val="0"/>
          <w:sz w:val="32"/>
          <w:szCs w:val="32"/>
        </w:rPr>
        <w:t>自治区其他有关财政专项扶贫资金管理的制度、办法及规定与</w:t>
      </w:r>
      <w:r>
        <w:rPr>
          <w:rFonts w:hint="eastAsia" w:ascii="仿宋" w:hAnsi="仿宋" w:eastAsia="仿宋" w:cs="仿宋"/>
          <w:color w:val="000000"/>
          <w:spacing w:val="11"/>
          <w:kern w:val="0"/>
          <w:sz w:val="32"/>
          <w:szCs w:val="32"/>
        </w:rPr>
        <w:t>本办法不符的,执行本办法</w:t>
      </w:r>
      <w:r>
        <w:rPr>
          <w:rFonts w:hint="eastAsia" w:ascii="仿宋" w:hAnsi="仿宋" w:eastAsia="仿宋" w:cs="仿宋"/>
          <w:color w:val="000000"/>
          <w:spacing w:val="11"/>
          <w:kern w:val="0"/>
          <w:sz w:val="32"/>
          <w:szCs w:val="32"/>
          <w:lang w:eastAsia="zh-CN"/>
        </w:rPr>
        <w:t>。</w:t>
      </w:r>
    </w:p>
    <w:p>
      <w:pPr>
        <w:widowControl/>
        <w:kinsoku w:val="0"/>
        <w:autoSpaceDE w:val="0"/>
        <w:autoSpaceDN w:val="0"/>
        <w:adjustRightInd w:val="0"/>
        <w:snapToGrid w:val="0"/>
        <w:spacing w:before="111" w:line="220" w:lineRule="auto"/>
        <w:ind w:firstLine="556" w:firstLineChars="200"/>
        <w:jc w:val="left"/>
        <w:rPr>
          <w:rFonts w:hint="eastAsia" w:ascii="仿宋" w:hAnsi="仿宋" w:eastAsia="仿宋" w:cs="仿宋"/>
          <w:color w:val="000000"/>
          <w:spacing w:val="-16"/>
          <w:w w:val="97"/>
          <w:kern w:val="0"/>
          <w:sz w:val="32"/>
          <w:szCs w:val="32"/>
          <w:lang w:val="en-US" w:eastAsia="zh-CN"/>
        </w:rPr>
      </w:pPr>
      <w:r>
        <w:rPr>
          <w:rFonts w:hint="eastAsia" w:ascii="仿宋" w:hAnsi="仿宋" w:eastAsia="仿宋" w:cs="仿宋"/>
          <w:color w:val="000000"/>
          <w:spacing w:val="-16"/>
          <w:w w:val="97"/>
          <w:kern w:val="0"/>
          <w:sz w:val="32"/>
          <w:szCs w:val="32"/>
        </w:rPr>
        <w:t>附件:5项任务具体测算指</w:t>
      </w:r>
      <w:r>
        <w:rPr>
          <w:rFonts w:hint="eastAsia" w:ascii="仿宋" w:hAnsi="仿宋" w:eastAsia="仿宋" w:cs="仿宋"/>
          <w:color w:val="000000"/>
          <w:spacing w:val="-16"/>
          <w:w w:val="97"/>
          <w:kern w:val="0"/>
          <w:sz w:val="32"/>
          <w:szCs w:val="32"/>
          <w:lang w:val="en-US" w:eastAsia="zh-CN"/>
        </w:rPr>
        <w:t>标</w:t>
      </w: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pPr>
    </w:p>
    <w:p>
      <w:pPr>
        <w:pStyle w:val="8"/>
        <w:rPr>
          <w:rFonts w:hint="eastAsia" w:ascii="仿宋" w:hAnsi="仿宋" w:eastAsia="仿宋" w:cs="仿宋"/>
          <w:color w:val="000000"/>
          <w:spacing w:val="-16"/>
          <w:w w:val="97"/>
          <w:kern w:val="0"/>
          <w:sz w:val="32"/>
          <w:szCs w:val="32"/>
          <w:lang w:val="en-US" w:eastAsia="zh-CN"/>
        </w:rPr>
        <w:sectPr>
          <w:pgSz w:w="11910" w:h="16840"/>
          <w:pgMar w:top="1431" w:right="1449" w:bottom="1525" w:left="1509" w:header="1" w:footer="1156" w:gutter="0"/>
          <w:cols w:space="425" w:num="1"/>
          <w:docGrid w:type="lines" w:linePitch="312" w:charSpace="0"/>
        </w:sectPr>
      </w:pPr>
    </w:p>
    <w:p>
      <w:pPr>
        <w:widowControl/>
        <w:kinsoku w:val="0"/>
        <w:autoSpaceDE w:val="0"/>
        <w:autoSpaceDN w:val="0"/>
        <w:adjustRightInd w:val="0"/>
        <w:snapToGrid w:val="0"/>
        <w:spacing w:before="53" w:line="223" w:lineRule="auto"/>
        <w:ind w:firstLine="118"/>
        <w:jc w:val="left"/>
        <w:rPr>
          <w:rFonts w:ascii="黑体" w:hAnsi="宋体" w:eastAsia="黑体" w:cs="黑体"/>
          <w:sz w:val="26"/>
          <w:szCs w:val="26"/>
        </w:rPr>
      </w:pPr>
      <w:r>
        <w:rPr>
          <w:rFonts w:hint="eastAsia" w:ascii="黑体" w:hAnsi="宋体" w:eastAsia="黑体" w:cs="黑体"/>
          <w:color w:val="000000"/>
          <w:spacing w:val="-1"/>
          <w:kern w:val="0"/>
          <w:sz w:val="26"/>
          <w:szCs w:val="26"/>
        </w:rPr>
        <w:t>附件:</w:t>
      </w:r>
    </w:p>
    <w:p>
      <w:pPr>
        <w:widowControl/>
        <w:kinsoku w:val="0"/>
        <w:autoSpaceDE w:val="0"/>
        <w:autoSpaceDN w:val="0"/>
        <w:adjustRightInd w:val="0"/>
        <w:snapToGrid w:val="0"/>
        <w:spacing w:before="126" w:line="218" w:lineRule="auto"/>
        <w:ind w:firstLine="4985" w:firstLineChars="1300"/>
        <w:jc w:val="left"/>
        <w:rPr>
          <w:rFonts w:ascii="宋体" w:hAnsi="宋体" w:eastAsia="宋体" w:cs="宋体"/>
          <w:b/>
          <w:bCs/>
          <w:sz w:val="38"/>
          <w:szCs w:val="38"/>
        </w:rPr>
      </w:pPr>
      <w:r>
        <w:rPr>
          <w:rFonts w:hint="eastAsia" w:ascii="宋体" w:hAnsi="宋体" w:eastAsia="宋体" w:cs="宋体"/>
          <w:b/>
          <w:bCs/>
          <w:color w:val="000000"/>
          <w:spacing w:val="1"/>
          <w:kern w:val="0"/>
          <w:sz w:val="38"/>
          <w:szCs w:val="38"/>
        </w:rPr>
        <w:t>5项任务具体测算指标</w:t>
      </w:r>
    </w:p>
    <w:p>
      <w:pPr>
        <w:widowControl/>
        <w:kinsoku w:val="0"/>
        <w:autoSpaceDE w:val="0"/>
        <w:autoSpaceDN w:val="0"/>
        <w:adjustRightInd w:val="0"/>
        <w:snapToGrid w:val="0"/>
        <w:spacing w:line="111" w:lineRule="exact"/>
        <w:jc w:val="left"/>
      </w:pPr>
    </w:p>
    <w:tbl>
      <w:tblPr>
        <w:tblStyle w:val="57"/>
        <w:tblW w:w="14133"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1759"/>
        <w:gridCol w:w="2965"/>
        <w:gridCol w:w="2683"/>
        <w:gridCol w:w="3205"/>
        <w:gridCol w:w="26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5"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89" w:beforeAutospacing="0" w:after="0" w:afterAutospacing="0" w:line="220" w:lineRule="auto"/>
              <w:ind w:left="0" w:right="0" w:firstLine="125"/>
              <w:jc w:val="center"/>
              <w:rPr>
                <w:rFonts w:hint="default" w:ascii="宋体" w:hAnsi="宋体" w:eastAsia="宋体" w:cs="宋体"/>
                <w:sz w:val="24"/>
                <w:szCs w:val="24"/>
              </w:rPr>
            </w:pPr>
            <w:r>
              <w:rPr>
                <w:rFonts w:hint="eastAsia" w:ascii="宋体" w:hAnsi="宋体" w:eastAsia="宋体" w:cs="宋体"/>
                <w:color w:val="000000"/>
                <w:spacing w:val="8"/>
                <w:kern w:val="0"/>
                <w:sz w:val="24"/>
                <w:szCs w:val="24"/>
              </w:rPr>
              <w:t>序号</w:t>
            </w:r>
          </w:p>
        </w:tc>
        <w:tc>
          <w:tcPr>
            <w:tcW w:w="1759"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90" w:beforeAutospacing="0" w:after="0" w:afterAutospacing="0" w:line="218" w:lineRule="auto"/>
              <w:ind w:left="0" w:right="0" w:firstLine="581"/>
              <w:jc w:val="center"/>
              <w:rPr>
                <w:rFonts w:hint="default" w:ascii="宋体" w:hAnsi="宋体" w:eastAsia="宋体" w:cs="宋体"/>
                <w:sz w:val="24"/>
                <w:szCs w:val="24"/>
              </w:rPr>
            </w:pPr>
            <w:r>
              <w:rPr>
                <w:rFonts w:hint="eastAsia" w:ascii="宋体" w:hAnsi="宋体" w:eastAsia="宋体" w:cs="宋体"/>
                <w:color w:val="000000"/>
                <w:spacing w:val="6"/>
                <w:kern w:val="0"/>
                <w:sz w:val="24"/>
                <w:szCs w:val="24"/>
              </w:rPr>
              <w:t>任务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0" w:beforeAutospacing="0" w:after="0" w:afterAutospacing="0" w:line="218" w:lineRule="auto"/>
              <w:ind w:left="0" w:right="0" w:firstLine="72"/>
              <w:jc w:val="center"/>
              <w:rPr>
                <w:rFonts w:hint="default" w:ascii="宋体" w:hAnsi="宋体" w:eastAsia="宋体" w:cs="宋体"/>
                <w:sz w:val="24"/>
                <w:szCs w:val="24"/>
              </w:rPr>
            </w:pPr>
            <w:r>
              <w:rPr>
                <w:rFonts w:hint="eastAsia" w:ascii="宋体" w:hAnsi="宋体" w:eastAsia="宋体" w:cs="宋体"/>
                <w:color w:val="000000"/>
                <w:spacing w:val="25"/>
                <w:kern w:val="0"/>
                <w:sz w:val="24"/>
                <w:szCs w:val="24"/>
              </w:rPr>
              <w:t>因素1:相关人群数量</w:t>
            </w:r>
            <w:r>
              <w:rPr>
                <w:rFonts w:hint="eastAsia" w:ascii="宋体" w:hAnsi="宋体" w:eastAsia="宋体" w:cs="宋体"/>
                <w:color w:val="000000"/>
                <w:spacing w:val="19"/>
                <w:kern w:val="0"/>
                <w:sz w:val="24"/>
                <w:szCs w:val="24"/>
              </w:rPr>
              <w:t>及结构(权重30%)</w:t>
            </w:r>
          </w:p>
        </w:tc>
        <w:tc>
          <w:tcPr>
            <w:tcW w:w="2683"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120" w:beforeAutospacing="0" w:after="0" w:afterAutospacing="0" w:line="370" w:lineRule="exact"/>
              <w:ind w:left="0" w:right="0" w:firstLine="84"/>
              <w:jc w:val="center"/>
              <w:rPr>
                <w:rFonts w:hint="default" w:ascii="宋体" w:hAnsi="宋体" w:eastAsia="宋体" w:cs="宋体"/>
                <w:sz w:val="24"/>
                <w:szCs w:val="24"/>
              </w:rPr>
            </w:pPr>
            <w:r>
              <w:rPr>
                <w:rFonts w:hint="eastAsia" w:ascii="宋体" w:hAnsi="宋体" w:eastAsia="宋体" w:cs="宋体"/>
                <w:color w:val="000000"/>
                <w:spacing w:val="1"/>
                <w:kern w:val="0"/>
                <w:position w:val="6"/>
                <w:sz w:val="24"/>
                <w:szCs w:val="24"/>
              </w:rPr>
              <w:t>因素2:相关人群</w:t>
            </w:r>
          </w:p>
          <w:p>
            <w:pPr>
              <w:keepNext w:val="0"/>
              <w:keepLines w:val="0"/>
              <w:widowControl/>
              <w:suppressLineNumbers w:val="0"/>
              <w:kinsoku w:val="0"/>
              <w:autoSpaceDE w:val="0"/>
              <w:autoSpaceDN w:val="0"/>
              <w:adjustRightInd w:val="0"/>
              <w:snapToGrid w:val="0"/>
              <w:spacing w:before="0" w:beforeAutospacing="0" w:after="0" w:afterAutospacing="0" w:line="218" w:lineRule="auto"/>
              <w:ind w:left="0" w:right="0" w:firstLine="84"/>
              <w:jc w:val="center"/>
              <w:rPr>
                <w:rFonts w:hint="default" w:ascii="宋体" w:hAnsi="宋体" w:eastAsia="宋体" w:cs="宋体"/>
                <w:sz w:val="24"/>
                <w:szCs w:val="24"/>
              </w:rPr>
            </w:pPr>
            <w:r>
              <w:rPr>
                <w:rFonts w:hint="eastAsia" w:ascii="宋体" w:hAnsi="宋体" w:eastAsia="宋体" w:cs="宋体"/>
                <w:color w:val="000000"/>
                <w:spacing w:val="-6"/>
                <w:kern w:val="0"/>
                <w:sz w:val="24"/>
                <w:szCs w:val="24"/>
              </w:rPr>
              <w:t>收入(权重30%)</w:t>
            </w:r>
          </w:p>
        </w:tc>
        <w:tc>
          <w:tcPr>
            <w:tcW w:w="320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120" w:beforeAutospacing="0" w:after="0" w:afterAutospacing="0" w:line="218" w:lineRule="auto"/>
              <w:ind w:left="0" w:right="0" w:firstLine="346"/>
              <w:jc w:val="center"/>
              <w:rPr>
                <w:rFonts w:hint="default"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pacing w:val="25"/>
                <w:kern w:val="0"/>
                <w:sz w:val="24"/>
                <w:szCs w:val="24"/>
                <w14:textFill>
                  <w14:solidFill>
                    <w14:schemeClr w14:val="tx1"/>
                  </w14:solidFill>
                </w14:textFill>
              </w:rPr>
              <w:t>因素3:政策因素</w:t>
            </w:r>
          </w:p>
          <w:p>
            <w:pPr>
              <w:keepNext w:val="0"/>
              <w:keepLines w:val="0"/>
              <w:widowControl/>
              <w:suppressLineNumbers w:val="0"/>
              <w:kinsoku w:val="0"/>
              <w:autoSpaceDE w:val="0"/>
              <w:autoSpaceDN w:val="0"/>
              <w:adjustRightInd w:val="0"/>
              <w:snapToGrid w:val="0"/>
              <w:spacing w:before="37" w:beforeAutospacing="0" w:after="0" w:afterAutospacing="0" w:line="218" w:lineRule="auto"/>
              <w:ind w:left="0" w:right="0" w:firstLine="796"/>
              <w:jc w:val="center"/>
              <w:rPr>
                <w:rFonts w:hint="default" w:ascii="宋体" w:hAnsi="宋体" w:eastAsia="宋体" w:cs="宋体"/>
                <w:sz w:val="24"/>
                <w:szCs w:val="24"/>
              </w:rPr>
            </w:pPr>
            <w:r>
              <w:rPr>
                <w:rFonts w:hint="eastAsia" w:ascii="宋体" w:hAnsi="宋体" w:eastAsia="宋体" w:cs="宋体"/>
                <w:color w:val="000000" w:themeColor="text1"/>
                <w:spacing w:val="14"/>
                <w:w w:val="105"/>
                <w:kern w:val="0"/>
                <w:sz w:val="24"/>
                <w:szCs w:val="24"/>
                <w14:textFill>
                  <w14:solidFill>
                    <w14:schemeClr w14:val="tx1"/>
                  </w14:solidFill>
                </w14:textFill>
              </w:rPr>
              <w:t>(权重30%)</w:t>
            </w:r>
          </w:p>
        </w:tc>
        <w:tc>
          <w:tcPr>
            <w:tcW w:w="2697"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129" w:beforeAutospacing="0" w:after="0" w:afterAutospacing="0" w:line="242" w:lineRule="auto"/>
              <w:ind w:left="707" w:right="458" w:hanging="379"/>
              <w:jc w:val="center"/>
              <w:rPr>
                <w:rFonts w:hint="default" w:ascii="宋体" w:hAnsi="宋体" w:eastAsia="宋体" w:cs="宋体"/>
                <w:sz w:val="24"/>
                <w:szCs w:val="24"/>
              </w:rPr>
            </w:pPr>
            <w:r>
              <w:rPr>
                <w:rFonts w:hint="eastAsia" w:ascii="宋体" w:hAnsi="宋体" w:eastAsia="宋体" w:cs="宋体"/>
                <w:color w:val="000000"/>
                <w:spacing w:val="2"/>
                <w:kern w:val="0"/>
                <w:sz w:val="24"/>
                <w:szCs w:val="24"/>
              </w:rPr>
              <w:t>绩效等考核结果</w:t>
            </w:r>
            <w:r>
              <w:rPr>
                <w:rFonts w:hint="eastAsia" w:ascii="宋体" w:hAnsi="宋体" w:eastAsia="宋体" w:cs="宋体"/>
                <w:color w:val="000000"/>
                <w:spacing w:val="7"/>
                <w:kern w:val="0"/>
                <w:sz w:val="24"/>
                <w:szCs w:val="24"/>
              </w:rPr>
              <w:t>(权重10%)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4"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0" w:beforeAutospacing="0" w:after="0" w:afterAutospacing="0" w:line="266"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184" w:lineRule="auto"/>
              <w:ind w:left="0" w:right="0" w:firstLine="334"/>
              <w:jc w:val="both"/>
              <w:rPr>
                <w:rFonts w:hint="default" w:ascii="宋体" w:hAnsi="宋体" w:eastAsia="宋体" w:cs="宋体"/>
                <w:sz w:val="24"/>
                <w:szCs w:val="24"/>
              </w:rPr>
            </w:pPr>
            <w:r>
              <w:rPr>
                <w:rFonts w:hint="eastAsia" w:ascii="宋体" w:hAnsi="宋体" w:eastAsia="宋体" w:cs="宋体"/>
                <w:color w:val="000000"/>
                <w:kern w:val="0"/>
                <w:sz w:val="24"/>
                <w:szCs w:val="24"/>
              </w:rPr>
              <w:t>1</w:t>
            </w:r>
          </w:p>
        </w:tc>
        <w:tc>
          <w:tcPr>
            <w:tcW w:w="1759"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306" w:beforeAutospacing="0" w:after="0" w:afterAutospacing="0" w:line="228" w:lineRule="auto"/>
              <w:ind w:left="60" w:right="0"/>
              <w:jc w:val="center"/>
              <w:rPr>
                <w:rFonts w:hint="default" w:ascii="宋体" w:hAnsi="宋体" w:eastAsia="宋体" w:cs="宋体"/>
                <w:sz w:val="24"/>
                <w:szCs w:val="24"/>
              </w:rPr>
            </w:pPr>
            <w:r>
              <w:rPr>
                <w:rFonts w:hint="eastAsia" w:ascii="宋体" w:hAnsi="宋体" w:eastAsia="宋体" w:cs="宋体"/>
                <w:color w:val="000000"/>
                <w:spacing w:val="8"/>
                <w:kern w:val="0"/>
                <w:sz w:val="24"/>
                <w:szCs w:val="24"/>
              </w:rPr>
              <w:t>巩固拓展脱贫</w:t>
            </w:r>
            <w:r>
              <w:rPr>
                <w:rFonts w:hint="eastAsia" w:ascii="宋体" w:hAnsi="宋体" w:eastAsia="宋体" w:cs="宋体"/>
                <w:color w:val="000000"/>
                <w:spacing w:val="11"/>
                <w:kern w:val="0"/>
                <w:sz w:val="24"/>
                <w:szCs w:val="24"/>
              </w:rPr>
              <w:t>攻坚成果和乡</w:t>
            </w:r>
            <w:r>
              <w:rPr>
                <w:rFonts w:hint="eastAsia" w:ascii="宋体" w:hAnsi="宋体" w:eastAsia="宋体" w:cs="宋体"/>
                <w:color w:val="000000"/>
                <w:spacing w:val="9"/>
                <w:kern w:val="0"/>
                <w:sz w:val="24"/>
                <w:szCs w:val="24"/>
              </w:rPr>
              <w:t>村振兴任务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13" w:lineRule="auto"/>
              <w:ind w:left="0" w:right="43" w:firstLine="248" w:firstLineChars="100"/>
              <w:jc w:val="center"/>
              <w:rPr>
                <w:rFonts w:hint="default" w:ascii="宋体" w:hAnsi="宋体" w:eastAsia="宋体" w:cs="宋体"/>
                <w:sz w:val="24"/>
                <w:szCs w:val="24"/>
              </w:rPr>
            </w:pPr>
            <w:r>
              <w:rPr>
                <w:rFonts w:hint="eastAsia" w:ascii="宋体" w:hAnsi="宋体" w:eastAsia="宋体" w:cs="宋体"/>
                <w:color w:val="000000"/>
                <w:spacing w:val="4"/>
                <w:kern w:val="0"/>
                <w:sz w:val="24"/>
                <w:szCs w:val="24"/>
              </w:rPr>
              <w:t>脱贫人口、边缘易致贫人口及结构</w:t>
            </w:r>
          </w:p>
        </w:tc>
        <w:tc>
          <w:tcPr>
            <w:tcW w:w="2683"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0" w:beforeAutospacing="0" w:after="0" w:afterAutospacing="0" w:line="381"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25" w:lineRule="auto"/>
              <w:ind w:left="84" w:right="51"/>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农村居民人均可支配</w:t>
            </w:r>
            <w:r>
              <w:rPr>
                <w:rFonts w:hint="eastAsia" w:ascii="宋体" w:hAnsi="宋体" w:eastAsia="宋体" w:cs="宋体"/>
                <w:color w:val="000000"/>
                <w:spacing w:val="6"/>
                <w:kern w:val="0"/>
                <w:sz w:val="24"/>
                <w:szCs w:val="24"/>
              </w:rPr>
              <w:t>收入</w:t>
            </w:r>
          </w:p>
        </w:tc>
        <w:tc>
          <w:tcPr>
            <w:tcW w:w="320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147" w:beforeAutospacing="0" w:after="0" w:afterAutospacing="0" w:line="216" w:lineRule="auto"/>
              <w:ind w:left="76" w:right="9"/>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自治区巩固拓展脱贫攻</w:t>
            </w:r>
            <w:r>
              <w:rPr>
                <w:rFonts w:hint="eastAsia" w:ascii="宋体" w:hAnsi="宋体" w:eastAsia="宋体" w:cs="宋体"/>
                <w:color w:val="000000"/>
                <w:spacing w:val="-2"/>
                <w:kern w:val="0"/>
                <w:sz w:val="24"/>
                <w:szCs w:val="24"/>
              </w:rPr>
              <w:t>坚成果同乡村振兴有效</w:t>
            </w:r>
            <w:r>
              <w:rPr>
                <w:rFonts w:hint="eastAsia" w:ascii="宋体" w:hAnsi="宋体" w:eastAsia="宋体" w:cs="宋体"/>
                <w:color w:val="000000"/>
                <w:spacing w:val="5"/>
                <w:kern w:val="0"/>
                <w:sz w:val="24"/>
                <w:szCs w:val="24"/>
              </w:rPr>
              <w:t>衔接重点工作等政策任</w:t>
            </w:r>
            <w:r>
              <w:rPr>
                <w:rFonts w:hint="eastAsia" w:ascii="宋体" w:hAnsi="宋体" w:eastAsia="宋体" w:cs="宋体"/>
                <w:color w:val="000000"/>
                <w:spacing w:val="-2"/>
                <w:kern w:val="0"/>
                <w:sz w:val="24"/>
                <w:szCs w:val="24"/>
              </w:rPr>
              <w:t>务、受灾因素等</w:t>
            </w:r>
          </w:p>
        </w:tc>
        <w:tc>
          <w:tcPr>
            <w:tcW w:w="2697"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303" w:beforeAutospacing="0" w:after="0" w:afterAutospacing="0" w:line="230" w:lineRule="auto"/>
              <w:ind w:left="68" w:right="153"/>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 xml:space="preserve">根据年度资金绩效评 </w:t>
            </w:r>
            <w:r>
              <w:rPr>
                <w:rFonts w:hint="eastAsia" w:ascii="宋体" w:hAnsi="宋体" w:eastAsia="宋体" w:cs="宋体"/>
                <w:color w:val="000000"/>
                <w:spacing w:val="2"/>
                <w:kern w:val="0"/>
                <w:sz w:val="24"/>
                <w:szCs w:val="24"/>
              </w:rPr>
              <w:t>价及相关考核结果确</w:t>
            </w:r>
            <w:r>
              <w:rPr>
                <w:rFonts w:hint="eastAsia" w:ascii="宋体" w:hAnsi="宋体" w:eastAsia="宋体" w:cs="宋体"/>
                <w:color w:val="000000"/>
                <w:kern w:val="0"/>
                <w:sz w:val="24"/>
                <w:szCs w:val="24"/>
              </w:rPr>
              <w:t>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458"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182" w:lineRule="auto"/>
              <w:ind w:left="0" w:right="0" w:firstLine="334"/>
              <w:jc w:val="both"/>
              <w:rPr>
                <w:rFonts w:hint="default" w:ascii="宋体" w:hAnsi="宋体" w:eastAsia="宋体" w:cs="宋体"/>
                <w:sz w:val="24"/>
                <w:szCs w:val="24"/>
              </w:rPr>
            </w:pPr>
            <w:r>
              <w:rPr>
                <w:rFonts w:hint="eastAsia" w:ascii="宋体" w:hAnsi="宋体" w:eastAsia="宋体" w:cs="宋体"/>
                <w:color w:val="000000"/>
                <w:kern w:val="0"/>
                <w:sz w:val="24"/>
                <w:szCs w:val="24"/>
              </w:rPr>
              <w:t>2</w:t>
            </w:r>
          </w:p>
        </w:tc>
        <w:tc>
          <w:tcPr>
            <w:tcW w:w="1759"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87" w:beforeAutospacing="0" w:after="0" w:afterAutospacing="0" w:line="225" w:lineRule="auto"/>
              <w:ind w:left="0" w:right="0"/>
              <w:jc w:val="center"/>
              <w:rPr>
                <w:rFonts w:hint="default" w:ascii="宋体" w:hAnsi="宋体" w:eastAsia="宋体" w:cs="宋体"/>
                <w:sz w:val="24"/>
                <w:szCs w:val="24"/>
              </w:rPr>
            </w:pPr>
            <w:r>
              <w:rPr>
                <w:rFonts w:hint="eastAsia" w:ascii="宋体" w:hAnsi="宋体" w:eastAsia="宋体" w:cs="宋体"/>
                <w:color w:val="000000"/>
                <w:spacing w:val="6"/>
                <w:kern w:val="0"/>
                <w:sz w:val="24"/>
                <w:szCs w:val="24"/>
              </w:rPr>
              <w:t>以工代赈任务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17" w:beforeAutospacing="0" w:after="0" w:afterAutospacing="0" w:line="213" w:lineRule="auto"/>
              <w:ind w:left="372" w:right="34" w:hanging="300"/>
              <w:jc w:val="center"/>
              <w:rPr>
                <w:rFonts w:hint="default" w:ascii="宋体" w:hAnsi="宋体" w:eastAsia="宋体" w:cs="宋体"/>
                <w:sz w:val="24"/>
                <w:szCs w:val="24"/>
              </w:rPr>
            </w:pPr>
            <w:r>
              <w:rPr>
                <w:rFonts w:hint="eastAsia" w:ascii="宋体" w:hAnsi="宋体" w:eastAsia="宋体" w:cs="宋体"/>
                <w:color w:val="000000"/>
                <w:spacing w:val="3"/>
                <w:kern w:val="0"/>
                <w:sz w:val="24"/>
                <w:szCs w:val="24"/>
              </w:rPr>
              <w:t>原深度贫困地区脱贫人口</w:t>
            </w:r>
            <w:r>
              <w:rPr>
                <w:rFonts w:hint="eastAsia" w:ascii="宋体" w:hAnsi="宋体" w:eastAsia="宋体" w:cs="宋体"/>
                <w:color w:val="000000"/>
                <w:spacing w:val="4"/>
                <w:kern w:val="0"/>
                <w:sz w:val="24"/>
                <w:szCs w:val="24"/>
              </w:rPr>
              <w:t>易地扶贫搬迁脱贫人口</w:t>
            </w:r>
            <w:r>
              <w:rPr>
                <w:rFonts w:hint="eastAsia" w:ascii="宋体" w:hAnsi="宋体" w:eastAsia="宋体" w:cs="宋体"/>
                <w:color w:val="000000"/>
                <w:spacing w:val="3"/>
                <w:kern w:val="0"/>
                <w:sz w:val="24"/>
                <w:szCs w:val="24"/>
              </w:rPr>
              <w:t>规模及结构</w:t>
            </w:r>
          </w:p>
        </w:tc>
        <w:tc>
          <w:tcPr>
            <w:tcW w:w="2683"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0" w:beforeAutospacing="0" w:after="0" w:afterAutospacing="0" w:line="302"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25" w:lineRule="auto"/>
              <w:ind w:left="84" w:right="74"/>
              <w:jc w:val="center"/>
              <w:rPr>
                <w:rFonts w:hint="default" w:ascii="宋体" w:hAnsi="宋体" w:eastAsia="宋体" w:cs="宋体"/>
                <w:sz w:val="24"/>
                <w:szCs w:val="24"/>
              </w:rPr>
            </w:pPr>
            <w:r>
              <w:rPr>
                <w:rFonts w:hint="eastAsia" w:ascii="宋体" w:hAnsi="宋体" w:eastAsia="宋体" w:cs="宋体"/>
                <w:color w:val="000000"/>
                <w:spacing w:val="-2"/>
                <w:kern w:val="0"/>
                <w:sz w:val="24"/>
                <w:szCs w:val="24"/>
              </w:rPr>
              <w:t>农村居民人均可支配</w:t>
            </w:r>
            <w:r>
              <w:rPr>
                <w:rFonts w:hint="eastAsia" w:ascii="宋体" w:hAnsi="宋体" w:eastAsia="宋体" w:cs="宋体"/>
                <w:color w:val="000000"/>
                <w:spacing w:val="6"/>
                <w:kern w:val="0"/>
                <w:sz w:val="24"/>
                <w:szCs w:val="24"/>
              </w:rPr>
              <w:t>收入</w:t>
            </w:r>
          </w:p>
        </w:tc>
        <w:tc>
          <w:tcPr>
            <w:tcW w:w="320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0" w:beforeAutospacing="0" w:after="0" w:afterAutospacing="0" w:line="412"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18" w:lineRule="auto"/>
              <w:ind w:left="0" w:right="0" w:firstLine="76"/>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劳务报酬发放情况等</w:t>
            </w:r>
          </w:p>
        </w:tc>
        <w:tc>
          <w:tcPr>
            <w:tcW w:w="2697"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46" w:beforeAutospacing="0" w:after="0" w:afterAutospacing="0" w:line="220" w:lineRule="auto"/>
              <w:ind w:left="68" w:right="153"/>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 xml:space="preserve">根据年度资金绩效评 </w:t>
            </w:r>
            <w:r>
              <w:rPr>
                <w:rFonts w:hint="eastAsia" w:ascii="宋体" w:hAnsi="宋体" w:eastAsia="宋体" w:cs="宋体"/>
                <w:color w:val="000000"/>
                <w:spacing w:val="2"/>
                <w:kern w:val="0"/>
                <w:sz w:val="24"/>
                <w:szCs w:val="24"/>
              </w:rPr>
              <w:t>价及相关考核结果确</w:t>
            </w:r>
            <w:r>
              <w:rPr>
                <w:rFonts w:hint="eastAsia" w:ascii="宋体" w:hAnsi="宋体" w:eastAsia="宋体" w:cs="宋体"/>
                <w:color w:val="000000"/>
                <w:kern w:val="0"/>
                <w:sz w:val="24"/>
                <w:szCs w:val="24"/>
              </w:rPr>
              <w:t>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0"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468"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182" w:lineRule="auto"/>
              <w:ind w:left="0" w:right="0" w:firstLine="334"/>
              <w:jc w:val="both"/>
              <w:rPr>
                <w:rFonts w:hint="default" w:ascii="宋体" w:hAnsi="宋体" w:eastAsia="宋体" w:cs="宋体"/>
                <w:sz w:val="24"/>
                <w:szCs w:val="24"/>
              </w:rPr>
            </w:pPr>
            <w:r>
              <w:rPr>
                <w:rFonts w:hint="eastAsia" w:ascii="宋体" w:hAnsi="宋体" w:eastAsia="宋体" w:cs="宋体"/>
                <w:color w:val="000000"/>
                <w:kern w:val="0"/>
                <w:sz w:val="24"/>
                <w:szCs w:val="24"/>
              </w:rPr>
              <w:t>3</w:t>
            </w:r>
          </w:p>
        </w:tc>
        <w:tc>
          <w:tcPr>
            <w:tcW w:w="1759"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88" w:beforeAutospacing="0" w:after="0" w:afterAutospacing="0" w:line="228" w:lineRule="auto"/>
              <w:ind w:left="0" w:right="0"/>
              <w:jc w:val="center"/>
              <w:rPr>
                <w:rFonts w:hint="default" w:ascii="宋体" w:hAnsi="宋体" w:eastAsia="宋体" w:cs="宋体"/>
                <w:sz w:val="24"/>
                <w:szCs w:val="24"/>
              </w:rPr>
            </w:pPr>
            <w:r>
              <w:rPr>
                <w:rFonts w:hint="eastAsia" w:ascii="宋体" w:hAnsi="宋体" w:eastAsia="宋体" w:cs="宋体"/>
                <w:color w:val="000000"/>
                <w:spacing w:val="11"/>
                <w:kern w:val="0"/>
                <w:sz w:val="24"/>
                <w:szCs w:val="24"/>
              </w:rPr>
              <w:t>少数民族发展</w:t>
            </w:r>
            <w:r>
              <w:rPr>
                <w:rFonts w:hint="eastAsia" w:ascii="宋体" w:hAnsi="宋体" w:eastAsia="宋体" w:cs="宋体"/>
                <w:color w:val="000000"/>
                <w:spacing w:val="15"/>
                <w:kern w:val="0"/>
                <w:sz w:val="24"/>
                <w:szCs w:val="24"/>
              </w:rPr>
              <w:t>任务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32" w:lineRule="auto"/>
              <w:ind w:left="0" w:right="39"/>
              <w:jc w:val="center"/>
              <w:rPr>
                <w:rFonts w:hint="default" w:ascii="宋体" w:hAnsi="宋体" w:eastAsia="宋体" w:cs="宋体"/>
                <w:sz w:val="24"/>
                <w:szCs w:val="24"/>
              </w:rPr>
            </w:pPr>
            <w:r>
              <w:rPr>
                <w:rFonts w:hint="eastAsia" w:ascii="宋体" w:hAnsi="宋体" w:eastAsia="宋体" w:cs="宋体"/>
                <w:color w:val="000000"/>
                <w:spacing w:val="5"/>
                <w:kern w:val="0"/>
                <w:sz w:val="24"/>
                <w:szCs w:val="24"/>
              </w:rPr>
              <w:t>少数民族人口等数量及结</w:t>
            </w:r>
            <w:r>
              <w:rPr>
                <w:rFonts w:hint="eastAsia" w:ascii="宋体" w:hAnsi="宋体" w:eastAsia="宋体" w:cs="宋体"/>
                <w:color w:val="000000"/>
                <w:kern w:val="0"/>
                <w:sz w:val="24"/>
                <w:szCs w:val="24"/>
              </w:rPr>
              <w:t>构</w:t>
            </w:r>
          </w:p>
        </w:tc>
        <w:tc>
          <w:tcPr>
            <w:tcW w:w="2683"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26" w:beforeAutospacing="0" w:after="0" w:afterAutospacing="0" w:line="220" w:lineRule="auto"/>
              <w:ind w:left="0" w:right="51"/>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民族自治地方和民族乡镇农村居民人均可</w:t>
            </w:r>
            <w:r>
              <w:rPr>
                <w:rFonts w:hint="eastAsia" w:ascii="宋体" w:hAnsi="宋体" w:eastAsia="宋体" w:cs="宋体"/>
                <w:color w:val="000000"/>
                <w:spacing w:val="3"/>
                <w:kern w:val="0"/>
                <w:sz w:val="24"/>
                <w:szCs w:val="24"/>
              </w:rPr>
              <w:t xml:space="preserve"> 支配收入</w:t>
            </w:r>
          </w:p>
        </w:tc>
        <w:tc>
          <w:tcPr>
            <w:tcW w:w="320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06" w:lineRule="auto"/>
              <w:ind w:left="0" w:right="98"/>
              <w:jc w:val="center"/>
              <w:rPr>
                <w:rFonts w:hint="default" w:ascii="宋体" w:hAnsi="宋体" w:eastAsia="宋体" w:cs="宋体"/>
                <w:sz w:val="24"/>
                <w:szCs w:val="24"/>
              </w:rPr>
            </w:pPr>
            <w:r>
              <w:rPr>
                <w:rFonts w:hint="eastAsia" w:ascii="宋体" w:hAnsi="宋体" w:eastAsia="宋体" w:cs="宋体"/>
                <w:color w:val="000000"/>
                <w:spacing w:val="-4"/>
                <w:kern w:val="0"/>
                <w:sz w:val="24"/>
                <w:szCs w:val="24"/>
              </w:rPr>
              <w:t>兴边富民行动、民族村</w:t>
            </w:r>
            <w:r>
              <w:rPr>
                <w:rFonts w:hint="eastAsia" w:ascii="宋体" w:hAnsi="宋体" w:eastAsia="宋体" w:cs="宋体"/>
                <w:color w:val="000000"/>
                <w:spacing w:val="6"/>
                <w:kern w:val="0"/>
                <w:sz w:val="24"/>
                <w:szCs w:val="24"/>
              </w:rPr>
              <w:t>寨等</w:t>
            </w:r>
          </w:p>
        </w:tc>
        <w:tc>
          <w:tcPr>
            <w:tcW w:w="2697"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237" w:beforeAutospacing="0" w:after="0" w:afterAutospacing="0" w:line="220" w:lineRule="auto"/>
              <w:ind w:left="68" w:right="153"/>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 xml:space="preserve">根据年度资金绩效评 </w:t>
            </w:r>
            <w:r>
              <w:rPr>
                <w:rFonts w:hint="eastAsia" w:ascii="宋体" w:hAnsi="宋体" w:eastAsia="宋体" w:cs="宋体"/>
                <w:color w:val="000000"/>
                <w:spacing w:val="2"/>
                <w:kern w:val="0"/>
                <w:sz w:val="24"/>
                <w:szCs w:val="24"/>
              </w:rPr>
              <w:t>价及相关考核结果确</w:t>
            </w:r>
            <w:r>
              <w:rPr>
                <w:rFonts w:hint="eastAsia" w:ascii="宋体" w:hAnsi="宋体" w:eastAsia="宋体" w:cs="宋体"/>
                <w:color w:val="000000"/>
                <w:kern w:val="0"/>
                <w:sz w:val="24"/>
                <w:szCs w:val="24"/>
              </w:rPr>
              <w:t>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8"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283"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0" w:beforeAutospacing="0" w:after="0" w:afterAutospacing="0" w:line="285"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182" w:lineRule="auto"/>
              <w:ind w:left="0" w:right="0" w:firstLine="334"/>
              <w:jc w:val="both"/>
              <w:rPr>
                <w:rFonts w:hint="default" w:ascii="宋体" w:hAnsi="宋体" w:eastAsia="宋体" w:cs="宋体"/>
                <w:sz w:val="24"/>
                <w:szCs w:val="24"/>
              </w:rPr>
            </w:pPr>
            <w:r>
              <w:rPr>
                <w:rFonts w:hint="eastAsia" w:ascii="宋体" w:hAnsi="宋体" w:eastAsia="宋体" w:cs="宋体"/>
                <w:color w:val="000000"/>
                <w:kern w:val="0"/>
                <w:sz w:val="24"/>
                <w:szCs w:val="24"/>
              </w:rPr>
              <w:t>4</w:t>
            </w:r>
          </w:p>
        </w:tc>
        <w:tc>
          <w:tcPr>
            <w:tcW w:w="1759"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88" w:beforeAutospacing="0" w:after="0" w:afterAutospacing="0" w:line="237" w:lineRule="auto"/>
              <w:ind w:left="0" w:right="0"/>
              <w:jc w:val="center"/>
              <w:rPr>
                <w:rFonts w:hint="default" w:ascii="宋体" w:hAnsi="宋体" w:eastAsia="宋体" w:cs="宋体"/>
                <w:sz w:val="24"/>
                <w:szCs w:val="24"/>
              </w:rPr>
            </w:pPr>
            <w:r>
              <w:rPr>
                <w:rFonts w:hint="eastAsia" w:ascii="宋体" w:hAnsi="宋体" w:eastAsia="宋体" w:cs="宋体"/>
                <w:color w:val="000000"/>
                <w:spacing w:val="11"/>
                <w:kern w:val="0"/>
                <w:sz w:val="24"/>
                <w:szCs w:val="24"/>
              </w:rPr>
              <w:t>欠发达国有农</w:t>
            </w:r>
            <w:r>
              <w:rPr>
                <w:rFonts w:hint="eastAsia" w:ascii="宋体" w:hAnsi="宋体" w:eastAsia="宋体" w:cs="宋体"/>
                <w:color w:val="000000"/>
                <w:spacing w:val="5"/>
                <w:kern w:val="0"/>
                <w:sz w:val="24"/>
                <w:szCs w:val="24"/>
              </w:rPr>
              <w:t>场(牧场)巩</w:t>
            </w:r>
            <w:r>
              <w:rPr>
                <w:rFonts w:hint="eastAsia" w:ascii="宋体" w:hAnsi="宋体" w:eastAsia="宋体" w:cs="宋体"/>
                <w:color w:val="000000"/>
                <w:spacing w:val="11"/>
                <w:kern w:val="0"/>
                <w:sz w:val="24"/>
                <w:szCs w:val="24"/>
              </w:rPr>
              <w:t>固提升任务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44" w:lineRule="auto"/>
              <w:ind w:left="0" w:right="144"/>
              <w:jc w:val="center"/>
              <w:rPr>
                <w:rFonts w:hint="default" w:ascii="宋体" w:hAnsi="宋体" w:eastAsia="宋体" w:cs="宋体"/>
                <w:sz w:val="24"/>
                <w:szCs w:val="24"/>
              </w:rPr>
            </w:pPr>
            <w:r>
              <w:rPr>
                <w:rFonts w:hint="eastAsia" w:ascii="宋体" w:hAnsi="宋体" w:eastAsia="宋体" w:cs="宋体"/>
                <w:color w:val="000000"/>
                <w:spacing w:val="15"/>
                <w:w w:val="102"/>
                <w:kern w:val="0"/>
                <w:sz w:val="24"/>
                <w:szCs w:val="24"/>
              </w:rPr>
              <w:t>欠发达国有农场(牧场)</w:t>
            </w:r>
            <w:r>
              <w:rPr>
                <w:rFonts w:hint="eastAsia" w:ascii="宋体" w:hAnsi="宋体" w:eastAsia="宋体" w:cs="宋体"/>
                <w:color w:val="000000"/>
                <w:spacing w:val="2"/>
                <w:kern w:val="0"/>
                <w:sz w:val="24"/>
                <w:szCs w:val="24"/>
              </w:rPr>
              <w:t>从业人员数量及结构</w:t>
            </w:r>
          </w:p>
        </w:tc>
        <w:tc>
          <w:tcPr>
            <w:tcW w:w="2683"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18" w:lineRule="auto"/>
              <w:ind w:left="0" w:right="0" w:firstLine="242" w:firstLineChars="100"/>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从业人员年均收入</w:t>
            </w:r>
          </w:p>
        </w:tc>
        <w:tc>
          <w:tcPr>
            <w:tcW w:w="3205"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25" w:lineRule="auto"/>
              <w:ind w:left="0" w:right="59" w:firstLine="264" w:firstLineChars="100"/>
              <w:jc w:val="center"/>
              <w:rPr>
                <w:rFonts w:hint="default" w:ascii="宋体" w:hAnsi="宋体" w:eastAsia="宋体" w:cs="宋体"/>
                <w:sz w:val="24"/>
                <w:szCs w:val="24"/>
              </w:rPr>
            </w:pPr>
            <w:r>
              <w:rPr>
                <w:rFonts w:hint="eastAsia" w:ascii="宋体" w:hAnsi="宋体" w:eastAsia="宋体" w:cs="宋体"/>
                <w:color w:val="000000"/>
                <w:spacing w:val="12"/>
                <w:kern w:val="0"/>
                <w:sz w:val="24"/>
                <w:szCs w:val="24"/>
              </w:rPr>
              <w:t>国有农场(牧场)改革</w:t>
            </w:r>
            <w:r>
              <w:rPr>
                <w:rFonts w:hint="eastAsia" w:ascii="宋体" w:hAnsi="宋体" w:eastAsia="宋体" w:cs="宋体"/>
                <w:color w:val="000000"/>
                <w:spacing w:val="4"/>
                <w:kern w:val="0"/>
                <w:sz w:val="24"/>
                <w:szCs w:val="24"/>
              </w:rPr>
              <w:t>情况等</w:t>
            </w:r>
          </w:p>
        </w:tc>
        <w:tc>
          <w:tcPr>
            <w:tcW w:w="2697" w:type="dxa"/>
            <w:tcBorders>
              <w:top w:val="single" w:color="000000" w:sz="2" w:space="0"/>
              <w:left w:val="single" w:color="000000" w:sz="4" w:space="0"/>
              <w:bottom w:val="single" w:color="000000" w:sz="2" w:space="0"/>
              <w:right w:val="single" w:color="000000" w:sz="4" w:space="0"/>
            </w:tcBorders>
            <w:shd w:val="clear" w:color="auto" w:fill="auto"/>
            <w:vAlign w:val="center"/>
          </w:tcPr>
          <w:p>
            <w:pPr>
              <w:keepNext w:val="0"/>
              <w:keepLines w:val="0"/>
              <w:widowControl/>
              <w:suppressLineNumbers w:val="0"/>
              <w:kinsoku w:val="0"/>
              <w:autoSpaceDE w:val="0"/>
              <w:autoSpaceDN w:val="0"/>
              <w:adjustRightInd w:val="0"/>
              <w:snapToGrid w:val="0"/>
              <w:spacing w:before="91" w:beforeAutospacing="0" w:after="0" w:afterAutospacing="0" w:line="228" w:lineRule="auto"/>
              <w:ind w:left="0" w:right="153" w:firstLine="242" w:firstLineChars="100"/>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 xml:space="preserve">根据年度资金绩效评 </w:t>
            </w:r>
            <w:r>
              <w:rPr>
                <w:rFonts w:hint="eastAsia" w:ascii="宋体" w:hAnsi="宋体" w:eastAsia="宋体" w:cs="宋体"/>
                <w:color w:val="000000"/>
                <w:spacing w:val="2"/>
                <w:kern w:val="0"/>
                <w:sz w:val="24"/>
                <w:szCs w:val="24"/>
              </w:rPr>
              <w:t>价及相关考核结果确</w:t>
            </w:r>
            <w:r>
              <w:rPr>
                <w:rFonts w:hint="eastAsia" w:ascii="宋体" w:hAnsi="宋体" w:eastAsia="宋体" w:cs="宋体"/>
                <w:color w:val="000000"/>
                <w:kern w:val="0"/>
                <w:sz w:val="24"/>
                <w:szCs w:val="24"/>
              </w:rPr>
              <w:t>定</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09" w:hRule="atLeast"/>
        </w:trPr>
        <w:tc>
          <w:tcPr>
            <w:tcW w:w="824"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0" w:beforeAutospacing="0" w:after="0" w:afterAutospacing="0" w:line="280" w:lineRule="auto"/>
              <w:ind w:left="0" w:right="0"/>
              <w:jc w:val="both"/>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180" w:lineRule="auto"/>
              <w:ind w:left="0" w:right="0" w:firstLine="334"/>
              <w:jc w:val="both"/>
              <w:rPr>
                <w:rFonts w:hint="default" w:ascii="宋体" w:hAnsi="宋体" w:eastAsia="宋体" w:cs="宋体"/>
                <w:sz w:val="24"/>
                <w:szCs w:val="24"/>
              </w:rPr>
            </w:pPr>
            <w:r>
              <w:rPr>
                <w:rFonts w:hint="eastAsia" w:ascii="宋体" w:hAnsi="宋体" w:eastAsia="宋体" w:cs="宋体"/>
                <w:color w:val="000000"/>
                <w:kern w:val="0"/>
                <w:sz w:val="24"/>
                <w:szCs w:val="24"/>
              </w:rPr>
              <w:t>5</w:t>
            </w:r>
          </w:p>
        </w:tc>
        <w:tc>
          <w:tcPr>
            <w:tcW w:w="1759"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321" w:beforeAutospacing="0" w:after="0" w:afterAutospacing="0" w:line="237" w:lineRule="auto"/>
              <w:ind w:left="60" w:right="0"/>
              <w:jc w:val="center"/>
              <w:rPr>
                <w:rFonts w:hint="default" w:ascii="宋体" w:hAnsi="宋体" w:eastAsia="宋体" w:cs="宋体"/>
                <w:sz w:val="24"/>
                <w:szCs w:val="24"/>
              </w:rPr>
            </w:pPr>
            <w:r>
              <w:rPr>
                <w:rFonts w:hint="eastAsia" w:ascii="宋体" w:hAnsi="宋体" w:eastAsia="宋体" w:cs="宋体"/>
                <w:color w:val="000000"/>
                <w:spacing w:val="7"/>
                <w:kern w:val="0"/>
                <w:sz w:val="24"/>
                <w:szCs w:val="24"/>
              </w:rPr>
              <w:t>欠发达国有林</w:t>
            </w:r>
            <w:r>
              <w:rPr>
                <w:rFonts w:hint="eastAsia" w:ascii="宋体" w:hAnsi="宋体" w:eastAsia="宋体" w:cs="宋体"/>
                <w:color w:val="000000"/>
                <w:spacing w:val="11"/>
                <w:kern w:val="0"/>
                <w:sz w:val="24"/>
                <w:szCs w:val="24"/>
              </w:rPr>
              <w:t>场巩固提升任</w:t>
            </w:r>
            <w:r>
              <w:rPr>
                <w:rFonts w:hint="eastAsia" w:ascii="宋体" w:hAnsi="宋体" w:eastAsia="宋体" w:cs="宋体"/>
                <w:color w:val="000000"/>
                <w:kern w:val="0"/>
                <w:sz w:val="24"/>
                <w:szCs w:val="24"/>
              </w:rPr>
              <w:t>务</w:t>
            </w:r>
          </w:p>
        </w:tc>
        <w:tc>
          <w:tcPr>
            <w:tcW w:w="2965"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393"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13" w:lineRule="auto"/>
              <w:ind w:left="72" w:right="47"/>
              <w:jc w:val="center"/>
              <w:rPr>
                <w:rFonts w:hint="default" w:ascii="宋体" w:hAnsi="宋体" w:eastAsia="宋体" w:cs="宋体"/>
                <w:sz w:val="24"/>
                <w:szCs w:val="24"/>
              </w:rPr>
            </w:pPr>
            <w:r>
              <w:rPr>
                <w:rFonts w:hint="eastAsia" w:ascii="宋体" w:hAnsi="宋体" w:eastAsia="宋体" w:cs="宋体"/>
                <w:color w:val="000000"/>
                <w:spacing w:val="4"/>
                <w:kern w:val="0"/>
                <w:sz w:val="24"/>
                <w:szCs w:val="24"/>
              </w:rPr>
              <w:t xml:space="preserve">欠发达国有林场从业人员 </w:t>
            </w:r>
            <w:r>
              <w:rPr>
                <w:rFonts w:hint="eastAsia" w:ascii="宋体" w:hAnsi="宋体" w:eastAsia="宋体" w:cs="宋体"/>
                <w:color w:val="000000"/>
                <w:spacing w:val="3"/>
                <w:kern w:val="0"/>
                <w:sz w:val="24"/>
                <w:szCs w:val="24"/>
              </w:rPr>
              <w:t>数量及结构</w:t>
            </w:r>
          </w:p>
        </w:tc>
        <w:tc>
          <w:tcPr>
            <w:tcW w:w="2683"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18" w:lineRule="auto"/>
              <w:ind w:left="0" w:right="0" w:firstLine="84"/>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从业人员年均收入</w:t>
            </w:r>
          </w:p>
        </w:tc>
        <w:tc>
          <w:tcPr>
            <w:tcW w:w="3205"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0" w:beforeAutospacing="0" w:after="0" w:afterAutospacing="0" w:line="256" w:lineRule="auto"/>
              <w:ind w:left="0" w:right="0"/>
              <w:jc w:val="center"/>
              <w:rPr>
                <w:rFonts w:hint="default" w:cs="Arial"/>
                <w:sz w:val="24"/>
                <w:szCs w:val="24"/>
              </w:rPr>
            </w:pPr>
          </w:p>
          <w:p>
            <w:pPr>
              <w:keepNext w:val="0"/>
              <w:keepLines w:val="0"/>
              <w:widowControl/>
              <w:suppressLineNumbers w:val="0"/>
              <w:kinsoku w:val="0"/>
              <w:autoSpaceDE w:val="0"/>
              <w:autoSpaceDN w:val="0"/>
              <w:adjustRightInd w:val="0"/>
              <w:snapToGrid w:val="0"/>
              <w:spacing w:before="91" w:beforeAutospacing="0" w:after="0" w:afterAutospacing="0" w:line="218" w:lineRule="auto"/>
              <w:ind w:left="0" w:right="0" w:firstLine="76"/>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国有林场改革情况等</w:t>
            </w:r>
          </w:p>
        </w:tc>
        <w:tc>
          <w:tcPr>
            <w:tcW w:w="2697" w:type="dxa"/>
            <w:tcBorders>
              <w:top w:val="single" w:color="000000" w:sz="2" w:space="0"/>
              <w:left w:val="single" w:color="000000" w:sz="4" w:space="0"/>
              <w:bottom w:val="single" w:color="000000" w:sz="2" w:space="0"/>
              <w:right w:val="single" w:color="000000" w:sz="4" w:space="0"/>
            </w:tcBorders>
            <w:shd w:val="clear" w:color="auto" w:fill="auto"/>
          </w:tcPr>
          <w:p>
            <w:pPr>
              <w:keepNext w:val="0"/>
              <w:keepLines w:val="0"/>
              <w:widowControl/>
              <w:suppressLineNumbers w:val="0"/>
              <w:kinsoku w:val="0"/>
              <w:autoSpaceDE w:val="0"/>
              <w:autoSpaceDN w:val="0"/>
              <w:adjustRightInd w:val="0"/>
              <w:snapToGrid w:val="0"/>
              <w:spacing w:before="330" w:beforeAutospacing="0" w:after="0" w:afterAutospacing="0" w:line="228" w:lineRule="auto"/>
              <w:ind w:left="68" w:right="153"/>
              <w:jc w:val="center"/>
              <w:rPr>
                <w:rFonts w:hint="default" w:ascii="宋体" w:hAnsi="宋体" w:eastAsia="宋体" w:cs="宋体"/>
                <w:sz w:val="24"/>
                <w:szCs w:val="24"/>
              </w:rPr>
            </w:pPr>
            <w:r>
              <w:rPr>
                <w:rFonts w:hint="eastAsia" w:ascii="宋体" w:hAnsi="宋体" w:eastAsia="宋体" w:cs="宋体"/>
                <w:color w:val="000000"/>
                <w:spacing w:val="1"/>
                <w:kern w:val="0"/>
                <w:sz w:val="24"/>
                <w:szCs w:val="24"/>
              </w:rPr>
              <w:t xml:space="preserve">根据年度资金绩效评 </w:t>
            </w:r>
            <w:r>
              <w:rPr>
                <w:rFonts w:hint="eastAsia" w:ascii="宋体" w:hAnsi="宋体" w:eastAsia="宋体" w:cs="宋体"/>
                <w:color w:val="000000"/>
                <w:spacing w:val="2"/>
                <w:kern w:val="0"/>
                <w:sz w:val="24"/>
                <w:szCs w:val="24"/>
              </w:rPr>
              <w:t>价及相关考核结果确</w:t>
            </w:r>
            <w:r>
              <w:rPr>
                <w:rFonts w:hint="eastAsia" w:ascii="宋体" w:hAnsi="宋体" w:eastAsia="宋体" w:cs="宋体"/>
                <w:color w:val="000000"/>
                <w:kern w:val="0"/>
                <w:sz w:val="24"/>
                <w:szCs w:val="24"/>
              </w:rPr>
              <w:t>定</w:t>
            </w:r>
          </w:p>
        </w:tc>
      </w:tr>
    </w:tbl>
    <w:p>
      <w:pPr>
        <w:pStyle w:val="22"/>
        <w:ind w:left="0" w:leftChars="0" w:firstLine="0" w:firstLineChars="0"/>
        <w:rPr>
          <w:rFonts w:hint="eastAsia" w:ascii="Arial" w:hAnsi="Arial" w:eastAsia="宋体" w:cs="Times New Roman"/>
          <w:snapToGrid w:val="0"/>
          <w:color w:val="000000"/>
          <w:sz w:val="24"/>
          <w:szCs w:val="24"/>
          <w:lang w:eastAsia="zh-CN"/>
        </w:rPr>
      </w:pPr>
    </w:p>
    <w:p>
      <w:pPr>
        <w:widowControl/>
        <w:kinsoku w:val="0"/>
        <w:autoSpaceDE w:val="0"/>
        <w:autoSpaceDN w:val="0"/>
        <w:adjustRightInd w:val="0"/>
        <w:snapToGrid w:val="0"/>
        <w:spacing w:before="85" w:line="216" w:lineRule="auto"/>
        <w:ind w:firstLine="125"/>
        <w:jc w:val="left"/>
        <w:rPr>
          <w:rFonts w:hint="eastAsia" w:ascii="宋体" w:hAnsi="宋体" w:eastAsia="宋体" w:cs="宋体"/>
          <w:sz w:val="26"/>
          <w:szCs w:val="26"/>
          <w:lang w:eastAsia="zh-CN"/>
        </w:rPr>
      </w:pPr>
      <w:r>
        <w:rPr>
          <w:rFonts w:hint="eastAsia" w:ascii="宋体" w:hAnsi="宋体" w:eastAsia="宋体" w:cs="宋体"/>
          <w:color w:val="000000"/>
          <w:spacing w:val="10"/>
          <w:kern w:val="0"/>
          <w:sz w:val="26"/>
          <w:szCs w:val="26"/>
        </w:rPr>
        <w:t>注:每年分配资金选择的具体因素和权重,可根据当年巩固拓展脱贫攻坚成果同乡村振兴的工作重点进行适当调整</w:t>
      </w:r>
      <w:r>
        <w:rPr>
          <w:rFonts w:hint="eastAsia" w:ascii="宋体" w:hAnsi="宋体" w:cs="宋体"/>
          <w:color w:val="000000"/>
          <w:spacing w:val="10"/>
          <w:kern w:val="0"/>
          <w:sz w:val="26"/>
          <w:szCs w:val="26"/>
          <w:lang w:eastAsia="zh-CN"/>
        </w:rPr>
        <w:t>。</w:t>
      </w:r>
    </w:p>
    <w:p>
      <w:pPr>
        <w:pStyle w:val="22"/>
        <w:ind w:left="0" w:leftChars="0" w:firstLine="0" w:firstLineChars="0"/>
        <w:rPr>
          <w:rFonts w:ascii="Arial" w:hAnsi="Arial" w:eastAsia="Arial" w:cs="Times New Roman"/>
          <w:snapToGrid w:val="0"/>
          <w:color w:val="000000"/>
          <w:szCs w:val="21"/>
        </w:rPr>
      </w:pPr>
    </w:p>
    <w:p>
      <w:pPr>
        <w:pStyle w:val="22"/>
        <w:ind w:left="0" w:leftChars="0"/>
        <w:rPr>
          <w:rFonts w:ascii="Arial" w:hAnsi="Arial" w:eastAsia="Arial" w:cs="Times New Roman"/>
          <w:snapToGrid w:val="0"/>
          <w:color w:val="000000"/>
          <w:szCs w:val="21"/>
        </w:rPr>
        <w:sectPr>
          <w:pgSz w:w="16840" w:h="11910"/>
          <w:pgMar w:top="987" w:right="1434" w:bottom="901" w:left="1154" w:header="1" w:footer="717" w:gutter="0"/>
          <w:cols w:space="425" w:num="1"/>
          <w:docGrid w:type="lines" w:linePitch="312" w:charSpace="0"/>
        </w:sectPr>
      </w:pPr>
    </w:p>
    <w:p>
      <w:pPr>
        <w:keepNext w:val="0"/>
        <w:keepLines w:val="0"/>
        <w:pageBreakBefore w:val="0"/>
        <w:widowControl w:val="0"/>
        <w:suppressLineNumbers w:val="0"/>
        <w:kinsoku/>
        <w:wordWrap/>
        <w:overflowPunct w:val="0"/>
        <w:topLinePunct w:val="0"/>
        <w:autoSpaceDE/>
        <w:autoSpaceDN/>
        <w:bidi w:val="0"/>
        <w:adjustRightInd/>
        <w:snapToGrid/>
        <w:jc w:val="both"/>
        <w:textAlignment w:val="center"/>
        <w:rPr>
          <w:rFonts w:hint="eastAsia" w:ascii="Times New Roman" w:hAnsi="Times New Roman"/>
          <w:color w:val="000000" w:themeColor="text1"/>
          <w14:textFill>
            <w14:solidFill>
              <w14:schemeClr w14:val="tx1"/>
            </w14:solidFill>
          </w14:textFill>
        </w:rPr>
      </w:pPr>
    </w:p>
    <w:p>
      <w:pPr>
        <w:pStyle w:val="8"/>
        <w:rPr>
          <w:rFonts w:hint="eastAsia" w:ascii="仿宋" w:hAnsi="仿宋" w:eastAsia="仿宋" w:cs="仿宋"/>
          <w:color w:val="000000"/>
          <w:spacing w:val="18"/>
          <w:w w:val="101"/>
          <w:kern w:val="0"/>
          <w:sz w:val="32"/>
          <w:szCs w:val="32"/>
          <w:lang w:val="en-US" w:eastAsia="zh-CN"/>
        </w:rPr>
      </w:pPr>
      <w:r>
        <w:rPr>
          <w:rFonts w:hint="eastAsia" w:ascii="仿宋" w:hAnsi="仿宋" w:eastAsia="仿宋" w:cs="仿宋"/>
          <w:color w:val="000000"/>
          <w:spacing w:val="18"/>
          <w:w w:val="101"/>
          <w:kern w:val="0"/>
          <w:sz w:val="32"/>
          <w:szCs w:val="32"/>
          <w:lang w:val="en-US" w:eastAsia="zh-CN"/>
        </w:rPr>
        <w:t xml:space="preserve"> </w:t>
      </w: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p>
      <w:pPr>
        <w:pStyle w:val="8"/>
        <w:rPr>
          <w:rFonts w:hint="eastAsia" w:ascii="仿宋" w:hAnsi="仿宋" w:eastAsia="仿宋" w:cs="仿宋"/>
          <w:color w:val="000000"/>
          <w:spacing w:val="18"/>
          <w:w w:val="101"/>
          <w:kern w:val="0"/>
          <w:sz w:val="32"/>
          <w:szCs w:val="32"/>
          <w:lang w:val="en-US" w:eastAsia="zh-CN"/>
        </w:rPr>
      </w:pPr>
    </w:p>
    <w:tbl>
      <w:tblPr>
        <w:tblStyle w:val="57"/>
        <w:tblpPr w:leftFromText="180" w:rightFromText="180" w:vertAnchor="text" w:horzAnchor="page" w:tblpX="1453" w:tblpY="980"/>
        <w:tblOverlap w:val="never"/>
        <w:tblW w:w="1320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5911"/>
        <w:gridCol w:w="7297"/>
      </w:tblGrid>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944" w:hRule="atLeast"/>
        </w:trPr>
        <w:tc>
          <w:tcPr>
            <w:tcW w:w="13208" w:type="dxa"/>
            <w:gridSpan w:val="2"/>
            <w:tcBorders>
              <w:top w:val="single" w:color="000000" w:sz="2" w:space="0"/>
              <w:left w:val="nil"/>
              <w:bottom w:val="single" w:color="000000" w:sz="2" w:space="0"/>
              <w:right w:val="nil"/>
            </w:tcBorders>
            <w:shd w:val="clear" w:color="auto" w:fill="auto"/>
          </w:tcPr>
          <w:p>
            <w:pPr>
              <w:keepNext w:val="0"/>
              <w:keepLines w:val="0"/>
              <w:widowControl/>
              <w:suppressLineNumbers w:val="0"/>
              <w:tabs>
                <w:tab w:val="left" w:pos="10500"/>
              </w:tabs>
              <w:kinsoku w:val="0"/>
              <w:autoSpaceDE w:val="0"/>
              <w:autoSpaceDN w:val="0"/>
              <w:adjustRightInd w:val="0"/>
              <w:snapToGrid w:val="0"/>
              <w:spacing w:before="277" w:beforeAutospacing="0" w:after="0" w:afterAutospacing="0" w:line="220" w:lineRule="auto"/>
              <w:ind w:left="0" w:right="0"/>
              <w:jc w:val="left"/>
              <w:rPr>
                <w:rFonts w:hint="eastAsia" w:ascii="仿宋" w:hAnsi="仿宋" w:eastAsia="仿宋" w:cs="仿宋"/>
                <w:color w:val="000000"/>
                <w:spacing w:val="-13"/>
                <w:kern w:val="0"/>
                <w:sz w:val="30"/>
                <w:szCs w:val="30"/>
              </w:rPr>
            </w:pPr>
            <w:r>
              <w:rPr>
                <w:rFonts w:hint="eastAsia" w:ascii="仿宋" w:hAnsi="仿宋" w:eastAsia="仿宋" w:cs="仿宋"/>
                <w:color w:val="000000"/>
                <w:spacing w:val="-13"/>
                <w:kern w:val="0"/>
                <w:sz w:val="30"/>
                <w:szCs w:val="30"/>
              </w:rPr>
              <w:t>抄送:财政部,国家乡村振兴局,财政部新疆监管局,自治区党委农村</w:t>
            </w:r>
          </w:p>
          <w:p>
            <w:pPr>
              <w:keepNext w:val="0"/>
              <w:keepLines w:val="0"/>
              <w:widowControl/>
              <w:suppressLineNumbers w:val="0"/>
              <w:tabs>
                <w:tab w:val="left" w:pos="10500"/>
              </w:tabs>
              <w:kinsoku w:val="0"/>
              <w:autoSpaceDE w:val="0"/>
              <w:autoSpaceDN w:val="0"/>
              <w:adjustRightInd w:val="0"/>
              <w:snapToGrid w:val="0"/>
              <w:spacing w:before="277" w:beforeAutospacing="0" w:after="0" w:afterAutospacing="0" w:line="220" w:lineRule="auto"/>
              <w:ind w:left="0" w:right="0"/>
              <w:jc w:val="left"/>
              <w:rPr>
                <w:rFonts w:hint="default" w:ascii="仿宋" w:hAnsi="仿宋" w:eastAsia="仿宋" w:cs="仿宋"/>
                <w:sz w:val="30"/>
                <w:szCs w:val="30"/>
              </w:rPr>
            </w:pPr>
            <w:r>
              <w:rPr>
                <w:rFonts w:hint="eastAsia" w:ascii="仿宋" w:hAnsi="仿宋" w:eastAsia="仿宋" w:cs="仿宋"/>
                <w:color w:val="000000"/>
                <w:spacing w:val="-14"/>
                <w:kern w:val="0"/>
                <w:position w:val="25"/>
                <w:sz w:val="30"/>
                <w:szCs w:val="30"/>
              </w:rPr>
              <w:t>工作领导小组暨乡村振兴领导小组办公室,自治区审计厅,本厅</w:t>
            </w:r>
          </w:p>
          <w:p>
            <w:pPr>
              <w:keepNext w:val="0"/>
              <w:keepLines w:val="0"/>
              <w:widowControl/>
              <w:suppressLineNumbers w:val="0"/>
              <w:kinsoku w:val="0"/>
              <w:autoSpaceDE w:val="0"/>
              <w:autoSpaceDN w:val="0"/>
              <w:adjustRightInd w:val="0"/>
              <w:snapToGrid w:val="0"/>
              <w:spacing w:before="0" w:beforeAutospacing="0" w:after="0" w:afterAutospacing="0" w:line="220" w:lineRule="auto"/>
              <w:ind w:left="0" w:right="0" w:firstLine="1169"/>
              <w:jc w:val="left"/>
              <w:rPr>
                <w:rFonts w:hint="default" w:ascii="仿宋" w:hAnsi="仿宋" w:eastAsia="仿宋" w:cs="仿宋"/>
                <w:sz w:val="30"/>
                <w:szCs w:val="30"/>
              </w:rPr>
            </w:pPr>
            <w:r>
              <w:rPr>
                <w:rFonts w:hint="eastAsia" w:ascii="仿宋" w:hAnsi="仿宋" w:eastAsia="仿宋" w:cs="仿宋"/>
                <w:color w:val="000000"/>
                <w:spacing w:val="-20"/>
                <w:kern w:val="0"/>
                <w:sz w:val="30"/>
                <w:szCs w:val="30"/>
              </w:rPr>
              <w:t>预算处、国库处、财政内控监督处</w:t>
            </w:r>
          </w:p>
        </w:tc>
      </w:tr>
      <w:tr>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10" w:hRule="atLeast"/>
        </w:trPr>
        <w:tc>
          <w:tcPr>
            <w:tcW w:w="5911" w:type="dxa"/>
            <w:tcBorders>
              <w:top w:val="single" w:color="000000" w:sz="2" w:space="0"/>
              <w:left w:val="nil"/>
              <w:bottom w:val="single" w:color="000000" w:sz="2" w:space="0"/>
              <w:right w:val="nil"/>
            </w:tcBorders>
            <w:shd w:val="clear" w:color="auto" w:fill="auto"/>
          </w:tcPr>
          <w:p>
            <w:pPr>
              <w:keepNext w:val="0"/>
              <w:keepLines w:val="0"/>
              <w:widowControl/>
              <w:suppressLineNumbers w:val="0"/>
              <w:kinsoku w:val="0"/>
              <w:autoSpaceDE w:val="0"/>
              <w:autoSpaceDN w:val="0"/>
              <w:adjustRightInd w:val="0"/>
              <w:snapToGrid w:val="0"/>
              <w:spacing w:before="276" w:beforeAutospacing="0" w:after="0" w:afterAutospacing="0" w:line="220" w:lineRule="auto"/>
              <w:ind w:left="0" w:right="0" w:firstLine="524" w:firstLineChars="200"/>
              <w:jc w:val="left"/>
              <w:rPr>
                <w:rFonts w:hint="default" w:ascii="仿宋" w:hAnsi="仿宋" w:eastAsia="仿宋" w:cs="仿宋"/>
                <w:sz w:val="30"/>
                <w:szCs w:val="30"/>
              </w:rPr>
            </w:pPr>
            <w:r>
              <w:rPr>
                <w:rFonts w:hint="eastAsia" w:ascii="仿宋" w:hAnsi="仿宋" w:eastAsia="仿宋" w:cs="仿宋"/>
                <w:color w:val="000000"/>
                <w:spacing w:val="-19"/>
                <w:kern w:val="0"/>
                <w:sz w:val="30"/>
                <w:szCs w:val="30"/>
              </w:rPr>
              <w:t>新疆维吾尔自治区财政厅</w:t>
            </w:r>
          </w:p>
        </w:tc>
        <w:tc>
          <w:tcPr>
            <w:tcW w:w="7297" w:type="dxa"/>
            <w:tcBorders>
              <w:top w:val="single" w:color="000000" w:sz="2" w:space="0"/>
              <w:left w:val="nil"/>
              <w:bottom w:val="single" w:color="000000" w:sz="2" w:space="0"/>
              <w:right w:val="nil"/>
            </w:tcBorders>
            <w:shd w:val="clear" w:color="auto" w:fill="auto"/>
          </w:tcPr>
          <w:p>
            <w:pPr>
              <w:keepNext w:val="0"/>
              <w:keepLines w:val="0"/>
              <w:widowControl/>
              <w:suppressLineNumbers w:val="0"/>
              <w:kinsoku w:val="0"/>
              <w:autoSpaceDE w:val="0"/>
              <w:autoSpaceDN w:val="0"/>
              <w:adjustRightInd w:val="0"/>
              <w:snapToGrid w:val="0"/>
              <w:spacing w:before="267" w:beforeAutospacing="0" w:after="0" w:afterAutospacing="0" w:line="220" w:lineRule="auto"/>
              <w:ind w:left="0" w:right="0" w:firstLine="1289"/>
              <w:jc w:val="left"/>
              <w:rPr>
                <w:rFonts w:hint="default" w:ascii="仿宋" w:hAnsi="仿宋" w:eastAsia="仿宋" w:cs="仿宋"/>
                <w:sz w:val="30"/>
                <w:szCs w:val="30"/>
              </w:rPr>
            </w:pPr>
            <w:r>
              <w:rPr>
                <w:rFonts w:hint="eastAsia" w:ascii="仿宋" w:hAnsi="仿宋" w:eastAsia="仿宋" w:cs="仿宋"/>
                <w:color w:val="000000"/>
                <w:spacing w:val="13"/>
                <w:kern w:val="0"/>
                <w:sz w:val="30"/>
                <w:szCs w:val="30"/>
              </w:rPr>
              <w:t>2021年8月3日印发</w:t>
            </w:r>
          </w:p>
        </w:tc>
      </w:tr>
    </w:tbl>
    <w:p>
      <w:pPr>
        <w:pStyle w:val="8"/>
        <w:rPr>
          <w:rFonts w:hint="eastAsia" w:ascii="仿宋" w:hAnsi="仿宋" w:eastAsia="仿宋" w:cs="仿宋"/>
          <w:color w:val="000000"/>
          <w:spacing w:val="-16"/>
          <w:w w:val="97"/>
          <w:kern w:val="0"/>
          <w:sz w:val="32"/>
          <w:szCs w:val="32"/>
          <w:lang w:val="en-US" w:eastAsia="zh-CN"/>
        </w:rPr>
        <w:sectPr>
          <w:pgSz w:w="11910" w:h="16840"/>
          <w:pgMar w:top="1431" w:right="1449" w:bottom="1525" w:left="1509" w:header="1" w:footer="1156" w:gutter="0"/>
          <w:cols w:space="425" w:num="1"/>
          <w:docGrid w:type="lines" w:linePitch="312" w:charSpace="0"/>
        </w:sectPr>
      </w:pPr>
    </w:p>
    <w:p>
      <w:pPr>
        <w:pStyle w:val="8"/>
        <w:rPr>
          <w:rFonts w:hint="eastAsia" w:ascii="Times New Roman" w:hAnsi="Times New Roman"/>
          <w:color w:val="000000" w:themeColor="text1"/>
          <w14:textFill>
            <w14:solidFill>
              <w14:schemeClr w14:val="tx1"/>
            </w14:solidFill>
          </w14:textFill>
        </w:rPr>
      </w:pPr>
      <w:r>
        <w:drawing>
          <wp:inline distT="0" distB="0" distL="114300" distR="114300">
            <wp:extent cx="5615305" cy="7751445"/>
            <wp:effectExtent l="0" t="0" r="8255" b="571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grayscl/>
                    </a:blip>
                    <a:stretch>
                      <a:fillRect/>
                    </a:stretch>
                  </pic:blipFill>
                  <pic:spPr>
                    <a:xfrm>
                      <a:off x="0" y="0"/>
                      <a:ext cx="5615305" cy="7751445"/>
                    </a:xfrm>
                    <a:prstGeom prst="rect">
                      <a:avLst/>
                    </a:prstGeom>
                    <a:noFill/>
                    <a:ln>
                      <a:noFill/>
                    </a:ln>
                    <a:effectLst>
                      <a:outerShdw blurRad="50800" dist="50800" dir="5400000" sx="1000" sy="1000" algn="ctr" rotWithShape="0">
                        <a:srgbClr val="000000">
                          <a:alpha val="43000"/>
                        </a:srgbClr>
                      </a:outerShdw>
                    </a:effectLst>
                  </pic:spPr>
                </pic:pic>
              </a:graphicData>
            </a:graphic>
          </wp:inline>
        </w:drawing>
      </w:r>
    </w:p>
    <w:p>
      <w:pPr>
        <w:rPr>
          <w:rFonts w:ascii="Arial" w:hAnsi="Arial" w:eastAsia="Arial" w:cs="Times New Roman"/>
          <w:snapToGrid w:val="0"/>
          <w:color w:val="000000"/>
          <w:szCs w:val="21"/>
        </w:rPr>
      </w:pP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8"/>
                    <a:stretch>
                      <a:fillRect/>
                    </a:stretch>
                  </pic:blipFill>
                  <pic:spPr>
                    <a:xfrm>
                      <a:off x="0" y="0"/>
                      <a:ext cx="5615305" cy="7751445"/>
                    </a:xfrm>
                    <a:prstGeom prst="rect">
                      <a:avLst/>
                    </a:prstGeom>
                    <a:noFill/>
                    <a:ln>
                      <a:noFill/>
                    </a:ln>
                  </pic:spPr>
                </pic:pic>
              </a:graphicData>
            </a:graphic>
          </wp:inline>
        </w:drawing>
      </w: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
                    <pic:cNvPicPr>
                      <a:picLocks noChangeAspect="1"/>
                    </pic:cNvPicPr>
                  </pic:nvPicPr>
                  <pic:blipFill>
                    <a:blip r:embed="rId19"/>
                    <a:stretch>
                      <a:fillRect/>
                    </a:stretch>
                  </pic:blipFill>
                  <pic:spPr>
                    <a:xfrm>
                      <a:off x="0" y="0"/>
                      <a:ext cx="5615305" cy="7751445"/>
                    </a:xfrm>
                    <a:prstGeom prst="rect">
                      <a:avLst/>
                    </a:prstGeom>
                    <a:noFill/>
                    <a:ln>
                      <a:noFill/>
                    </a:ln>
                  </pic:spPr>
                </pic:pic>
              </a:graphicData>
            </a:graphic>
          </wp:inline>
        </w:drawing>
      </w: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20"/>
                    <a:stretch>
                      <a:fillRect/>
                    </a:stretch>
                  </pic:blipFill>
                  <pic:spPr>
                    <a:xfrm>
                      <a:off x="0" y="0"/>
                      <a:ext cx="5615305" cy="7751445"/>
                    </a:xfrm>
                    <a:prstGeom prst="rect">
                      <a:avLst/>
                    </a:prstGeom>
                    <a:noFill/>
                    <a:ln>
                      <a:noFill/>
                    </a:ln>
                  </pic:spPr>
                </pic:pic>
              </a:graphicData>
            </a:graphic>
          </wp:inline>
        </w:drawing>
      </w: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21"/>
                    <a:stretch>
                      <a:fillRect/>
                    </a:stretch>
                  </pic:blipFill>
                  <pic:spPr>
                    <a:xfrm>
                      <a:off x="0" y="0"/>
                      <a:ext cx="5615305" cy="7751445"/>
                    </a:xfrm>
                    <a:prstGeom prst="rect">
                      <a:avLst/>
                    </a:prstGeom>
                    <a:noFill/>
                    <a:ln>
                      <a:noFill/>
                    </a:ln>
                  </pic:spPr>
                </pic:pic>
              </a:graphicData>
            </a:graphic>
          </wp:inline>
        </w:drawing>
      </w: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2"/>
                    <a:stretch>
                      <a:fillRect/>
                    </a:stretch>
                  </pic:blipFill>
                  <pic:spPr>
                    <a:xfrm>
                      <a:off x="0" y="0"/>
                      <a:ext cx="5615305" cy="7751445"/>
                    </a:xfrm>
                    <a:prstGeom prst="rect">
                      <a:avLst/>
                    </a:prstGeom>
                    <a:noFill/>
                    <a:ln>
                      <a:noFill/>
                    </a:ln>
                  </pic:spPr>
                </pic:pic>
              </a:graphicData>
            </a:graphic>
          </wp:inline>
        </w:drawing>
      </w:r>
    </w:p>
    <w:p>
      <w:pPr>
        <w:widowControl w:val="0"/>
        <w:spacing w:line="480" w:lineRule="auto"/>
        <w:ind w:left="420" w:leftChars="200"/>
        <w:jc w:val="both"/>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3"/>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4"/>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5"/>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26"/>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27"/>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8"/>
                    <a:stretch>
                      <a:fillRect/>
                    </a:stretch>
                  </pic:blipFill>
                  <pic:spPr>
                    <a:xfrm>
                      <a:off x="0" y="0"/>
                      <a:ext cx="5615305" cy="7751445"/>
                    </a:xfrm>
                    <a:prstGeom prst="rect">
                      <a:avLst/>
                    </a:prstGeom>
                    <a:noFill/>
                    <a:ln>
                      <a:noFill/>
                    </a:ln>
                  </pic:spPr>
                </pic:pic>
              </a:graphicData>
            </a:graphic>
          </wp:inline>
        </w:drawing>
      </w: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p>
    <w:p>
      <w:pPr>
        <w:pStyle w:val="8"/>
        <w:rPr>
          <w:rFonts w:ascii="Arial" w:hAnsi="Arial" w:eastAsia="Arial" w:cs="Times New Roman"/>
          <w:snapToGrid w:val="0"/>
          <w:color w:val="000000"/>
          <w:kern w:val="2"/>
          <w:sz w:val="21"/>
          <w:szCs w:val="21"/>
          <w:lang w:val="en-US" w:eastAsia="zh-CN" w:bidi="ar-SA"/>
        </w:rPr>
      </w:pPr>
      <w:r>
        <w:drawing>
          <wp:inline distT="0" distB="0" distL="114300" distR="114300">
            <wp:extent cx="5615305" cy="7751445"/>
            <wp:effectExtent l="0" t="0" r="8255" b="5715"/>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29"/>
                    <a:stretch>
                      <a:fillRect/>
                    </a:stretch>
                  </pic:blipFill>
                  <pic:spPr>
                    <a:xfrm>
                      <a:off x="0" y="0"/>
                      <a:ext cx="5615305" cy="7751445"/>
                    </a:xfrm>
                    <a:prstGeom prst="rect">
                      <a:avLst/>
                    </a:prstGeom>
                    <a:noFill/>
                    <a:ln>
                      <a:noFill/>
                    </a:ln>
                  </pic:spPr>
                </pic:pic>
              </a:graphicData>
            </a:graphic>
          </wp:inline>
        </w:drawing>
      </w:r>
    </w:p>
    <w:p>
      <w:pPr>
        <w:pStyle w:val="22"/>
        <w:ind w:left="0" w:leftChars="0"/>
        <w:rPr>
          <w:rFonts w:ascii="Arial" w:hAnsi="Arial" w:eastAsia="Arial" w:cs="Times New Roman"/>
          <w:snapToGrid w:val="0"/>
          <w:color w:val="000000"/>
          <w:szCs w:val="21"/>
        </w:rPr>
      </w:pPr>
      <w:r>
        <w:drawing>
          <wp:inline distT="0" distB="0" distL="114300" distR="114300">
            <wp:extent cx="5615305" cy="7751445"/>
            <wp:effectExtent l="0" t="0" r="8255" b="5715"/>
            <wp:docPr id="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5"/>
                    <pic:cNvPicPr>
                      <a:picLocks noChangeAspect="1"/>
                    </pic:cNvPicPr>
                  </pic:nvPicPr>
                  <pic:blipFill>
                    <a:blip r:embed="rId30"/>
                    <a:stretch>
                      <a:fillRect/>
                    </a:stretch>
                  </pic:blipFill>
                  <pic:spPr>
                    <a:xfrm>
                      <a:off x="0" y="0"/>
                      <a:ext cx="5615305" cy="7751445"/>
                    </a:xfrm>
                    <a:prstGeom prst="rect">
                      <a:avLst/>
                    </a:prstGeom>
                    <a:noFill/>
                    <a:ln>
                      <a:noFill/>
                    </a:ln>
                  </pic:spPr>
                </pic:pic>
              </a:graphicData>
            </a:graphic>
          </wp:inline>
        </w:drawing>
      </w:r>
    </w:p>
    <w:p>
      <w:pPr>
        <w:spacing w:line="580" w:lineRule="exact"/>
        <w:jc w:val="center"/>
        <w:rPr>
          <w:rFonts w:hint="eastAsia" w:ascii="方正小标宋简体" w:hAnsi="仿宋" w:eastAsia="方正小标宋简体"/>
          <w:sz w:val="36"/>
          <w:szCs w:val="36"/>
          <w:lang w:val="en-US" w:eastAsia="zh-CN"/>
        </w:rPr>
      </w:pPr>
    </w:p>
    <w:p>
      <w:pPr>
        <w:spacing w:line="580" w:lineRule="exact"/>
        <w:jc w:val="center"/>
        <w:rPr>
          <w:rFonts w:hint="eastAsia" w:ascii="方正小标宋简体" w:hAnsi="仿宋" w:eastAsia="方正小标宋简体"/>
          <w:sz w:val="36"/>
          <w:szCs w:val="36"/>
          <w:lang w:val="en-US" w:eastAsia="zh-CN"/>
        </w:rPr>
      </w:pPr>
    </w:p>
    <w:p>
      <w:pPr>
        <w:spacing w:line="580" w:lineRule="exact"/>
        <w:jc w:val="center"/>
        <w:rPr>
          <w:rFonts w:hint="eastAsia" w:ascii="方正小标宋简体" w:hAnsi="仿宋" w:eastAsia="方正小标宋简体"/>
          <w:sz w:val="36"/>
          <w:szCs w:val="36"/>
          <w:lang w:val="en-US" w:eastAsia="zh-CN"/>
        </w:rPr>
      </w:pPr>
    </w:p>
    <w:p>
      <w:pPr>
        <w:pStyle w:val="13"/>
        <w:spacing w:beforeAutospacing="0" w:afterAutospacing="0" w:line="560" w:lineRule="exact"/>
        <w:ind w:right="-483" w:rightChars="-230"/>
        <w:jc w:val="both"/>
        <w:rPr>
          <w:rFonts w:hint="eastAsia" w:ascii="黑体" w:hAnsi="宋体" w:eastAsia="黑体" w:cs="黑体"/>
          <w:sz w:val="32"/>
          <w:szCs w:val="32"/>
        </w:rPr>
      </w:pPr>
    </w:p>
    <w:p>
      <w:pPr>
        <w:pStyle w:val="13"/>
        <w:spacing w:beforeAutospacing="0" w:afterAutospacing="0" w:line="560" w:lineRule="exact"/>
        <w:ind w:right="-483" w:rightChars="-230"/>
        <w:jc w:val="center"/>
        <w:rPr>
          <w:rFonts w:hint="eastAsia" w:ascii="黑体" w:hAnsi="宋体" w:eastAsia="黑体" w:cs="黑体"/>
          <w:sz w:val="44"/>
          <w:szCs w:val="44"/>
        </w:rPr>
      </w:pPr>
    </w:p>
    <w:p>
      <w:pPr>
        <w:pStyle w:val="13"/>
        <w:spacing w:beforeAutospacing="0" w:afterAutospacing="0" w:line="560" w:lineRule="exact"/>
        <w:ind w:right="-483" w:rightChars="-230"/>
        <w:jc w:val="center"/>
        <w:rPr>
          <w:rFonts w:hint="eastAsia" w:ascii="黑体" w:hAnsi="宋体" w:eastAsia="黑体" w:cs="黑体"/>
          <w:sz w:val="44"/>
          <w:szCs w:val="44"/>
        </w:rPr>
      </w:pPr>
    </w:p>
    <w:p>
      <w:pPr>
        <w:pStyle w:val="13"/>
        <w:spacing w:beforeAutospacing="0" w:afterAutospacing="0" w:line="560" w:lineRule="exact"/>
        <w:ind w:right="-483" w:rightChars="-230"/>
        <w:jc w:val="center"/>
        <w:rPr>
          <w:rFonts w:hint="eastAsia" w:ascii="黑体" w:hAnsi="宋体" w:eastAsia="黑体" w:cs="黑体"/>
          <w:sz w:val="44"/>
          <w:szCs w:val="44"/>
        </w:rPr>
      </w:pPr>
    </w:p>
    <w:p>
      <w:pPr>
        <w:pStyle w:val="13"/>
        <w:spacing w:beforeAutospacing="0" w:afterAutospacing="0" w:line="560" w:lineRule="exact"/>
        <w:ind w:right="-483" w:rightChars="-230"/>
        <w:jc w:val="center"/>
        <w:rPr>
          <w:rFonts w:hint="eastAsia" w:ascii="黑体" w:hAnsi="宋体" w:eastAsia="黑体" w:cs="黑体"/>
          <w:sz w:val="44"/>
          <w:szCs w:val="44"/>
        </w:rPr>
      </w:pPr>
    </w:p>
    <w:p>
      <w:pPr>
        <w:pStyle w:val="13"/>
        <w:spacing w:beforeAutospacing="0" w:afterAutospacing="0" w:line="560" w:lineRule="exact"/>
        <w:ind w:right="-483" w:rightChars="-230"/>
        <w:jc w:val="center"/>
        <w:rPr>
          <w:rFonts w:hint="eastAsia" w:ascii="黑体" w:hAnsi="宋体" w:eastAsia="黑体" w:cs="黑体"/>
          <w:sz w:val="44"/>
          <w:szCs w:val="44"/>
          <w:lang w:val="en-US" w:eastAsia="zh-CN"/>
        </w:rPr>
      </w:pPr>
      <w:r>
        <w:rPr>
          <w:rFonts w:hint="eastAsia" w:ascii="黑体" w:hAnsi="宋体" w:eastAsia="黑体" w:cs="黑体"/>
          <w:sz w:val="44"/>
          <w:szCs w:val="44"/>
        </w:rPr>
        <w:t xml:space="preserve">第七部分 </w:t>
      </w:r>
      <w:r>
        <w:rPr>
          <w:rFonts w:hint="eastAsia" w:ascii="黑体" w:hAnsi="宋体" w:eastAsia="黑体" w:cs="黑体"/>
          <w:sz w:val="44"/>
          <w:szCs w:val="44"/>
          <w:lang w:val="en-US" w:eastAsia="zh-CN"/>
        </w:rPr>
        <w:t>本级汇总的预算绩效情况说明</w:t>
      </w:r>
    </w:p>
    <w:p>
      <w:pPr>
        <w:jc w:val="center"/>
        <w:rPr>
          <w:rFonts w:hint="eastAsia" w:ascii="黑体" w:hAnsi="黑体" w:eastAsia="黑体" w:cs="黑体"/>
          <w:sz w:val="32"/>
          <w:szCs w:val="32"/>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center"/>
        <w:rPr>
          <w:rFonts w:hint="eastAsia" w:ascii="方正小标宋简体" w:hAnsi="方正小标宋简体" w:eastAsia="方正小标宋简体" w:cs="方正小标宋简体"/>
          <w:sz w:val="36"/>
          <w:szCs w:val="36"/>
          <w:lang w:val="en-US" w:eastAsia="zh-CN"/>
        </w:rPr>
      </w:pPr>
    </w:p>
    <w:p>
      <w:pPr>
        <w:jc w:val="both"/>
        <w:rPr>
          <w:rFonts w:hint="eastAsia" w:ascii="方正小标宋简体" w:hAnsi="方正小标宋简体" w:eastAsia="方正小标宋简体" w:cs="方正小标宋简体"/>
          <w:sz w:val="36"/>
          <w:szCs w:val="36"/>
          <w:lang w:val="en-US" w:eastAsia="zh-CN"/>
        </w:rPr>
      </w:pPr>
    </w:p>
    <w:p>
      <w:pPr>
        <w:ind w:firstLine="360" w:firstLineChars="100"/>
        <w:jc w:val="both"/>
        <w:rPr>
          <w:rFonts w:hint="eastAsia" w:ascii="方正小标宋简体" w:hAnsi="方正小标宋简体" w:eastAsia="方正小标宋简体" w:cs="方正小标宋简体"/>
          <w:sz w:val="36"/>
          <w:szCs w:val="36"/>
          <w:lang w:val="en-US" w:eastAsia="zh-CN"/>
        </w:rPr>
      </w:pPr>
    </w:p>
    <w:p>
      <w:pPr>
        <w:ind w:firstLine="440" w:firstLineChars="100"/>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 xml:space="preserve"> 吐鲁番市2024年预算绩效完成情况及2025年预算绩效工作计划</w:t>
      </w:r>
    </w:p>
    <w:p>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_GB2312" w:hAnsi="仿宋_GB2312" w:eastAsia="仿宋_GB2312" w:cs="仿宋_GB2312"/>
          <w:sz w:val="44"/>
          <w:szCs w:val="44"/>
          <w:lang w:val="en-US" w:eastAsia="zh-CN"/>
        </w:rPr>
      </w:pP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40"/>
        </w:rPr>
      </w:pPr>
      <w:r>
        <w:rPr>
          <w:rFonts w:hint="eastAsia" w:ascii="仿宋_GB2312" w:hAnsi="仿宋_GB2312" w:eastAsia="仿宋_GB2312" w:cs="仿宋_GB2312"/>
          <w:sz w:val="32"/>
          <w:szCs w:val="40"/>
          <w:lang w:val="en-US" w:eastAsia="zh-CN"/>
        </w:rPr>
        <w:t>2024年，按照自治区党委、人民政府关于全面实施预算绩效管理有关工作部署和自治区财政厅工作安排，吐鲁番市</w:t>
      </w:r>
      <w:r>
        <w:rPr>
          <w:rFonts w:hint="eastAsia" w:ascii="仿宋_GB2312" w:hAnsi="仿宋_GB2312" w:eastAsia="仿宋_GB2312" w:cs="仿宋_GB2312"/>
          <w:sz w:val="32"/>
          <w:szCs w:val="40"/>
        </w:rPr>
        <w:t>委</w:t>
      </w:r>
      <w:r>
        <w:rPr>
          <w:rFonts w:hint="eastAsia" w:ascii="仿宋_GB2312" w:hAnsi="仿宋_GB2312" w:eastAsia="仿宋_GB2312" w:cs="仿宋_GB2312"/>
          <w:sz w:val="32"/>
          <w:szCs w:val="40"/>
          <w:lang w:eastAsia="zh-CN"/>
        </w:rPr>
        <w:t>、市</w:t>
      </w:r>
      <w:r>
        <w:rPr>
          <w:rFonts w:hint="eastAsia" w:ascii="仿宋_GB2312" w:hAnsi="仿宋_GB2312" w:eastAsia="仿宋_GB2312" w:cs="仿宋_GB2312"/>
          <w:sz w:val="32"/>
          <w:szCs w:val="40"/>
        </w:rPr>
        <w:t>政府</w:t>
      </w:r>
      <w:r>
        <w:rPr>
          <w:rFonts w:hint="eastAsia" w:ascii="仿宋_GB2312" w:hAnsi="仿宋_GB2312" w:eastAsia="仿宋_GB2312" w:cs="仿宋_GB2312"/>
          <w:sz w:val="32"/>
          <w:szCs w:val="40"/>
          <w:lang w:val="en-US" w:eastAsia="zh-CN"/>
        </w:rPr>
        <w:t>工作要求，吐鲁番市</w:t>
      </w:r>
      <w:r>
        <w:rPr>
          <w:rFonts w:hint="eastAsia" w:ascii="仿宋_GB2312" w:hAnsi="仿宋_GB2312" w:eastAsia="仿宋_GB2312" w:cs="仿宋_GB2312"/>
          <w:sz w:val="32"/>
          <w:szCs w:val="40"/>
        </w:rPr>
        <w:t>各级财政部门</w:t>
      </w:r>
      <w:r>
        <w:rPr>
          <w:rFonts w:hint="eastAsia" w:ascii="仿宋_GB2312" w:hAnsi="仿宋_GB2312" w:eastAsia="仿宋_GB2312" w:cs="仿宋_GB2312"/>
          <w:sz w:val="32"/>
          <w:szCs w:val="40"/>
          <w:lang w:eastAsia="zh-CN"/>
        </w:rPr>
        <w:t>坚持把加强预算绩效管理作为贯彻落实财政体制改革、建立现代财政制度的重要内容，</w:t>
      </w:r>
      <w:r>
        <w:rPr>
          <w:rFonts w:hint="eastAsia" w:ascii="仿宋_GB2312" w:hAnsi="仿宋_GB2312" w:eastAsia="仿宋_GB2312" w:cs="仿宋_GB2312"/>
          <w:sz w:val="32"/>
          <w:szCs w:val="40"/>
        </w:rPr>
        <w:t>坚决将绩效作为财政管理的底线，狠抓工作落实，促进预算管理与绩效管理深度融合，以全面实施预算绩效管理为抓手，不断提高财政资金配置效率和使用效益。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黑体" w:hAnsi="黑体" w:eastAsia="黑体" w:cs="黑体"/>
          <w:sz w:val="32"/>
          <w:szCs w:val="40"/>
          <w:lang w:val="en-US" w:eastAsia="zh-CN"/>
        </w:rPr>
      </w:pPr>
      <w:r>
        <w:rPr>
          <w:rFonts w:hint="eastAsia" w:ascii="黑体" w:hAnsi="黑体" w:eastAsia="黑体" w:cs="黑体"/>
          <w:sz w:val="32"/>
          <w:szCs w:val="40"/>
          <w:lang w:val="en-US" w:eastAsia="zh-CN"/>
        </w:rPr>
        <w:t>一、2024年吐鲁番市预算绩效管理开展的主要工作</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40"/>
        </w:rPr>
      </w:pPr>
      <w:r>
        <w:rPr>
          <w:rFonts w:hint="eastAsia" w:ascii="仿宋_GB2312" w:hAnsi="仿宋_GB2312" w:eastAsia="仿宋_GB2312" w:cs="仿宋_GB2312"/>
          <w:sz w:val="32"/>
          <w:szCs w:val="40"/>
          <w:lang w:val="en-US" w:eastAsia="zh-CN"/>
        </w:rPr>
        <w:t>吐鲁番市</w:t>
      </w:r>
      <w:r>
        <w:rPr>
          <w:rFonts w:hint="eastAsia" w:ascii="仿宋_GB2312" w:hAnsi="仿宋_GB2312" w:eastAsia="仿宋_GB2312" w:cs="仿宋_GB2312"/>
          <w:sz w:val="32"/>
          <w:szCs w:val="40"/>
          <w:lang w:eastAsia="zh-CN"/>
        </w:rPr>
        <w:t>各级财政部门</w:t>
      </w:r>
      <w:r>
        <w:rPr>
          <w:rFonts w:hint="eastAsia" w:ascii="仿宋_GB2312" w:hAnsi="仿宋_GB2312" w:eastAsia="仿宋_GB2312" w:cs="仿宋_GB2312"/>
          <w:sz w:val="32"/>
          <w:szCs w:val="40"/>
        </w:rPr>
        <w:t>严格履行预算绩效管理牵头职责，把“提质增效”作为重点贯穿</w:t>
      </w:r>
      <w:r>
        <w:rPr>
          <w:rFonts w:hint="eastAsia" w:ascii="仿宋_GB2312" w:hAnsi="仿宋_GB2312" w:eastAsia="仿宋_GB2312" w:cs="仿宋_GB2312"/>
          <w:sz w:val="32"/>
          <w:szCs w:val="40"/>
          <w:lang w:eastAsia="zh-CN"/>
        </w:rPr>
        <w:t>于全部</w:t>
      </w:r>
      <w:r>
        <w:rPr>
          <w:rFonts w:hint="eastAsia" w:ascii="仿宋_GB2312" w:hAnsi="仿宋_GB2312" w:eastAsia="仿宋_GB2312" w:cs="仿宋_GB2312"/>
          <w:sz w:val="32"/>
          <w:szCs w:val="40"/>
        </w:rPr>
        <w:t>工作</w:t>
      </w:r>
      <w:r>
        <w:rPr>
          <w:rFonts w:hint="eastAsia" w:ascii="仿宋_GB2312" w:hAnsi="仿宋_GB2312" w:eastAsia="仿宋_GB2312" w:cs="仿宋_GB2312"/>
          <w:sz w:val="32"/>
          <w:szCs w:val="40"/>
          <w:lang w:eastAsia="zh-CN"/>
        </w:rPr>
        <w:t>中，有条不紊推进各项工作稳步实施</w:t>
      </w:r>
      <w:r>
        <w:rPr>
          <w:rFonts w:hint="eastAsia" w:ascii="仿宋_GB2312" w:hAnsi="仿宋_GB2312" w:eastAsia="仿宋_GB2312" w:cs="仿宋_GB2312"/>
          <w:sz w:val="32"/>
          <w:szCs w:val="40"/>
        </w:rPr>
        <w:t>。</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楷体_GB2312" w:hAnsi="楷体_GB2312" w:eastAsia="楷体_GB2312" w:cs="楷体_GB2312"/>
          <w:b/>
          <w:bCs/>
          <w:sz w:val="32"/>
          <w:szCs w:val="40"/>
        </w:rPr>
      </w:pPr>
      <w:r>
        <w:rPr>
          <w:rFonts w:hint="eastAsia" w:ascii="楷体_GB2312" w:hAnsi="楷体_GB2312" w:eastAsia="楷体_GB2312" w:cs="楷体_GB2312"/>
          <w:b/>
          <w:bCs/>
          <w:sz w:val="32"/>
          <w:szCs w:val="40"/>
          <w:lang w:eastAsia="zh-CN"/>
        </w:rPr>
        <w:t>（一）强化前置审核，推动事前绩效评估和绩效目标设置</w:t>
      </w:r>
      <w:r>
        <w:rPr>
          <w:rFonts w:hint="eastAsia" w:ascii="楷体_GB2312" w:hAnsi="楷体_GB2312" w:eastAsia="楷体_GB2312" w:cs="楷体_GB2312"/>
          <w:b/>
          <w:bCs/>
          <w:sz w:val="32"/>
          <w:szCs w:val="40"/>
        </w:rPr>
        <w:t>。</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40"/>
        </w:rPr>
      </w:pPr>
      <w:r>
        <w:rPr>
          <w:rFonts w:hint="eastAsia" w:ascii="仿宋_GB2312" w:hAnsi="仿宋_GB2312" w:eastAsia="仿宋_GB2312" w:cs="仿宋_GB2312"/>
          <w:sz w:val="32"/>
          <w:szCs w:val="40"/>
        </w:rPr>
        <w:t>将事前绩效评估、绩效目标设置作为部门单位预算申请的前置条件。</w:t>
      </w:r>
      <w:r>
        <w:rPr>
          <w:rFonts w:hint="eastAsia" w:ascii="仿宋_GB2312" w:hAnsi="仿宋_GB2312" w:eastAsia="仿宋_GB2312" w:cs="仿宋_GB2312"/>
          <w:b/>
          <w:bCs/>
          <w:sz w:val="32"/>
          <w:szCs w:val="40"/>
        </w:rPr>
        <w:t>一是</w:t>
      </w:r>
      <w:r>
        <w:rPr>
          <w:rFonts w:hint="eastAsia" w:ascii="仿宋_GB2312" w:hAnsi="仿宋_GB2312" w:eastAsia="仿宋_GB2312" w:cs="仿宋_GB2312"/>
          <w:sz w:val="32"/>
          <w:szCs w:val="40"/>
        </w:rPr>
        <w:t>扎实开展新增项目事前绩效评估。严格落实财政支出事前绩效评估管理规定</w:t>
      </w:r>
      <w:r>
        <w:rPr>
          <w:rFonts w:hint="eastAsia" w:ascii="仿宋_GB2312" w:hAnsi="仿宋_GB2312" w:eastAsia="仿宋_GB2312" w:cs="仿宋_GB2312"/>
          <w:sz w:val="32"/>
          <w:szCs w:val="40"/>
          <w:lang w:eastAsia="zh-CN"/>
        </w:rPr>
        <w:t>要求</w:t>
      </w:r>
      <w:r>
        <w:rPr>
          <w:rFonts w:hint="eastAsia" w:ascii="仿宋_GB2312" w:hAnsi="仿宋_GB2312" w:eastAsia="仿宋_GB2312" w:cs="仿宋_GB2312"/>
          <w:sz w:val="32"/>
          <w:szCs w:val="40"/>
        </w:rPr>
        <w:t>，组织实施新增项目事前绩效评估，提高预算安排的科学性、准确性。</w:t>
      </w:r>
      <w:r>
        <w:rPr>
          <w:rFonts w:hint="eastAsia" w:ascii="仿宋_GB2312" w:hAnsi="仿宋_GB2312" w:eastAsia="仿宋_GB2312" w:cs="仿宋_GB2312"/>
          <w:sz w:val="32"/>
          <w:szCs w:val="40"/>
          <w:lang w:val="en-US" w:eastAsia="zh-CN"/>
        </w:rPr>
        <w:t>2024年</w:t>
      </w:r>
      <w:r>
        <w:rPr>
          <w:rFonts w:hint="eastAsia" w:ascii="仿宋_GB2312" w:hAnsi="仿宋_GB2312" w:eastAsia="仿宋_GB2312" w:cs="仿宋_GB2312"/>
          <w:sz w:val="32"/>
          <w:szCs w:val="40"/>
          <w:lang w:eastAsia="zh-CN"/>
        </w:rPr>
        <w:t>全市开展事前绩效评估项目</w:t>
      </w:r>
      <w:r>
        <w:rPr>
          <w:rFonts w:hint="eastAsia" w:ascii="仿宋_GB2312" w:hAnsi="仿宋_GB2312" w:eastAsia="仿宋_GB2312" w:cs="仿宋_GB2312"/>
          <w:sz w:val="32"/>
          <w:szCs w:val="40"/>
          <w:lang w:val="en-US" w:eastAsia="zh-CN"/>
        </w:rPr>
        <w:t>29个。</w:t>
      </w:r>
      <w:r>
        <w:rPr>
          <w:rFonts w:hint="eastAsia" w:ascii="仿宋_GB2312" w:hAnsi="仿宋_GB2312" w:eastAsia="仿宋_GB2312" w:cs="仿宋_GB2312"/>
          <w:b/>
          <w:bCs/>
          <w:sz w:val="32"/>
          <w:szCs w:val="40"/>
        </w:rPr>
        <w:t>二是</w:t>
      </w:r>
      <w:r>
        <w:rPr>
          <w:rFonts w:hint="eastAsia" w:ascii="仿宋_GB2312" w:hAnsi="仿宋_GB2312" w:eastAsia="仿宋_GB2312" w:cs="仿宋_GB2312"/>
          <w:sz w:val="32"/>
          <w:szCs w:val="40"/>
          <w:lang w:eastAsia="zh-CN"/>
        </w:rPr>
        <w:t>实现整体和</w:t>
      </w:r>
      <w:r>
        <w:rPr>
          <w:rFonts w:hint="eastAsia" w:ascii="仿宋_GB2312" w:hAnsi="仿宋_GB2312" w:eastAsia="仿宋_GB2312" w:cs="仿宋_GB2312"/>
          <w:sz w:val="32"/>
          <w:szCs w:val="40"/>
        </w:rPr>
        <w:t>项目支出绩效目标全</w:t>
      </w:r>
      <w:r>
        <w:rPr>
          <w:rFonts w:hint="eastAsia" w:ascii="仿宋_GB2312" w:hAnsi="仿宋_GB2312" w:eastAsia="仿宋_GB2312" w:cs="仿宋_GB2312"/>
          <w:sz w:val="32"/>
          <w:szCs w:val="40"/>
          <w:lang w:eastAsia="zh-CN"/>
        </w:rPr>
        <w:t>覆盖。</w:t>
      </w:r>
      <w:r>
        <w:rPr>
          <w:rFonts w:hint="default" w:ascii="仿宋_GB2312" w:hAnsi="仿宋_GB2312" w:eastAsia="仿宋_GB2312" w:cs="仿宋_GB2312"/>
          <w:sz w:val="32"/>
          <w:szCs w:val="40"/>
          <w:lang w:eastAsia="zh-CN"/>
        </w:rPr>
        <w:t>①</w:t>
      </w:r>
      <w:r>
        <w:rPr>
          <w:rFonts w:hint="eastAsia" w:ascii="仿宋_GB2312" w:hAnsi="仿宋_GB2312" w:eastAsia="仿宋_GB2312" w:cs="仿宋_GB2312"/>
          <w:sz w:val="32"/>
          <w:szCs w:val="40"/>
          <w:lang w:eastAsia="zh-CN"/>
        </w:rPr>
        <w:t>整体支出绩效目标全覆盖。</w:t>
      </w:r>
      <w:r>
        <w:rPr>
          <w:rFonts w:hint="eastAsia" w:ascii="仿宋_GB2312" w:hAnsi="仿宋_GB2312" w:eastAsia="仿宋_GB2312" w:cs="仿宋_GB2312"/>
          <w:sz w:val="32"/>
          <w:szCs w:val="40"/>
        </w:rPr>
        <w:t>组织</w:t>
      </w:r>
      <w:r>
        <w:rPr>
          <w:rFonts w:hint="eastAsia" w:ascii="仿宋_GB2312" w:hAnsi="仿宋_GB2312" w:eastAsia="仿宋_GB2312" w:cs="仿宋_GB2312"/>
          <w:sz w:val="32"/>
          <w:szCs w:val="40"/>
          <w:lang w:eastAsia="zh-CN"/>
        </w:rPr>
        <w:t>各级</w:t>
      </w:r>
      <w:r>
        <w:rPr>
          <w:rFonts w:hint="eastAsia" w:ascii="仿宋_GB2312" w:hAnsi="仿宋_GB2312" w:eastAsia="仿宋_GB2312" w:cs="仿宋_GB2312"/>
          <w:sz w:val="32"/>
          <w:szCs w:val="40"/>
        </w:rPr>
        <w:t>各部门单位聚焦单位职责、整体核心业务、行业发展规划，按照“少而精”的原则，从运行成本、管理效率、履职效能、社会效益、可持续发展能力和服务对象满意度等方面，科学设置</w:t>
      </w:r>
      <w:r>
        <w:rPr>
          <w:rFonts w:hint="eastAsia" w:ascii="仿宋_GB2312" w:hAnsi="仿宋_GB2312" w:eastAsia="仿宋_GB2312" w:cs="仿宋_GB2312"/>
          <w:sz w:val="32"/>
          <w:szCs w:val="40"/>
          <w:lang w:val="en-US" w:eastAsia="zh-CN"/>
        </w:rPr>
        <w:t>535家</w:t>
      </w:r>
      <w:r>
        <w:rPr>
          <w:rFonts w:hint="eastAsia" w:ascii="仿宋_GB2312" w:hAnsi="仿宋_GB2312" w:eastAsia="仿宋_GB2312" w:cs="仿宋_GB2312"/>
          <w:sz w:val="32"/>
          <w:szCs w:val="40"/>
        </w:rPr>
        <w:t>部门单位整体支出绩效目标。</w:t>
      </w:r>
      <w:r>
        <w:rPr>
          <w:rFonts w:hint="default" w:ascii="仿宋_GB2312" w:hAnsi="仿宋_GB2312" w:eastAsia="仿宋_GB2312" w:cs="仿宋_GB2312"/>
          <w:sz w:val="32"/>
          <w:szCs w:val="40"/>
        </w:rPr>
        <w:t>②</w:t>
      </w:r>
      <w:r>
        <w:rPr>
          <w:rFonts w:hint="eastAsia" w:ascii="仿宋_GB2312" w:hAnsi="仿宋_GB2312" w:eastAsia="仿宋_GB2312" w:cs="仿宋_GB2312"/>
          <w:sz w:val="32"/>
          <w:szCs w:val="40"/>
          <w:lang w:eastAsia="zh-CN"/>
        </w:rPr>
        <w:t>项目支出绩效目标全覆盖。</w:t>
      </w:r>
      <w:r>
        <w:rPr>
          <w:rFonts w:hint="eastAsia" w:ascii="仿宋_GB2312" w:hAnsi="仿宋_GB2312" w:eastAsia="仿宋_GB2312" w:cs="仿宋_GB2312"/>
          <w:sz w:val="32"/>
          <w:szCs w:val="40"/>
        </w:rPr>
        <w:t>严格执行无绩效目标不安排预算规定，进一步加大绩效目标审核力度。按照“细、实、准”的绩效目标编制要求，明确指标值设置依据、指标分值权重、指标赋分规则及佐证资料</w:t>
      </w:r>
      <w:r>
        <w:rPr>
          <w:rFonts w:hint="eastAsia" w:ascii="仿宋_GB2312" w:hAnsi="仿宋_GB2312" w:eastAsia="仿宋_GB2312" w:cs="仿宋_GB2312"/>
          <w:sz w:val="32"/>
          <w:szCs w:val="40"/>
          <w:lang w:eastAsia="zh-CN"/>
        </w:rPr>
        <w:t>，</w:t>
      </w:r>
      <w:r>
        <w:rPr>
          <w:rFonts w:hint="eastAsia" w:ascii="仿宋_GB2312" w:hAnsi="仿宋_GB2312" w:eastAsia="仿宋_GB2312" w:cs="仿宋_GB2312"/>
          <w:sz w:val="32"/>
          <w:szCs w:val="40"/>
        </w:rPr>
        <w:t>严格审核</w:t>
      </w:r>
      <w:r>
        <w:rPr>
          <w:rFonts w:hint="eastAsia" w:ascii="仿宋_GB2312" w:hAnsi="仿宋_GB2312" w:eastAsia="仿宋_GB2312" w:cs="仿宋_GB2312"/>
          <w:sz w:val="32"/>
          <w:szCs w:val="40"/>
          <w:lang w:eastAsia="zh-CN"/>
        </w:rPr>
        <w:t>全市年初预算</w:t>
      </w:r>
      <w:r>
        <w:rPr>
          <w:rFonts w:hint="eastAsia" w:ascii="仿宋_GB2312" w:hAnsi="仿宋_GB2312" w:eastAsia="仿宋_GB2312" w:cs="仿宋_GB2312"/>
          <w:sz w:val="32"/>
          <w:szCs w:val="40"/>
          <w:lang w:val="en-US" w:eastAsia="zh-CN"/>
        </w:rPr>
        <w:t>1528个项目</w:t>
      </w:r>
      <w:r>
        <w:rPr>
          <w:rFonts w:hint="eastAsia" w:ascii="仿宋_GB2312" w:hAnsi="仿宋_GB2312" w:eastAsia="仿宋_GB2312" w:cs="仿宋_GB2312"/>
          <w:sz w:val="32"/>
          <w:szCs w:val="40"/>
        </w:rPr>
        <w:t>绩效目标，不断提高各</w:t>
      </w:r>
      <w:r>
        <w:rPr>
          <w:rFonts w:hint="eastAsia" w:ascii="仿宋_GB2312" w:hAnsi="仿宋_GB2312" w:eastAsia="仿宋_GB2312" w:cs="仿宋_GB2312"/>
          <w:sz w:val="32"/>
          <w:szCs w:val="40"/>
          <w:lang w:eastAsia="zh-CN"/>
        </w:rPr>
        <w:t>部门</w:t>
      </w:r>
      <w:r>
        <w:rPr>
          <w:rFonts w:hint="eastAsia" w:ascii="仿宋_GB2312" w:hAnsi="仿宋_GB2312" w:eastAsia="仿宋_GB2312" w:cs="仿宋_GB2312"/>
          <w:sz w:val="32"/>
          <w:szCs w:val="40"/>
        </w:rPr>
        <w:t>单位项目支出绩效目标的科学化、规范化和标准化水平。</w:t>
      </w:r>
      <w:r>
        <w:rPr>
          <w:rFonts w:hint="eastAsia" w:ascii="仿宋_GB2312" w:hAnsi="仿宋_GB2312" w:eastAsia="仿宋_GB2312" w:cs="仿宋_GB2312"/>
          <w:b/>
          <w:bCs/>
          <w:sz w:val="32"/>
          <w:szCs w:val="40"/>
        </w:rPr>
        <w:t>三是</w:t>
      </w:r>
      <w:r>
        <w:rPr>
          <w:rFonts w:hint="eastAsia" w:ascii="仿宋_GB2312" w:hAnsi="仿宋_GB2312" w:eastAsia="仿宋_GB2312" w:cs="仿宋_GB2312"/>
          <w:sz w:val="32"/>
          <w:szCs w:val="40"/>
        </w:rPr>
        <w:t>对下转移支付绩效目标全覆盖。认真落实财政部</w:t>
      </w:r>
      <w:r>
        <w:rPr>
          <w:rFonts w:hint="eastAsia" w:ascii="仿宋_GB2312" w:hAnsi="仿宋_GB2312" w:eastAsia="仿宋_GB2312" w:cs="仿宋_GB2312"/>
          <w:sz w:val="32"/>
          <w:szCs w:val="40"/>
          <w:lang w:eastAsia="zh-CN"/>
        </w:rPr>
        <w:t>、财政厅</w:t>
      </w:r>
      <w:r>
        <w:rPr>
          <w:rFonts w:hint="eastAsia" w:ascii="仿宋_GB2312" w:hAnsi="仿宋_GB2312" w:eastAsia="仿宋_GB2312" w:cs="仿宋_GB2312"/>
          <w:sz w:val="32"/>
          <w:szCs w:val="40"/>
        </w:rPr>
        <w:t>关于中央专项转移支付绩效目标分解下达要求，全部同步下达分区域、到项目的绩效目标，</w:t>
      </w:r>
      <w:r>
        <w:rPr>
          <w:rFonts w:hint="eastAsia" w:ascii="仿宋_GB2312" w:hAnsi="仿宋_GB2312" w:eastAsia="仿宋_GB2312" w:cs="仿宋_GB2312"/>
          <w:sz w:val="32"/>
          <w:szCs w:val="40"/>
          <w:lang w:eastAsia="zh-CN"/>
        </w:rPr>
        <w:t>重点关注无绩效目标的专项转移支付资金绩效目标的设置审核，</w:t>
      </w:r>
      <w:r>
        <w:rPr>
          <w:rFonts w:hint="eastAsia" w:ascii="仿宋_GB2312" w:hAnsi="仿宋_GB2312" w:eastAsia="仿宋_GB2312" w:cs="仿宋_GB2312"/>
          <w:sz w:val="32"/>
          <w:szCs w:val="40"/>
        </w:rPr>
        <w:t>202</w:t>
      </w:r>
      <w:r>
        <w:rPr>
          <w:rFonts w:hint="eastAsia" w:ascii="仿宋_GB2312" w:hAnsi="仿宋_GB2312" w:eastAsia="仿宋_GB2312" w:cs="仿宋_GB2312"/>
          <w:sz w:val="32"/>
          <w:szCs w:val="40"/>
          <w:lang w:val="en-US" w:eastAsia="zh-CN"/>
        </w:rPr>
        <w:t>4</w:t>
      </w:r>
      <w:r>
        <w:rPr>
          <w:rFonts w:hint="eastAsia" w:ascii="仿宋_GB2312" w:hAnsi="仿宋_GB2312" w:eastAsia="仿宋_GB2312" w:cs="仿宋_GB2312"/>
          <w:sz w:val="32"/>
          <w:szCs w:val="40"/>
        </w:rPr>
        <w:t>年</w:t>
      </w:r>
      <w:r>
        <w:rPr>
          <w:rFonts w:hint="eastAsia" w:ascii="仿宋_GB2312" w:hAnsi="仿宋_GB2312" w:eastAsia="仿宋_GB2312" w:cs="仿宋_GB2312"/>
          <w:sz w:val="32"/>
          <w:szCs w:val="40"/>
          <w:lang w:eastAsia="zh-CN"/>
        </w:rPr>
        <w:t>中央、</w:t>
      </w:r>
      <w:r>
        <w:rPr>
          <w:rFonts w:hint="eastAsia" w:ascii="仿宋_GB2312" w:hAnsi="仿宋_GB2312" w:eastAsia="仿宋_GB2312" w:cs="仿宋_GB2312"/>
          <w:sz w:val="32"/>
          <w:szCs w:val="40"/>
        </w:rPr>
        <w:t>自治区下达</w:t>
      </w:r>
      <w:r>
        <w:rPr>
          <w:rFonts w:hint="eastAsia" w:ascii="仿宋_GB2312" w:hAnsi="仿宋_GB2312" w:eastAsia="仿宋_GB2312" w:cs="仿宋_GB2312"/>
          <w:sz w:val="32"/>
          <w:szCs w:val="40"/>
          <w:lang w:eastAsia="zh-CN"/>
        </w:rPr>
        <w:t>吐鲁番市的</w:t>
      </w:r>
      <w:r>
        <w:rPr>
          <w:rFonts w:hint="eastAsia" w:ascii="仿宋_GB2312" w:hAnsi="仿宋_GB2312" w:eastAsia="仿宋_GB2312" w:cs="仿宋_GB2312"/>
          <w:sz w:val="32"/>
          <w:szCs w:val="40"/>
        </w:rPr>
        <w:t>转移支付资金，</w:t>
      </w:r>
      <w:r>
        <w:rPr>
          <w:rFonts w:hint="eastAsia" w:ascii="仿宋_GB2312" w:hAnsi="仿宋_GB2312" w:eastAsia="仿宋_GB2312" w:cs="仿宋_GB2312"/>
          <w:sz w:val="32"/>
          <w:szCs w:val="40"/>
          <w:lang w:val="en-US" w:eastAsia="zh-CN"/>
        </w:rPr>
        <w:t>100%</w:t>
      </w:r>
      <w:r>
        <w:rPr>
          <w:rFonts w:hint="eastAsia" w:ascii="仿宋_GB2312" w:hAnsi="仿宋_GB2312" w:eastAsia="仿宋_GB2312" w:cs="仿宋_GB2312"/>
          <w:sz w:val="32"/>
          <w:szCs w:val="40"/>
        </w:rPr>
        <w:t>全部同步下达分区域、到项目的绩效目标，切实提高转移支付资金使用精准度。</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楷体_GB2312" w:hAnsi="楷体_GB2312" w:eastAsia="楷体_GB2312" w:cs="楷体_GB2312"/>
          <w:b/>
          <w:bCs/>
          <w:sz w:val="32"/>
          <w:szCs w:val="40"/>
          <w:lang w:val="en-US" w:eastAsia="zh-CN"/>
        </w:rPr>
      </w:pPr>
      <w:r>
        <w:rPr>
          <w:rFonts w:hint="eastAsia" w:ascii="楷体_GB2312" w:hAnsi="楷体_GB2312" w:eastAsia="楷体_GB2312" w:cs="楷体_GB2312"/>
          <w:b/>
          <w:bCs/>
          <w:sz w:val="32"/>
          <w:szCs w:val="40"/>
          <w:lang w:val="en-US" w:eastAsia="zh-CN"/>
        </w:rPr>
        <w:t>（二）开展动态监控，全面跟踪项目执行和资金使用状况。</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坚持资金跟着项目走，立足绩效监控，通过项目绩效目标完成及预算执行进度两项完成率，总体反映项目实施和资金支出情况。</w:t>
      </w:r>
      <w:r>
        <w:rPr>
          <w:rFonts w:hint="eastAsia" w:ascii="仿宋_GB2312" w:hAnsi="仿宋_GB2312" w:eastAsia="仿宋_GB2312" w:cs="仿宋_GB2312"/>
          <w:b/>
          <w:bCs/>
          <w:sz w:val="32"/>
          <w:szCs w:val="40"/>
          <w:lang w:eastAsia="zh-CN"/>
        </w:rPr>
        <w:t>一是</w:t>
      </w:r>
      <w:r>
        <w:rPr>
          <w:rFonts w:hint="eastAsia" w:ascii="仿宋_GB2312" w:hAnsi="仿宋_GB2312" w:eastAsia="仿宋_GB2312" w:cs="仿宋_GB2312"/>
          <w:sz w:val="32"/>
          <w:szCs w:val="40"/>
          <w:lang w:eastAsia="zh-CN"/>
        </w:rPr>
        <w:t>保障项目绩效监控全覆盖。以202</w:t>
      </w:r>
      <w:r>
        <w:rPr>
          <w:rFonts w:hint="eastAsia" w:ascii="仿宋_GB2312" w:hAnsi="仿宋_GB2312" w:eastAsia="仿宋_GB2312" w:cs="仿宋_GB2312"/>
          <w:sz w:val="32"/>
          <w:szCs w:val="40"/>
          <w:lang w:val="en-US" w:eastAsia="zh-CN"/>
        </w:rPr>
        <w:t>4</w:t>
      </w:r>
      <w:r>
        <w:rPr>
          <w:rFonts w:hint="eastAsia" w:ascii="仿宋_GB2312" w:hAnsi="仿宋_GB2312" w:eastAsia="仿宋_GB2312" w:cs="仿宋_GB2312"/>
          <w:sz w:val="32"/>
          <w:szCs w:val="40"/>
          <w:lang w:eastAsia="zh-CN"/>
        </w:rPr>
        <w:t>年5月底、8月底为节点，组织全市各部门单位对预算安排和下达的所有项目支出开展绩效监控，实现市区县项目支出绩效监控全覆盖。</w:t>
      </w:r>
      <w:r>
        <w:rPr>
          <w:rFonts w:hint="eastAsia" w:ascii="仿宋_GB2312" w:hAnsi="仿宋_GB2312" w:eastAsia="仿宋_GB2312" w:cs="仿宋_GB2312"/>
          <w:sz w:val="32"/>
          <w:szCs w:val="40"/>
          <w:lang w:val="en-US" w:eastAsia="zh-CN"/>
        </w:rPr>
        <w:t>8月底完成1880个项目绩效监控。</w:t>
      </w:r>
      <w:r>
        <w:rPr>
          <w:rFonts w:hint="eastAsia" w:ascii="仿宋_GB2312" w:hAnsi="仿宋_GB2312" w:eastAsia="仿宋_GB2312" w:cs="仿宋_GB2312"/>
          <w:b/>
          <w:bCs/>
          <w:sz w:val="32"/>
          <w:szCs w:val="40"/>
          <w:lang w:eastAsia="zh-CN"/>
        </w:rPr>
        <w:t>二是</w:t>
      </w:r>
      <w:r>
        <w:rPr>
          <w:rFonts w:hint="eastAsia" w:ascii="仿宋_GB2312" w:hAnsi="仿宋_GB2312" w:eastAsia="仿宋_GB2312" w:cs="仿宋_GB2312"/>
          <w:sz w:val="32"/>
          <w:szCs w:val="40"/>
          <w:lang w:eastAsia="zh-CN"/>
        </w:rPr>
        <w:t>实现部门单位整体监控全覆盖。以202</w:t>
      </w:r>
      <w:r>
        <w:rPr>
          <w:rFonts w:hint="eastAsia" w:ascii="仿宋_GB2312" w:hAnsi="仿宋_GB2312" w:eastAsia="仿宋_GB2312" w:cs="仿宋_GB2312"/>
          <w:sz w:val="32"/>
          <w:szCs w:val="40"/>
          <w:lang w:val="en-US" w:eastAsia="zh-CN"/>
        </w:rPr>
        <w:t>4</w:t>
      </w:r>
      <w:r>
        <w:rPr>
          <w:rFonts w:hint="eastAsia" w:ascii="仿宋_GB2312" w:hAnsi="仿宋_GB2312" w:eastAsia="仿宋_GB2312" w:cs="仿宋_GB2312"/>
          <w:sz w:val="32"/>
          <w:szCs w:val="40"/>
          <w:lang w:eastAsia="zh-CN"/>
        </w:rPr>
        <w:t>年6月底为节点，组织全市</w:t>
      </w:r>
      <w:r>
        <w:rPr>
          <w:rFonts w:hint="eastAsia" w:ascii="仿宋_GB2312" w:hAnsi="仿宋_GB2312" w:eastAsia="仿宋_GB2312" w:cs="仿宋_GB2312"/>
          <w:sz w:val="32"/>
          <w:szCs w:val="40"/>
          <w:lang w:val="en-US" w:eastAsia="zh-CN"/>
        </w:rPr>
        <w:t>535家部门单位</w:t>
      </w:r>
      <w:r>
        <w:rPr>
          <w:rFonts w:hint="eastAsia" w:ascii="仿宋_GB2312" w:hAnsi="仿宋_GB2312" w:eastAsia="仿宋_GB2312" w:cs="仿宋_GB2312"/>
          <w:sz w:val="32"/>
          <w:szCs w:val="40"/>
          <w:lang w:eastAsia="zh-CN"/>
        </w:rPr>
        <w:t>对部门单位整体预算执行进度与预期目标的契合程度，开展整体监控。</w:t>
      </w:r>
      <w:r>
        <w:rPr>
          <w:rFonts w:hint="eastAsia" w:ascii="仿宋_GB2312" w:hAnsi="仿宋_GB2312" w:eastAsia="仿宋_GB2312" w:cs="仿宋_GB2312"/>
          <w:b/>
          <w:bCs/>
          <w:sz w:val="32"/>
          <w:szCs w:val="40"/>
          <w:lang w:eastAsia="zh-CN"/>
        </w:rPr>
        <w:t>三是</w:t>
      </w:r>
      <w:r>
        <w:rPr>
          <w:rFonts w:hint="eastAsia" w:ascii="仿宋_GB2312" w:hAnsi="仿宋_GB2312" w:eastAsia="仿宋_GB2312" w:cs="仿宋_GB2312"/>
          <w:sz w:val="32"/>
          <w:szCs w:val="40"/>
          <w:lang w:val="en-US" w:eastAsia="zh-CN"/>
        </w:rPr>
        <w:t>紧抓监控结果督促整改。通过</w:t>
      </w:r>
      <w:r>
        <w:rPr>
          <w:rFonts w:hint="eastAsia" w:ascii="仿宋_GB2312" w:hAnsi="仿宋_GB2312" w:eastAsia="仿宋_GB2312" w:cs="仿宋_GB2312"/>
          <w:sz w:val="32"/>
          <w:szCs w:val="40"/>
          <w:lang w:eastAsia="zh-CN"/>
        </w:rPr>
        <w:t>项目绩效目标完成率、预算执行进度、预算执行与绩效目标总体完成偏离率三项指标，对执行进度慢，指标偏离度大，监控结果不达标的项目实施单位进行工作提醒</w:t>
      </w:r>
      <w:r>
        <w:rPr>
          <w:rFonts w:hint="eastAsia" w:ascii="仿宋_GB2312" w:hAnsi="仿宋_GB2312" w:eastAsia="仿宋_GB2312" w:cs="仿宋_GB2312"/>
          <w:sz w:val="32"/>
          <w:szCs w:val="40"/>
          <w:lang w:val="en-US" w:eastAsia="zh-CN"/>
        </w:rPr>
        <w:t>，要求</w:t>
      </w:r>
      <w:r>
        <w:rPr>
          <w:rFonts w:hint="eastAsia" w:ascii="仿宋_GB2312" w:hAnsi="仿宋_GB2312" w:eastAsia="仿宋_GB2312" w:cs="仿宋_GB2312"/>
          <w:sz w:val="32"/>
          <w:szCs w:val="40"/>
          <w:lang w:eastAsia="zh-CN"/>
        </w:rPr>
        <w:t>采取应对措施，及时纠偏、落实整改，提升部门单位核心业务实施效果和整体效果。在</w:t>
      </w:r>
      <w:r>
        <w:rPr>
          <w:rFonts w:hint="eastAsia" w:ascii="仿宋_GB2312" w:hAnsi="仿宋_GB2312" w:eastAsia="仿宋_GB2312" w:cs="仿宋_GB2312"/>
          <w:sz w:val="32"/>
          <w:szCs w:val="40"/>
          <w:lang w:val="en-US" w:eastAsia="zh-CN"/>
        </w:rPr>
        <w:t>8月监控后，对两次均未满足三项指标要求的项目进行了督促整改，涉及383个项目。</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楷体_GB2312" w:hAnsi="楷体_GB2312" w:eastAsia="楷体_GB2312" w:cs="楷体_GB2312"/>
          <w:b/>
          <w:bCs/>
          <w:sz w:val="32"/>
          <w:szCs w:val="40"/>
          <w:lang w:val="en-US" w:eastAsia="zh-CN"/>
        </w:rPr>
      </w:pPr>
      <w:r>
        <w:rPr>
          <w:rFonts w:hint="eastAsia" w:ascii="楷体_GB2312" w:hAnsi="楷体_GB2312" w:eastAsia="楷体_GB2312" w:cs="楷体_GB2312"/>
          <w:b/>
          <w:bCs/>
          <w:sz w:val="32"/>
          <w:szCs w:val="40"/>
          <w:lang w:eastAsia="zh-CN"/>
        </w:rPr>
        <w:t>（三）</w:t>
      </w:r>
      <w:r>
        <w:rPr>
          <w:rFonts w:hint="eastAsia" w:ascii="楷体_GB2312" w:hAnsi="楷体_GB2312" w:eastAsia="楷体_GB2312" w:cs="楷体_GB2312"/>
          <w:b/>
          <w:bCs/>
          <w:sz w:val="32"/>
          <w:szCs w:val="40"/>
          <w:lang w:val="en-US" w:eastAsia="zh-CN"/>
        </w:rPr>
        <w:t>实施绩效评价，不断提升财政资金使用效益。</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eastAsia" w:ascii="仿宋_GB2312" w:hAnsi="仿宋_GB2312" w:eastAsia="仿宋_GB2312" w:cs="仿宋_GB2312"/>
          <w:sz w:val="32"/>
          <w:szCs w:val="40"/>
          <w:lang w:val="en-US" w:eastAsia="zh-CN"/>
        </w:rPr>
      </w:pPr>
      <w:r>
        <w:rPr>
          <w:rFonts w:hint="eastAsia" w:ascii="仿宋_GB2312" w:hAnsi="仿宋_GB2312" w:eastAsia="仿宋_GB2312" w:cs="仿宋_GB2312"/>
          <w:sz w:val="32"/>
          <w:szCs w:val="40"/>
          <w:lang w:val="en-US" w:eastAsia="zh-CN"/>
        </w:rPr>
        <w:t>以财政“一体化”管理系统、预算绩效信息系统为基础，对全市各级各部门整体和项目情况进行梳理，按照绩效评价的工作要求，开展绩效评价工作。</w:t>
      </w:r>
      <w:r>
        <w:rPr>
          <w:rFonts w:hint="eastAsia" w:ascii="仿宋_GB2312" w:hAnsi="仿宋_GB2312" w:eastAsia="仿宋_GB2312" w:cs="仿宋_GB2312"/>
          <w:b/>
          <w:bCs/>
          <w:sz w:val="32"/>
          <w:szCs w:val="40"/>
          <w:lang w:val="en-US" w:eastAsia="zh-CN"/>
        </w:rPr>
        <w:t>一是</w:t>
      </w:r>
      <w:r>
        <w:rPr>
          <w:rFonts w:hint="eastAsia" w:ascii="仿宋_GB2312" w:hAnsi="仿宋_GB2312" w:eastAsia="仿宋_GB2312" w:cs="仿宋_GB2312"/>
          <w:sz w:val="32"/>
          <w:szCs w:val="40"/>
          <w:lang w:val="en-US" w:eastAsia="zh-CN"/>
        </w:rPr>
        <w:t>推进部门整体绩效评价。组织各部门单位以年度部门预算资金管理为主线，以全面检验预算执行结果为原则，按照部门单位职责主业，统筹资产和业务活动，全面开展2023年度533家单位整体支出绩效评价，稳步推进部门单位整体支出绩效管理，部门单位核心业务履职成效进一步提高。</w:t>
      </w:r>
      <w:r>
        <w:rPr>
          <w:rFonts w:hint="eastAsia" w:ascii="仿宋_GB2312" w:hAnsi="仿宋_GB2312" w:eastAsia="仿宋_GB2312" w:cs="仿宋_GB2312"/>
          <w:b/>
          <w:bCs/>
          <w:sz w:val="32"/>
          <w:szCs w:val="40"/>
          <w:lang w:val="en-US" w:eastAsia="zh-CN"/>
        </w:rPr>
        <w:t>二是</w:t>
      </w:r>
      <w:r>
        <w:rPr>
          <w:rFonts w:hint="eastAsia" w:ascii="仿宋_GB2312" w:hAnsi="仿宋_GB2312" w:eastAsia="仿宋_GB2312" w:cs="仿宋_GB2312"/>
          <w:sz w:val="32"/>
          <w:szCs w:val="40"/>
          <w:lang w:val="en-US" w:eastAsia="zh-CN"/>
        </w:rPr>
        <w:t>严格项目支出评价。认真落实财政部《项目支出绩效评价管理办法》，组织全市各部门单位开展项目支出绩效自评，填报自评表及印证资料。组织各部门单位按照不低于项目预算总额20%的比例，优先选择重大项目、重点项目，实施部门评价，组织撰写绩效评价报告。财政部门对所有单位自评表、部门评价报告进行全覆盖审核及评价打分，确保为部门预算编制提供科学、合理、可靠的依据。</w:t>
      </w:r>
      <w:r>
        <w:rPr>
          <w:rFonts w:hint="eastAsia" w:ascii="仿宋_GB2312" w:hAnsi="仿宋_GB2312" w:eastAsia="仿宋_GB2312" w:cs="仿宋_GB2312"/>
          <w:b/>
          <w:bCs/>
          <w:sz w:val="32"/>
          <w:szCs w:val="40"/>
          <w:lang w:val="en-US" w:eastAsia="zh-CN"/>
        </w:rPr>
        <w:t>三是</w:t>
      </w:r>
      <w:r>
        <w:rPr>
          <w:rFonts w:hint="eastAsia" w:ascii="仿宋_GB2312" w:hAnsi="仿宋_GB2312" w:eastAsia="仿宋_GB2312" w:cs="仿宋_GB2312"/>
          <w:sz w:val="32"/>
          <w:szCs w:val="40"/>
          <w:lang w:val="en-US" w:eastAsia="zh-CN"/>
        </w:rPr>
        <w:t>邀请第三方机构独立开展绩效评价。选取社会关注度高、资金预算相对较大的公共资源交易信息化建设、社会福利机构建设运营、城乡义务教育家庭经济困难生活补助、养老保险、农业农村、林业草原、传统村落、文化旅游等重点领域开展重点绩效评价，全市涉及25个项目。同时，选取鄯善县开展财政运行情况综合绩效评价试点评价工作，进一步拓展财政重点绩效评价范围。</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楷体_GB2312" w:hAnsi="楷体_GB2312" w:eastAsia="楷体_GB2312" w:cs="楷体_GB2312"/>
          <w:b/>
          <w:bCs/>
          <w:sz w:val="32"/>
          <w:szCs w:val="40"/>
          <w:lang w:val="en-US" w:eastAsia="zh-CN"/>
        </w:rPr>
      </w:pPr>
      <w:r>
        <w:rPr>
          <w:rFonts w:hint="eastAsia" w:ascii="楷体_GB2312" w:hAnsi="楷体_GB2312" w:eastAsia="楷体_GB2312" w:cs="楷体_GB2312"/>
          <w:b/>
          <w:bCs/>
          <w:sz w:val="32"/>
          <w:szCs w:val="40"/>
          <w:lang w:val="en-US" w:eastAsia="zh-CN"/>
        </w:rPr>
        <w:t>（四）夯实工作基础，提升保障能力和水平。</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一是组织开展预算绩效培训。</w:t>
      </w:r>
      <w:r>
        <w:rPr>
          <w:rFonts w:hint="eastAsia" w:ascii="仿宋" w:hAnsi="仿宋" w:eastAsia="仿宋" w:cs="仿宋"/>
          <w:sz w:val="32"/>
          <w:szCs w:val="40"/>
          <w:lang w:val="en-US" w:eastAsia="zh-CN"/>
        </w:rPr>
        <w:t>通过视频会议、集中节点以干代训、小规模集中等方式，</w:t>
      </w:r>
      <w:r>
        <w:rPr>
          <w:rFonts w:hint="eastAsia" w:ascii="仿宋" w:hAnsi="仿宋" w:eastAsia="仿宋" w:cs="仿宋"/>
          <w:bCs/>
          <w:kern w:val="2"/>
          <w:sz w:val="32"/>
          <w:szCs w:val="32"/>
          <w:lang w:val="en-US" w:eastAsia="zh-CN" w:bidi="ar-SA"/>
        </w:rPr>
        <w:t>在全面预算绩效管理的各环节、各时间节点开展政策讲解、业务要点培训、问题梳理、答疑解惑，</w:t>
      </w:r>
      <w:r>
        <w:rPr>
          <w:rFonts w:hint="eastAsia" w:ascii="仿宋" w:hAnsi="仿宋" w:eastAsia="仿宋" w:cs="仿宋"/>
          <w:sz w:val="32"/>
          <w:szCs w:val="40"/>
          <w:lang w:val="en-US" w:eastAsia="zh-CN"/>
        </w:rPr>
        <w:t>全年各级财政部门共举办24场次预算绩效管理培训，</w:t>
      </w:r>
      <w:r>
        <w:rPr>
          <w:rFonts w:hint="eastAsia" w:ascii="仿宋" w:hAnsi="仿宋" w:eastAsia="仿宋" w:cs="仿宋"/>
          <w:bCs/>
          <w:kern w:val="2"/>
          <w:sz w:val="32"/>
          <w:szCs w:val="32"/>
          <w:lang w:val="en-US" w:eastAsia="zh-CN" w:bidi="ar-SA"/>
        </w:rPr>
        <w:t>使全市预算单位预算绩效管理水平得到提高。</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二是加大绩效信息公开力度。</w:t>
      </w:r>
      <w:r>
        <w:rPr>
          <w:rFonts w:hint="eastAsia" w:ascii="仿宋" w:hAnsi="仿宋" w:eastAsia="仿宋" w:cs="仿宋"/>
          <w:sz w:val="32"/>
          <w:szCs w:val="40"/>
          <w:lang w:val="en-US" w:eastAsia="zh-CN"/>
        </w:rPr>
        <w:t>严格落实预算绩效信息公开要求，吐鲁番各地各部门单位将绩效目标、自评报告、重点项目绩效评价报告等全部向社会主动公开（涉密及敏感事项除外），进一步提高绩效管理透明度。</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rPr>
          <w:rFonts w:hint="eastAsia" w:ascii="仿宋" w:hAnsi="仿宋" w:eastAsia="仿宋" w:cs="仿宋"/>
          <w:sz w:val="32"/>
          <w:szCs w:val="40"/>
          <w:lang w:val="en-US" w:eastAsia="zh-CN"/>
        </w:rPr>
      </w:pPr>
      <w:r>
        <w:rPr>
          <w:rFonts w:hint="eastAsia" w:ascii="仿宋" w:hAnsi="仿宋" w:eastAsia="仿宋" w:cs="仿宋"/>
          <w:b/>
          <w:bCs/>
          <w:sz w:val="32"/>
          <w:szCs w:val="40"/>
          <w:lang w:val="en-US" w:eastAsia="zh-CN"/>
        </w:rPr>
        <w:t>三是监管范围不断拓展。</w:t>
      </w:r>
      <w:r>
        <w:rPr>
          <w:rFonts w:hint="eastAsia" w:ascii="仿宋" w:hAnsi="仿宋" w:eastAsia="仿宋" w:cs="仿宋"/>
          <w:sz w:val="32"/>
          <w:szCs w:val="40"/>
          <w:lang w:val="en-US" w:eastAsia="zh-CN"/>
        </w:rPr>
        <w:t>将一般公共预算、政府性基金预算、社保基金预算、国有资本经营预算全面纳入预算绩效管理，加强“四本预算”之间的衔接。全市2024年社保基金预算的项目、国有资本经营预算的项目、衔接资金项目等全部设置绩效目标、实施绩效监控，并对项目进行绩效评价。</w:t>
      </w:r>
    </w:p>
    <w:p>
      <w:pPr>
        <w:keepNext w:val="0"/>
        <w:keepLines w:val="0"/>
        <w:pageBreakBefore w:val="0"/>
        <w:widowControl w:val="0"/>
        <w:kinsoku/>
        <w:wordWrap/>
        <w:overflowPunct/>
        <w:topLinePunct w:val="0"/>
        <w:autoSpaceDE/>
        <w:autoSpaceDN/>
        <w:bidi w:val="0"/>
        <w:adjustRightInd/>
        <w:snapToGrid/>
        <w:spacing w:line="580" w:lineRule="exact"/>
        <w:ind w:firstLine="640" w:firstLineChars="200"/>
        <w:textAlignment w:val="auto"/>
        <w:rPr>
          <w:rFonts w:hint="default" w:ascii="黑体" w:hAnsi="黑体" w:eastAsia="黑体" w:cs="黑体"/>
          <w:b w:val="0"/>
          <w:bCs w:val="0"/>
          <w:color w:val="000000"/>
          <w:sz w:val="32"/>
          <w:szCs w:val="40"/>
          <w:lang w:val="en-US" w:eastAsia="zh-CN"/>
        </w:rPr>
      </w:pPr>
      <w:r>
        <w:rPr>
          <w:rFonts w:hint="eastAsia" w:ascii="黑体" w:hAnsi="黑体" w:eastAsia="黑体" w:cs="黑体"/>
          <w:b w:val="0"/>
          <w:bCs w:val="0"/>
          <w:color w:val="000000"/>
          <w:sz w:val="32"/>
          <w:szCs w:val="40"/>
          <w:lang w:val="en-US" w:eastAsia="zh-CN"/>
        </w:rPr>
        <w:t>二、2025年吐鲁番市预算绩效管理工作的主要措施</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outlineLvl w:val="9"/>
        <w:rPr>
          <w:rFonts w:hint="eastAsia" w:ascii="仿宋" w:hAnsi="仿宋" w:eastAsia="仿宋" w:cs="仿宋"/>
          <w:b w:val="0"/>
          <w:bCs w:val="0"/>
          <w:color w:val="000000" w:themeColor="text1"/>
          <w:sz w:val="32"/>
          <w:szCs w:val="40"/>
          <w:lang w:val="en-US" w:eastAsia="zh-CN"/>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 xml:space="preserve"> 一是深化预算绩效管理改革。</w:t>
      </w:r>
      <w:r>
        <w:rPr>
          <w:rFonts w:hint="eastAsia" w:ascii="仿宋" w:hAnsi="仿宋" w:eastAsia="仿宋" w:cs="仿宋"/>
          <w:b w:val="0"/>
          <w:bCs w:val="0"/>
          <w:color w:val="000000" w:themeColor="text1"/>
          <w:sz w:val="32"/>
          <w:szCs w:val="40"/>
          <w:lang w:val="en-US" w:eastAsia="zh-CN"/>
          <w14:textFill>
            <w14:solidFill>
              <w14:schemeClr w14:val="tx1"/>
            </w14:solidFill>
          </w14:textFill>
        </w:rPr>
        <w:t>结合吐鲁番市零基预算改革各项部署，深入研究推进成本绩效管理，开展项目成本绩效分析，推动财政资金降本增效。进一步拓展财政重点项目绩效评价范围，推进吐鲁番预算绩效管理改革向纵深发展。</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outlineLvl w:val="9"/>
        <w:rPr>
          <w:rFonts w:hint="eastAsia" w:ascii="仿宋" w:hAnsi="仿宋" w:eastAsia="仿宋" w:cs="仿宋"/>
          <w:color w:val="000000" w:themeColor="text1"/>
          <w:sz w:val="32"/>
          <w:szCs w:val="40"/>
          <w:lang w:val="en-US" w:eastAsia="zh-CN"/>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二是</w:t>
      </w:r>
      <w:r>
        <w:rPr>
          <w:rFonts w:hint="eastAsia" w:ascii="仿宋" w:hAnsi="仿宋" w:eastAsia="仿宋" w:cs="仿宋"/>
          <w:b/>
          <w:bCs/>
          <w:color w:val="000000" w:themeColor="text1"/>
          <w:sz w:val="32"/>
          <w:szCs w:val="40"/>
          <w:lang w:eastAsia="zh-CN"/>
          <w14:textFill>
            <w14:solidFill>
              <w14:schemeClr w14:val="tx1"/>
            </w14:solidFill>
          </w14:textFill>
        </w:rPr>
        <w:t>强化</w:t>
      </w:r>
      <w:r>
        <w:rPr>
          <w:rFonts w:hint="eastAsia" w:ascii="仿宋" w:hAnsi="仿宋" w:eastAsia="仿宋" w:cs="仿宋"/>
          <w:b/>
          <w:bCs/>
          <w:color w:val="000000" w:themeColor="text1"/>
          <w:sz w:val="32"/>
          <w:szCs w:val="40"/>
          <w:lang w:val="en-US" w:eastAsia="zh-CN"/>
          <w14:textFill>
            <w14:solidFill>
              <w14:schemeClr w14:val="tx1"/>
            </w14:solidFill>
          </w14:textFill>
        </w:rPr>
        <w:t>事前功能评估控制导向作用。</w:t>
      </w:r>
      <w:r>
        <w:rPr>
          <w:rFonts w:hint="eastAsia" w:ascii="仿宋" w:hAnsi="仿宋" w:eastAsia="仿宋" w:cs="仿宋"/>
          <w:b w:val="0"/>
          <w:bCs w:val="0"/>
          <w:color w:val="000000" w:themeColor="text1"/>
          <w:sz w:val="32"/>
          <w:szCs w:val="40"/>
          <w:lang w:val="en-US" w:eastAsia="zh-CN"/>
          <w14:textFill>
            <w14:solidFill>
              <w14:schemeClr w14:val="tx1"/>
            </w14:solidFill>
          </w14:textFill>
        </w:rPr>
        <w:t>加强对拟新增项目事前绩效评估，对到期政策和项目，重新进行评估政策执行效果，论证项目必要性，将</w:t>
      </w:r>
      <w:r>
        <w:rPr>
          <w:rFonts w:hint="eastAsia" w:ascii="仿宋" w:hAnsi="仿宋" w:eastAsia="仿宋" w:cs="仿宋"/>
          <w:b w:val="0"/>
          <w:bCs w:val="0"/>
          <w:color w:val="000000" w:themeColor="text1"/>
          <w:sz w:val="32"/>
          <w:szCs w:val="40"/>
          <w:lang w:eastAsia="zh-CN"/>
          <w14:textFill>
            <w14:solidFill>
              <w14:schemeClr w14:val="tx1"/>
            </w14:solidFill>
          </w14:textFill>
        </w:rPr>
        <w:t>评估结果作为</w:t>
      </w:r>
      <w:r>
        <w:rPr>
          <w:rFonts w:hint="eastAsia" w:ascii="仿宋" w:hAnsi="仿宋" w:eastAsia="仿宋" w:cs="仿宋"/>
          <w:b w:val="0"/>
          <w:bCs w:val="0"/>
          <w:color w:val="000000" w:themeColor="text1"/>
          <w:sz w:val="32"/>
          <w:szCs w:val="40"/>
          <w:lang w:val="en-US" w:eastAsia="zh-CN"/>
          <w14:textFill>
            <w14:solidFill>
              <w14:schemeClr w14:val="tx1"/>
            </w14:solidFill>
          </w14:textFill>
        </w:rPr>
        <w:t>项目入库和安排年度预算的必要条件。严格按照自治区</w:t>
      </w:r>
      <w:r>
        <w:rPr>
          <w:rFonts w:hint="eastAsia" w:ascii="仿宋" w:hAnsi="仿宋" w:eastAsia="仿宋" w:cs="仿宋"/>
          <w:color w:val="000000" w:themeColor="text1"/>
          <w:sz w:val="32"/>
          <w:szCs w:val="40"/>
          <w:lang w:val="en-US" w:eastAsia="zh-CN"/>
          <w14:textFill>
            <w14:solidFill>
              <w14:schemeClr w14:val="tx1"/>
            </w14:solidFill>
          </w14:textFill>
        </w:rPr>
        <w:t>财政厅事前绩效评估办法，进一步细化事前评估各方责任，工作流程以及评估重点，不断提高事前评估工作规范性。</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outlineLvl w:val="9"/>
        <w:rPr>
          <w:rFonts w:hint="eastAsia" w:ascii="仿宋" w:hAnsi="仿宋" w:eastAsia="仿宋" w:cs="仿宋"/>
          <w:b w:val="0"/>
          <w:bCs w:val="0"/>
          <w:color w:val="000000" w:themeColor="text1"/>
          <w:sz w:val="32"/>
          <w:szCs w:val="40"/>
          <w:lang w:val="en-US" w:eastAsia="zh-CN"/>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三是提升“全过程”预算绩效管理工作质效。</w:t>
      </w:r>
      <w:r>
        <w:rPr>
          <w:rFonts w:hint="eastAsia" w:ascii="仿宋" w:hAnsi="仿宋" w:eastAsia="仿宋" w:cs="仿宋"/>
          <w:b w:val="0"/>
          <w:bCs w:val="0"/>
          <w:color w:val="000000" w:themeColor="text1"/>
          <w:sz w:val="32"/>
          <w:szCs w:val="40"/>
          <w:lang w:val="en-US" w:eastAsia="zh-CN"/>
          <w14:textFill>
            <w14:solidFill>
              <w14:schemeClr w14:val="tx1"/>
            </w14:solidFill>
          </w14:textFill>
        </w:rPr>
        <w:t>紧紧围绕完善“全方位、全过程、全覆盖”预算绩效管理闭环式体系要求，聚焦吐鲁番市本级财政支出重点领域，不断强化绩效目标管理，做实绩效监控，做优项目绩效评价，强化结果应用，促进吐鲁番市本级预算绩效管理工作取得新成效。</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outlineLvl w:val="9"/>
        <w:rPr>
          <w:rFonts w:hint="eastAsia" w:ascii="仿宋" w:hAnsi="仿宋" w:eastAsia="仿宋" w:cs="仿宋"/>
          <w:color w:val="000000" w:themeColor="text1"/>
          <w:sz w:val="32"/>
          <w:szCs w:val="40"/>
          <w:lang w:val="en-US" w:eastAsia="zh-CN"/>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 xml:space="preserve"> 四是健全专家使用机制。</w:t>
      </w:r>
      <w:r>
        <w:rPr>
          <w:rFonts w:hint="eastAsia" w:ascii="仿宋" w:hAnsi="仿宋" w:eastAsia="仿宋" w:cs="仿宋"/>
          <w:color w:val="000000" w:themeColor="text1"/>
          <w:sz w:val="32"/>
          <w:szCs w:val="40"/>
          <w:lang w:val="en-US" w:eastAsia="zh-CN"/>
          <w14:textFill>
            <w14:solidFill>
              <w14:schemeClr w14:val="tx1"/>
            </w14:solidFill>
          </w14:textFill>
        </w:rPr>
        <w:t>建立吐鲁番市本级预算绩效项目评审专家库，优化专家使用机制，发挥“智库”作用，推动高校学者、行业专家、人大代表、政协委员等各层次领域专家广泛参与预算绩效管理重点工作各环节，借助专家力量提升绩效管理工作质量。</w:t>
      </w:r>
    </w:p>
    <w:p>
      <w:pPr>
        <w:keepNext w:val="0"/>
        <w:keepLines w:val="0"/>
        <w:pageBreakBefore w:val="0"/>
        <w:widowControl w:val="0"/>
        <w:kinsoku/>
        <w:wordWrap/>
        <w:overflowPunct/>
        <w:topLinePunct w:val="0"/>
        <w:autoSpaceDE/>
        <w:autoSpaceDN/>
        <w:bidi w:val="0"/>
        <w:adjustRightInd/>
        <w:snapToGrid/>
        <w:spacing w:line="560" w:lineRule="exact"/>
        <w:ind w:firstLine="643" w:firstLineChars="200"/>
        <w:jc w:val="left"/>
        <w:textAlignment w:val="auto"/>
        <w:outlineLvl w:val="9"/>
        <w:rPr>
          <w:rFonts w:hint="eastAsia" w:ascii="仿宋" w:hAnsi="仿宋" w:eastAsia="仿宋" w:cs="仿宋"/>
          <w:color w:val="000000" w:themeColor="text1"/>
          <w:sz w:val="32"/>
          <w:szCs w:val="40"/>
          <w:lang w:val="en-US" w:eastAsia="zh-CN"/>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五是加大预算绩效管理信息化建设力度。</w:t>
      </w:r>
      <w:r>
        <w:rPr>
          <w:rFonts w:hint="eastAsia" w:ascii="仿宋" w:hAnsi="仿宋" w:eastAsia="仿宋" w:cs="仿宋"/>
          <w:color w:val="000000" w:themeColor="text1"/>
          <w:sz w:val="32"/>
          <w:szCs w:val="40"/>
          <w:lang w:val="en-US" w:eastAsia="zh-CN"/>
          <w14:textFill>
            <w14:solidFill>
              <w14:schemeClr w14:val="tx1"/>
            </w14:solidFill>
          </w14:textFill>
        </w:rPr>
        <w:t>落实财政厅一体化建设有关要求，做好预算绩效管理信息系统与“一体化”系统衔接，按照自治区财政厅统一部署，同步实现使用项目绩效目标、绩效监控、绩效评价模块、促进预算绩效管理信息化建设。</w:t>
      </w:r>
    </w:p>
    <w:p>
      <w:pPr>
        <w:keepNext w:val="0"/>
        <w:keepLines w:val="0"/>
        <w:pageBreakBefore w:val="0"/>
        <w:widowControl w:val="0"/>
        <w:kinsoku/>
        <w:wordWrap/>
        <w:overflowPunct/>
        <w:topLinePunct w:val="0"/>
        <w:autoSpaceDE/>
        <w:autoSpaceDN/>
        <w:bidi w:val="0"/>
        <w:adjustRightInd/>
        <w:snapToGrid/>
        <w:spacing w:line="580" w:lineRule="exact"/>
        <w:ind w:firstLine="643" w:firstLineChars="200"/>
        <w:textAlignment w:val="auto"/>
        <w:outlineLvl w:val="9"/>
        <w:rPr>
          <w:rFonts w:hint="eastAsia" w:ascii="仿宋" w:hAnsi="仿宋" w:eastAsia="仿宋" w:cs="仿宋"/>
          <w:color w:val="000000" w:themeColor="text1"/>
          <w:sz w:val="32"/>
          <w:szCs w:val="40"/>
          <w:lang w:val="en-US"/>
          <w14:textFill>
            <w14:solidFill>
              <w14:schemeClr w14:val="tx1"/>
            </w14:solidFill>
          </w14:textFill>
        </w:rPr>
      </w:pPr>
      <w:r>
        <w:rPr>
          <w:rFonts w:hint="eastAsia" w:ascii="仿宋" w:hAnsi="仿宋" w:eastAsia="仿宋" w:cs="仿宋"/>
          <w:b/>
          <w:bCs/>
          <w:color w:val="000000" w:themeColor="text1"/>
          <w:sz w:val="32"/>
          <w:szCs w:val="40"/>
          <w:lang w:val="en-US" w:eastAsia="zh-CN"/>
          <w14:textFill>
            <w14:solidFill>
              <w14:schemeClr w14:val="tx1"/>
            </w14:solidFill>
          </w14:textFill>
        </w:rPr>
        <w:t>六是加强对市本级和各区县全面实施预算绩效管理的指导。</w:t>
      </w:r>
      <w:r>
        <w:rPr>
          <w:rFonts w:hint="eastAsia" w:ascii="仿宋" w:hAnsi="仿宋" w:eastAsia="仿宋" w:cs="仿宋"/>
          <w:color w:val="000000" w:themeColor="text1"/>
          <w:sz w:val="32"/>
          <w:szCs w:val="40"/>
          <w:lang w:eastAsia="zh-CN"/>
          <w14:textFill>
            <w14:solidFill>
              <w14:schemeClr w14:val="tx1"/>
            </w14:solidFill>
          </w14:textFill>
        </w:rPr>
        <w:t>综合运用指导、调研、考核等手段，以问题为导向，深入推进</w:t>
      </w:r>
      <w:r>
        <w:rPr>
          <w:rFonts w:hint="eastAsia" w:ascii="仿宋" w:hAnsi="仿宋" w:eastAsia="仿宋" w:cs="仿宋"/>
          <w:color w:val="000000" w:themeColor="text1"/>
          <w:sz w:val="32"/>
          <w:szCs w:val="40"/>
          <w:lang w:val="en-US" w:eastAsia="zh-CN"/>
          <w14:textFill>
            <w14:solidFill>
              <w14:schemeClr w14:val="tx1"/>
            </w14:solidFill>
          </w14:textFill>
        </w:rPr>
        <w:t>各级</w:t>
      </w:r>
      <w:r>
        <w:rPr>
          <w:rFonts w:hint="eastAsia" w:ascii="仿宋" w:hAnsi="仿宋" w:eastAsia="仿宋" w:cs="仿宋"/>
          <w:color w:val="000000" w:themeColor="text1"/>
          <w:sz w:val="32"/>
          <w:szCs w:val="40"/>
          <w:lang w:eastAsia="zh-CN"/>
          <w14:textFill>
            <w14:solidFill>
              <w14:schemeClr w14:val="tx1"/>
            </w14:solidFill>
          </w14:textFill>
        </w:rPr>
        <w:t>预算绩效管理</w:t>
      </w:r>
      <w:r>
        <w:rPr>
          <w:rFonts w:hint="eastAsia" w:ascii="仿宋" w:hAnsi="仿宋" w:eastAsia="仿宋" w:cs="仿宋"/>
          <w:color w:val="000000" w:themeColor="text1"/>
          <w:sz w:val="32"/>
          <w:szCs w:val="40"/>
          <w:lang w:val="en-US" w:eastAsia="zh-CN"/>
          <w14:textFill>
            <w14:solidFill>
              <w14:schemeClr w14:val="tx1"/>
            </w14:solidFill>
          </w14:textFill>
        </w:rPr>
        <w:t>水平。</w:t>
      </w:r>
      <w:r>
        <w:rPr>
          <w:rFonts w:hint="eastAsia" w:ascii="仿宋" w:hAnsi="仿宋" w:eastAsia="仿宋" w:cs="仿宋"/>
          <w:b w:val="0"/>
          <w:bCs w:val="0"/>
          <w:color w:val="000000" w:themeColor="text1"/>
          <w:sz w:val="32"/>
          <w:szCs w:val="40"/>
          <w:lang w:val="en-US" w:eastAsia="zh-CN"/>
          <w14:textFill>
            <w14:solidFill>
              <w14:schemeClr w14:val="tx1"/>
            </w14:solidFill>
          </w14:textFill>
        </w:rPr>
        <w:t>同时抓好预算绩效管理业务培训。组织</w:t>
      </w:r>
      <w:r>
        <w:rPr>
          <w:rFonts w:hint="eastAsia" w:ascii="仿宋" w:hAnsi="仿宋" w:eastAsia="仿宋" w:cs="仿宋"/>
          <w:color w:val="000000" w:themeColor="text1"/>
          <w:sz w:val="32"/>
          <w:szCs w:val="40"/>
          <w:lang w:val="en-US" w:eastAsia="zh-CN"/>
          <w14:textFill>
            <w14:solidFill>
              <w14:schemeClr w14:val="tx1"/>
            </w14:solidFill>
          </w14:textFill>
        </w:rPr>
        <w:t>专业力量加大对部门单位和基层的培训力度，积极采取灵活多样的培训方式，不断深化业务人员对全面实施预算绩效管理的认识，有效提高整体工作水平。</w:t>
      </w:r>
    </w:p>
    <w:p>
      <w:pPr>
        <w:pStyle w:val="8"/>
        <w:rPr>
          <w:rFonts w:hint="eastAsia" w:ascii="仿宋" w:hAnsi="仿宋" w:eastAsia="仿宋" w:cs="仿宋"/>
          <w:sz w:val="32"/>
          <w:szCs w:val="32"/>
        </w:rPr>
      </w:pPr>
      <w:r>
        <w:rPr>
          <w:rFonts w:hint="eastAsia" w:ascii="仿宋" w:hAnsi="仿宋" w:eastAsia="仿宋" w:cs="仿宋"/>
          <w:sz w:val="32"/>
          <w:szCs w:val="32"/>
          <w:lang w:val="en-US" w:eastAsia="zh-CN"/>
        </w:rPr>
        <w:t xml:space="preserve">   </w:t>
      </w:r>
      <w:r>
        <w:rPr>
          <w:rFonts w:hint="eastAsia" w:ascii="仿宋" w:hAnsi="仿宋" w:eastAsia="仿宋" w:cs="仿宋"/>
          <w:b/>
          <w:bCs/>
          <w:sz w:val="32"/>
          <w:szCs w:val="32"/>
          <w:lang w:val="en-US" w:eastAsia="zh-CN"/>
        </w:rPr>
        <w:t xml:space="preserve"> 七是夯实预算管理基础工作。</w:t>
      </w:r>
      <w:r>
        <w:rPr>
          <w:rFonts w:hint="eastAsia" w:ascii="仿宋" w:hAnsi="仿宋" w:eastAsia="仿宋" w:cs="仿宋"/>
          <w:sz w:val="32"/>
          <w:szCs w:val="32"/>
          <w:lang w:val="en-US" w:eastAsia="zh-CN"/>
        </w:rPr>
        <w:t>稳步推进预算绩效信息公开工作，提高第三方机构执业质量，积极开展预算绩效培训，加大信息宣传力度，认真落实全面实施预算绩效管理总结考核工作。</w:t>
      </w:r>
      <w:r>
        <w:rPr>
          <w:rFonts w:hint="eastAsia" w:ascii="仿宋" w:hAnsi="仿宋" w:eastAsia="仿宋" w:cs="仿宋"/>
          <w:color w:val="000000" w:themeColor="text1"/>
          <w:sz w:val="32"/>
          <w:szCs w:val="40"/>
          <w:lang w:val="en-US" w:eastAsia="zh-CN"/>
          <w14:textFill>
            <w14:solidFill>
              <w14:schemeClr w14:val="tx1"/>
            </w14:solidFill>
          </w14:textFill>
        </w:rPr>
        <w:t xml:space="preserve"> </w:t>
      </w:r>
    </w:p>
    <w:p>
      <w:pPr>
        <w:pStyle w:val="8"/>
        <w:rPr>
          <w:rFonts w:hint="eastAsia" w:ascii="仿宋" w:hAnsi="仿宋" w:eastAsia="仿宋" w:cs="仿宋"/>
          <w:sz w:val="32"/>
          <w:szCs w:val="32"/>
        </w:rPr>
      </w:pPr>
    </w:p>
    <w:p>
      <w:pPr>
        <w:keepNext w:val="0"/>
        <w:keepLines w:val="0"/>
        <w:pageBreakBefore w:val="0"/>
        <w:widowControl w:val="0"/>
        <w:kinsoku/>
        <w:wordWrap/>
        <w:overflowPunct/>
        <w:topLinePunct w:val="0"/>
        <w:autoSpaceDE/>
        <w:autoSpaceDN/>
        <w:bidi w:val="0"/>
        <w:adjustRightInd/>
        <w:snapToGrid/>
        <w:spacing w:line="580" w:lineRule="exact"/>
        <w:ind w:firstLine="1760" w:firstLineChars="400"/>
        <w:textAlignment w:val="auto"/>
        <w:outlineLvl w:val="9"/>
        <w:rPr>
          <w:rFonts w:hint="eastAsia" w:ascii="仿宋" w:hAnsi="仿宋" w:eastAsia="仿宋" w:cs="仿宋"/>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pStyle w:val="2"/>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80" w:lineRule="exact"/>
        <w:textAlignment w:val="auto"/>
        <w:outlineLvl w:val="9"/>
        <w:rPr>
          <w:rFonts w:hint="eastAsia" w:ascii="黑体" w:hAnsi="黑体" w:eastAsia="黑体" w:cs="黑体"/>
          <w:b w:val="0"/>
          <w:bCs w:val="0"/>
          <w:color w:val="000000" w:themeColor="text1"/>
          <w:sz w:val="44"/>
          <w:szCs w:val="44"/>
          <w:lang w:val="en-US" w:eastAsia="zh-CN"/>
          <w14:textFill>
            <w14:solidFill>
              <w14:schemeClr w14:val="tx1"/>
            </w14:solidFill>
          </w14:textFill>
        </w:rPr>
      </w:pPr>
    </w:p>
    <w:p>
      <w:pPr>
        <w:keepNext w:val="0"/>
        <w:keepLines w:val="0"/>
        <w:pageBreakBefore w:val="0"/>
        <w:widowControl w:val="0"/>
        <w:numPr>
          <w:ilvl w:val="0"/>
          <w:numId w:val="5"/>
        </w:numPr>
        <w:kinsoku/>
        <w:wordWrap/>
        <w:overflowPunct/>
        <w:topLinePunct w:val="0"/>
        <w:autoSpaceDE/>
        <w:autoSpaceDN/>
        <w:bidi w:val="0"/>
        <w:adjustRightInd/>
        <w:snapToGrid/>
        <w:spacing w:line="580" w:lineRule="exact"/>
        <w:ind w:firstLine="1760" w:firstLineChars="400"/>
        <w:textAlignment w:val="auto"/>
        <w:outlineLvl w:val="9"/>
        <w:rPr>
          <w:rFonts w:hint="eastAsia" w:ascii="黑体" w:hAnsi="黑体" w:eastAsia="黑体" w:cs="黑体"/>
          <w:b w:val="0"/>
          <w:bCs w:val="0"/>
          <w:color w:val="000000" w:themeColor="text1"/>
          <w:sz w:val="44"/>
          <w:szCs w:val="44"/>
          <w:lang w:val="en-US" w:eastAsia="zh-CN"/>
          <w14:textFill>
            <w14:solidFill>
              <w14:schemeClr w14:val="tx1"/>
            </w14:solidFill>
          </w14:textFill>
        </w:rPr>
      </w:pPr>
      <w:r>
        <w:rPr>
          <w:rFonts w:hint="eastAsia" w:ascii="黑体" w:hAnsi="黑体" w:eastAsia="黑体" w:cs="黑体"/>
          <w:b w:val="0"/>
          <w:bCs w:val="0"/>
          <w:color w:val="000000" w:themeColor="text1"/>
          <w:sz w:val="44"/>
          <w:szCs w:val="44"/>
          <w:lang w:val="en-US" w:eastAsia="zh-CN"/>
          <w14:textFill>
            <w14:solidFill>
              <w14:schemeClr w14:val="tx1"/>
            </w14:solidFill>
          </w14:textFill>
        </w:rPr>
        <w:t>其他情况说明</w:t>
      </w:r>
    </w:p>
    <w:p>
      <w:pPr>
        <w:pStyle w:val="4"/>
        <w:pageBreakBefore w:val="0"/>
        <w:widowControl w:val="0"/>
        <w:kinsoku/>
        <w:wordWrap/>
        <w:overflowPunct/>
        <w:topLinePunct w:val="0"/>
        <w:autoSpaceDE/>
        <w:autoSpaceDN/>
        <w:bidi w:val="0"/>
        <w:adjustRightInd/>
        <w:snapToGrid/>
        <w:spacing w:line="540" w:lineRule="exact"/>
        <w:ind w:firstLine="640" w:firstLineChars="200"/>
        <w:textAlignment w:val="auto"/>
        <w:rPr>
          <w:rFonts w:hint="eastAsia" w:ascii="仿宋" w:hAnsi="仿宋" w:eastAsia="仿宋" w:cs="仿宋"/>
          <w:b w:val="0"/>
          <w:bCs w:val="0"/>
          <w:color w:val="000000" w:themeColor="text1"/>
          <w:sz w:val="32"/>
          <w:szCs w:val="32"/>
          <w:lang w:val="en-US" w:eastAsia="zh-CN"/>
          <w14:textFill>
            <w14:solidFill>
              <w14:schemeClr w14:val="tx1"/>
            </w14:solidFill>
          </w14:textFill>
        </w:rPr>
      </w:pPr>
      <w:r>
        <w:rPr>
          <w:rFonts w:hint="eastAsia" w:ascii="仿宋" w:hAnsi="仿宋" w:eastAsia="仿宋" w:cs="仿宋"/>
          <w:b w:val="0"/>
          <w:bCs w:val="0"/>
          <w:color w:val="000000" w:themeColor="text1"/>
          <w:sz w:val="32"/>
          <w:szCs w:val="32"/>
          <w:lang w:val="en-US" w:eastAsia="zh-CN"/>
          <w14:textFill>
            <w14:solidFill>
              <w14:schemeClr w14:val="tx1"/>
            </w14:solidFill>
          </w14:textFill>
        </w:rPr>
        <w:t>1.2025年吐鲁番市一般公共预算收入预算数按照比上年执行数763889 万元增长10%，预计完成791598万元，按照财政体制改革后，2025年全市一般公共预算收入预算数为638114万元。</w:t>
      </w:r>
    </w:p>
    <w:p>
      <w:pPr>
        <w:pStyle w:val="4"/>
        <w:pageBreakBefore w:val="0"/>
        <w:widowControl w:val="0"/>
        <w:kinsoku/>
        <w:wordWrap/>
        <w:overflowPunct/>
        <w:topLinePunct w:val="0"/>
        <w:autoSpaceDE/>
        <w:autoSpaceDN/>
        <w:bidi w:val="0"/>
        <w:adjustRightInd/>
        <w:snapToGrid/>
        <w:spacing w:line="540" w:lineRule="exact"/>
        <w:ind w:firstLine="640" w:firstLineChars="200"/>
        <w:textAlignment w:val="auto"/>
        <w:rPr>
          <w:rFonts w:hint="default" w:ascii="仿宋" w:hAnsi="仿宋" w:eastAsia="仿宋" w:cs="仿宋"/>
          <w:b w:val="0"/>
          <w:bCs w:val="0"/>
          <w:sz w:val="32"/>
          <w:szCs w:val="32"/>
          <w:lang w:val="en-US" w:eastAsia="zh-CN"/>
        </w:rPr>
      </w:pPr>
      <w:r>
        <w:rPr>
          <w:rFonts w:hint="eastAsia" w:ascii="仿宋" w:hAnsi="仿宋" w:eastAsia="仿宋" w:cs="仿宋"/>
          <w:b w:val="0"/>
          <w:bCs w:val="0"/>
          <w:color w:val="000000" w:themeColor="text1"/>
          <w:sz w:val="32"/>
          <w:szCs w:val="32"/>
          <w:lang w:val="en-US" w:eastAsia="zh-CN"/>
          <w14:textFill>
            <w14:solidFill>
              <w14:schemeClr w14:val="tx1"/>
            </w14:solidFill>
          </w14:textFill>
        </w:rPr>
        <w:t>2.市本级2025年一般公共预算收入数，是按照财政体制改革后安排的预算数为90822万元。一般公共预算支出数，是按照财政体制改革后安排的预算数为276291万元。</w:t>
      </w:r>
    </w:p>
    <w:p>
      <w:pPr>
        <w:pageBreakBefore w:val="0"/>
        <w:widowControl w:val="0"/>
        <w:kinsoku/>
        <w:wordWrap/>
        <w:overflowPunct/>
        <w:topLinePunct w:val="0"/>
        <w:autoSpaceDE/>
        <w:autoSpaceDN/>
        <w:bidi w:val="0"/>
        <w:adjustRightInd/>
        <w:snapToGrid/>
        <w:spacing w:line="540" w:lineRule="exact"/>
        <w:textAlignment w:val="auto"/>
        <w:rPr>
          <w:rFonts w:hint="default"/>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textAlignment w:val="auto"/>
        <w:outlineLvl w:val="9"/>
        <w:rPr>
          <w:rFonts w:hint="eastAsia" w:ascii="黑体" w:hAnsi="黑体" w:eastAsia="黑体" w:cs="黑体"/>
          <w:b w:val="0"/>
          <w:bCs w:val="0"/>
          <w:color w:val="000000" w:themeColor="text1"/>
          <w:sz w:val="44"/>
          <w:szCs w:val="44"/>
          <w:lang w:val="en-US" w:eastAsia="zh-CN"/>
          <w14:textFill>
            <w14:solidFill>
              <w14:schemeClr w14:val="tx1"/>
            </w14:solidFill>
          </w14:textFill>
        </w:rPr>
      </w:pPr>
      <w:r>
        <w:rPr>
          <w:rFonts w:hint="eastAsia" w:ascii="仿宋" w:hAnsi="仿宋" w:eastAsia="仿宋" w:cs="仿宋"/>
          <w:b w:val="0"/>
          <w:bCs w:val="0"/>
          <w:color w:val="000000" w:themeColor="text1"/>
          <w:sz w:val="32"/>
          <w:szCs w:val="32"/>
          <w:lang w:val="en-US" w:eastAsia="zh-CN"/>
          <w14:textFill>
            <w14:solidFill>
              <w14:schemeClr w14:val="tx1"/>
            </w14:solidFill>
          </w14:textFill>
        </w:rPr>
        <w:t xml:space="preserve"> </w:t>
      </w:r>
    </w:p>
    <w:p>
      <w:pPr>
        <w:pStyle w:val="8"/>
        <w:ind w:firstLine="640"/>
        <w:rPr>
          <w:rFonts w:hint="eastAsia" w:ascii="仿宋_GB2312" w:hAnsi="仿宋_GB2312" w:eastAsia="仿宋_GB2312" w:cs="仿宋_GB2312"/>
          <w:color w:val="000000" w:themeColor="text1"/>
          <w:sz w:val="32"/>
          <w:szCs w:val="40"/>
          <w:lang w:val="en-US" w:eastAsia="zh-CN"/>
          <w14:textFill>
            <w14:solidFill>
              <w14:schemeClr w14:val="tx1"/>
            </w14:solidFill>
          </w14:textFill>
        </w:rPr>
      </w:pPr>
    </w:p>
    <w:p>
      <w:pPr>
        <w:pStyle w:val="22"/>
        <w:rPr>
          <w:rFonts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w:t>
      </w:r>
    </w:p>
    <w:p>
      <w:pPr>
        <w:pStyle w:val="22"/>
        <w:rPr>
          <w:rFonts w:ascii="仿宋_GB2312" w:hAnsi="仿宋_GB2312" w:eastAsia="仿宋_GB2312" w:cs="仿宋_GB2312"/>
          <w:sz w:val="32"/>
          <w:szCs w:val="32"/>
        </w:rPr>
      </w:pPr>
    </w:p>
    <w:p>
      <w:pPr>
        <w:pStyle w:val="22"/>
        <w:rPr>
          <w:rFonts w:ascii="仿宋_GB2312" w:hAnsi="仿宋_GB2312" w:eastAsia="仿宋_GB2312" w:cs="仿宋_GB2312"/>
          <w:sz w:val="32"/>
          <w:szCs w:val="32"/>
        </w:rPr>
      </w:pPr>
    </w:p>
    <w:p>
      <w:pPr>
        <w:pStyle w:val="22"/>
        <w:rPr>
          <w:rFonts w:ascii="仿宋_GB2312" w:hAnsi="仿宋_GB2312" w:eastAsia="仿宋_GB2312" w:cs="仿宋_GB2312"/>
          <w:sz w:val="32"/>
          <w:szCs w:val="32"/>
        </w:rPr>
      </w:pPr>
    </w:p>
    <w:p>
      <w:pPr>
        <w:pStyle w:val="22"/>
        <w:rPr>
          <w:rFonts w:ascii="仿宋_GB2312" w:hAnsi="仿宋_GB2312" w:eastAsia="仿宋_GB2312" w:cs="仿宋_GB2312"/>
          <w:sz w:val="32"/>
          <w:szCs w:val="32"/>
        </w:rPr>
      </w:pPr>
    </w:p>
    <w:p>
      <w:pPr>
        <w:pStyle w:val="22"/>
        <w:rPr>
          <w:rFonts w:ascii="仿宋_GB2312" w:hAnsi="仿宋_GB2312" w:eastAsia="仿宋_GB2312" w:cs="仿宋_GB2312"/>
          <w:sz w:val="32"/>
          <w:szCs w:val="32"/>
        </w:rPr>
      </w:pPr>
    </w:p>
    <w:p>
      <w:pPr>
        <w:pStyle w:val="8"/>
        <w:keepNext w:val="0"/>
        <w:keepLines w:val="0"/>
        <w:pageBreakBefore w:val="0"/>
        <w:widowControl w:val="0"/>
        <w:kinsoku/>
        <w:wordWrap/>
        <w:overflowPunct w:val="0"/>
        <w:topLinePunct w:val="0"/>
        <w:autoSpaceDE/>
        <w:autoSpaceDN/>
        <w:bidi w:val="0"/>
        <w:adjustRightInd/>
        <w:snapToGrid/>
        <w:spacing w:line="20" w:lineRule="exact"/>
        <w:textAlignment w:val="auto"/>
        <w:rPr>
          <w:rFonts w:hint="default" w:ascii="Times New Roman" w:hAnsi="Times New Roman"/>
          <w:color w:val="000000" w:themeColor="text1"/>
          <w:lang w:val="en-US"/>
          <w14:textFill>
            <w14:solidFill>
              <w14:schemeClr w14:val="tx1"/>
            </w14:solidFill>
          </w14:textFill>
        </w:rPr>
      </w:pPr>
      <w:r>
        <w:rPr>
          <w:rFonts w:hint="eastAsia" w:ascii="Times New Roman" w:hAnsi="Times New Roman" w:cs="Times New Roman"/>
          <w:b w:val="0"/>
          <w:bCs w:val="0"/>
          <w:sz w:val="24"/>
          <w:szCs w:val="24"/>
          <w:lang w:val="en-US" w:eastAsia="zh-CN"/>
        </w:rPr>
        <w:t xml:space="preserve"> 7</w:t>
      </w:r>
    </w:p>
    <w:sectPr>
      <w:footerReference r:id="rId7" w:type="default"/>
      <w:pgSz w:w="11906" w:h="16838"/>
      <w:pgMar w:top="2098" w:right="1531" w:bottom="1928" w:left="1531" w:header="851" w:footer="1361" w:gutter="0"/>
      <w:pgBorders>
        <w:top w:val="none" w:sz="0" w:space="0"/>
        <w:left w:val="none" w:sz="0" w:space="0"/>
        <w:bottom w:val="none" w:sz="0" w:space="0"/>
        <w:right w:val="none" w:sz="0" w:space="0"/>
      </w:pgBorders>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decorative"/>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TimesNewRomanPSMT">
    <w:altName w:val="Times New Roman"/>
    <w:panose1 w:val="00000000000000000000"/>
    <w:charset w:val="00"/>
    <w:family w:val="auto"/>
    <w:pitch w:val="default"/>
    <w:sig w:usb0="00000000" w:usb1="00000000" w:usb2="00000000" w:usb3="00000000" w:csb0="00000000"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方正小标宋_GBK">
    <w:panose1 w:val="02000000000000000000"/>
    <w:charset w:val="86"/>
    <w:family w:val="auto"/>
    <w:pitch w:val="default"/>
    <w:sig w:usb0="A00002BF" w:usb1="38CF7CFA" w:usb2="00082016" w:usb3="00000000" w:csb0="00040001" w:csb1="00000000"/>
  </w:font>
  <w:font w:name="方正小标宋简体">
    <w:panose1 w:val="02000000000000000000"/>
    <w:charset w:val="86"/>
    <w:family w:val="script"/>
    <w:pitch w:val="default"/>
    <w:sig w:usb0="A00002BF" w:usb1="184F6CFA" w:usb2="00000012"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-20320</wp:posOffset>
              </wp:positionV>
              <wp:extent cx="826135" cy="22352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826135" cy="2235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keepNext w:val="0"/>
                            <w:keepLines w:val="0"/>
                            <w:pageBreakBefore w:val="0"/>
                            <w:widowControl w:val="0"/>
                            <w:kinsoku/>
                            <w:wordWrap/>
                            <w:overflowPunct/>
                            <w:topLinePunct w:val="0"/>
                            <w:autoSpaceDE/>
                            <w:autoSpaceDN/>
                            <w:bidi w:val="0"/>
                            <w:adjustRightInd/>
                            <w:snapToGrid w:val="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 xml:space="preserve">— </w:t>
                          </w:r>
                          <w:r>
                            <w:rPr>
                              <w:rFonts w:hint="eastAsia" w:ascii="仿宋" w:hAnsi="仿宋" w:eastAsia="仿宋" w:cs="仿宋"/>
                              <w:sz w:val="28"/>
                              <w:szCs w:val="28"/>
                              <w:lang w:eastAsia="zh-CN"/>
                            </w:rPr>
                            <w:fldChar w:fldCharType="begin"/>
                          </w:r>
                          <w:r>
                            <w:rPr>
                              <w:rFonts w:hint="eastAsia" w:ascii="仿宋" w:hAnsi="仿宋" w:eastAsia="仿宋" w:cs="仿宋"/>
                              <w:sz w:val="28"/>
                              <w:szCs w:val="28"/>
                              <w:lang w:eastAsia="zh-CN"/>
                            </w:rPr>
                            <w:instrText xml:space="preserve"> PAGE  \* MERGEFORMAT </w:instrText>
                          </w:r>
                          <w:r>
                            <w:rPr>
                              <w:rFonts w:hint="eastAsia" w:ascii="仿宋" w:hAnsi="仿宋" w:eastAsia="仿宋" w:cs="仿宋"/>
                              <w:sz w:val="28"/>
                              <w:szCs w:val="28"/>
                              <w:lang w:eastAsia="zh-CN"/>
                            </w:rPr>
                            <w:fldChar w:fldCharType="separate"/>
                          </w:r>
                          <w:r>
                            <w:rPr>
                              <w:rFonts w:hint="eastAsia" w:ascii="仿宋" w:hAnsi="仿宋" w:eastAsia="仿宋" w:cs="仿宋"/>
                              <w:sz w:val="28"/>
                              <w:szCs w:val="28"/>
                              <w:lang w:eastAsia="zh-CN"/>
                            </w:rPr>
                            <w:t>1</w:t>
                          </w:r>
                          <w:r>
                            <w:rPr>
                              <w:rFonts w:hint="eastAsia" w:ascii="仿宋" w:hAnsi="仿宋" w:eastAsia="仿宋" w:cs="仿宋"/>
                              <w:sz w:val="28"/>
                              <w:szCs w:val="28"/>
                              <w:lang w:eastAsia="zh-CN"/>
                            </w:rPr>
                            <w:fldChar w:fldCharType="end"/>
                          </w:r>
                          <w:r>
                            <w:rPr>
                              <w:rFonts w:hint="eastAsia" w:ascii="仿宋" w:hAnsi="仿宋" w:eastAsia="仿宋" w:cs="仿宋"/>
                              <w:sz w:val="28"/>
                              <w:szCs w:val="28"/>
                              <w:lang w:eastAsia="zh-CN"/>
                            </w:rPr>
                            <w:t xml:space="preserve"> —</w:t>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1.6pt;height:17.6pt;width:65.05pt;mso-position-horizontal:outside;mso-position-horizontal-relative:margin;z-index:251668480;mso-width-relative:page;mso-height-relative:page;" filled="f" stroked="f" coordsize="21600,21600" o:gfxdata="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PNV5Y9QAAAAGAQAADwAAAAAAAAABACAAAAAiAAAAZHJzL2Rvd25yZXYu&#10;eG1sUEsBAhQAFAAAAAgAh07iQLoowVY4AgAAYwQAAA4AAAAAAAAAAQAgAAAAIwEAAGRycy9lMm9E&#10;b2MueG1sUEsFBgAAAAAGAAYAWQEAAM0FAAAAAA==&#10;">
              <v:fill on="f" focussize="0,0"/>
              <v:stroke on="f" weight="0.5pt"/>
              <v:imagedata o:title=""/>
              <o:lock v:ext="edit" aspectratio="f"/>
              <v:textbox inset="0mm,0mm,0mm,0mm">
                <w:txbxContent>
                  <w:p>
                    <w:pPr>
                      <w:pStyle w:val="10"/>
                      <w:keepNext w:val="0"/>
                      <w:keepLines w:val="0"/>
                      <w:pageBreakBefore w:val="0"/>
                      <w:widowControl w:val="0"/>
                      <w:kinsoku/>
                      <w:wordWrap/>
                      <w:overflowPunct/>
                      <w:topLinePunct w:val="0"/>
                      <w:autoSpaceDE/>
                      <w:autoSpaceDN/>
                      <w:bidi w:val="0"/>
                      <w:adjustRightInd/>
                      <w:snapToGrid w:val="0"/>
                      <w:jc w:val="center"/>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 xml:space="preserve">— </w:t>
                    </w:r>
                    <w:r>
                      <w:rPr>
                        <w:rFonts w:hint="eastAsia" w:ascii="仿宋" w:hAnsi="仿宋" w:eastAsia="仿宋" w:cs="仿宋"/>
                        <w:sz w:val="28"/>
                        <w:szCs w:val="28"/>
                        <w:lang w:eastAsia="zh-CN"/>
                      </w:rPr>
                      <w:fldChar w:fldCharType="begin"/>
                    </w:r>
                    <w:r>
                      <w:rPr>
                        <w:rFonts w:hint="eastAsia" w:ascii="仿宋" w:hAnsi="仿宋" w:eastAsia="仿宋" w:cs="仿宋"/>
                        <w:sz w:val="28"/>
                        <w:szCs w:val="28"/>
                        <w:lang w:eastAsia="zh-CN"/>
                      </w:rPr>
                      <w:instrText xml:space="preserve"> PAGE  \* MERGEFORMAT </w:instrText>
                    </w:r>
                    <w:r>
                      <w:rPr>
                        <w:rFonts w:hint="eastAsia" w:ascii="仿宋" w:hAnsi="仿宋" w:eastAsia="仿宋" w:cs="仿宋"/>
                        <w:sz w:val="28"/>
                        <w:szCs w:val="28"/>
                        <w:lang w:eastAsia="zh-CN"/>
                      </w:rPr>
                      <w:fldChar w:fldCharType="separate"/>
                    </w:r>
                    <w:r>
                      <w:rPr>
                        <w:rFonts w:hint="eastAsia" w:ascii="仿宋" w:hAnsi="仿宋" w:eastAsia="仿宋" w:cs="仿宋"/>
                        <w:sz w:val="28"/>
                        <w:szCs w:val="28"/>
                        <w:lang w:eastAsia="zh-CN"/>
                      </w:rPr>
                      <w:t>1</w:t>
                    </w:r>
                    <w:r>
                      <w:rPr>
                        <w:rFonts w:hint="eastAsia" w:ascii="仿宋" w:hAnsi="仿宋" w:eastAsia="仿宋" w:cs="仿宋"/>
                        <w:sz w:val="28"/>
                        <w:szCs w:val="28"/>
                        <w:lang w:eastAsia="zh-CN"/>
                      </w:rPr>
                      <w:fldChar w:fldCharType="end"/>
                    </w:r>
                    <w:r>
                      <w:rPr>
                        <w:rFonts w:hint="eastAsia" w:ascii="仿宋" w:hAnsi="仿宋" w:eastAsia="仿宋" w:cs="仿宋"/>
                        <w:sz w:val="28"/>
                        <w:szCs w:val="28"/>
                        <w:lang w:eastAsia="zh-CN"/>
                      </w:rPr>
                      <w:t xml:space="preserve"> —</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rFonts w:ascii="宋体" w:hAnsi="宋体" w:eastAsia="宋体"/>
        <w:sz w:val="28"/>
        <w:szCs w:val="28"/>
      </w:rPr>
    </w:pPr>
    <w:r>
      <w:rPr>
        <w:sz w:val="2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0lY7tAAAAAFAQAADwAAAAAAAAABACAAAAAiAAAA&#10;ZHJzL2Rvd25yZXYueG1sUEsBAhQAFAAAAAgAh07iQIZXTv/WAQAAsAMAAA4AAAAAAAAAAQAgAAAA&#10;HwEAAGRycy9lMm9Eb2MueG1sUEsFBgAAAAAGAAYAWQEAAGcFAAAAAA==&#10;">
              <v:fill on="f" focussize="0,0"/>
              <v:stroke on="f" weight="0.5pt"/>
              <v:imagedata o:title=""/>
              <o:lock v:ext="edit" aspectratio="f"/>
              <v:textbox inset="0mm,0mm,0mm,0mm" style="mso-fit-shape-to-text:t;">
                <w:txbxContent>
                  <w:p>
                    <w:pPr>
                      <w:snapToGrid w:val="0"/>
                      <w:rPr>
                        <w:sz w:val="1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rFonts w:ascii="宋体" w:hAnsi="宋体" w:eastAsia="宋体"/>
        <w:sz w:val="28"/>
        <w:szCs w:val="28"/>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rPr>
                              <w:sz w:val="1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0lY7tAAAAAFAQAADwAAAAAAAAABACAAAAAiAAAA&#10;ZHJzL2Rvd25yZXYueG1sUEsBAhQAFAAAAAgAh07iQP+LjrTWAQAAsAMAAA4AAAAAAAAAAQAgAAAA&#10;HwEAAGRycy9lMm9Eb2MueG1sUEsFBgAAAAAGAAYAWQEAAGcFAAAAAA==&#10;">
              <v:fill on="f" focussize="0,0"/>
              <v:stroke on="f" weight="0.5pt"/>
              <v:imagedata o:title=""/>
              <o:lock v:ext="edit" aspectratio="f"/>
              <v:textbox inset="0mm,0mm,0mm,0mm" style="mso-fit-shape-to-text:t;">
                <w:txbxContent>
                  <w:p>
                    <w:pPr>
                      <w:snapToGrid w:val="0"/>
                      <w:rPr>
                        <w:sz w:val="1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p>
    <w:pPr>
      <w:pStyle w:val="1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sz w:val="1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0"/>
                            <w:rPr>
                              <w:rFonts w:hint="eastAsia" w:ascii="仿宋" w:hAnsi="仿宋" w:eastAsia="仿宋" w:cs="仿宋"/>
                              <w:sz w:val="28"/>
                              <w:szCs w:val="28"/>
                              <w:lang w:eastAsia="zh-CN"/>
                            </w:rPr>
                          </w:pPr>
                          <w:r>
                            <w:rPr>
                              <w:rFonts w:hint="eastAsia" w:ascii="仿宋" w:hAnsi="仿宋" w:eastAsia="仿宋" w:cs="仿宋"/>
                              <w:sz w:val="28"/>
                              <w:szCs w:val="28"/>
                              <w:lang w:eastAsia="zh-CN"/>
                            </w:rPr>
                            <w:t xml:space="preserve">— </w:t>
                          </w:r>
                          <w:r>
                            <w:rPr>
                              <w:rFonts w:hint="eastAsia" w:ascii="仿宋" w:hAnsi="仿宋" w:eastAsia="仿宋" w:cs="仿宋"/>
                              <w:sz w:val="28"/>
                              <w:szCs w:val="28"/>
                              <w:lang w:eastAsia="zh-CN"/>
                            </w:rPr>
                            <w:fldChar w:fldCharType="begin"/>
                          </w:r>
                          <w:r>
                            <w:rPr>
                              <w:rFonts w:hint="eastAsia" w:ascii="仿宋" w:hAnsi="仿宋" w:eastAsia="仿宋" w:cs="仿宋"/>
                              <w:sz w:val="28"/>
                              <w:szCs w:val="28"/>
                              <w:lang w:eastAsia="zh-CN"/>
                            </w:rPr>
                            <w:instrText xml:space="preserve"> PAGE  \* MERGEFORMAT </w:instrText>
                          </w:r>
                          <w:r>
                            <w:rPr>
                              <w:rFonts w:hint="eastAsia" w:ascii="仿宋" w:hAnsi="仿宋" w:eastAsia="仿宋" w:cs="仿宋"/>
                              <w:sz w:val="28"/>
                              <w:szCs w:val="28"/>
                              <w:lang w:eastAsia="zh-CN"/>
                            </w:rPr>
                            <w:fldChar w:fldCharType="separate"/>
                          </w:r>
                          <w:r>
                            <w:rPr>
                              <w:rFonts w:hint="eastAsia" w:ascii="仿宋" w:hAnsi="仿宋" w:eastAsia="仿宋" w:cs="仿宋"/>
                              <w:sz w:val="28"/>
                              <w:szCs w:val="28"/>
                              <w:lang w:eastAsia="zh-CN"/>
                            </w:rPr>
                            <w:t>125</w:t>
                          </w:r>
                          <w:r>
                            <w:rPr>
                              <w:rFonts w:hint="eastAsia" w:ascii="仿宋" w:hAnsi="仿宋" w:eastAsia="仿宋" w:cs="仿宋"/>
                              <w:sz w:val="28"/>
                              <w:szCs w:val="28"/>
                              <w:lang w:eastAsia="zh-CN"/>
                            </w:rPr>
                            <w:fldChar w:fldCharType="end"/>
                          </w:r>
                          <w:r>
                            <w:rPr>
                              <w:rFonts w:hint="eastAsia" w:ascii="仿宋" w:hAnsi="仿宋" w:eastAsia="仿宋" w:cs="仿宋"/>
                              <w:sz w:val="28"/>
                              <w:szCs w:val="28"/>
                              <w:lang w:eastAsia="zh-CN"/>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pPr>
                      <w:pStyle w:val="10"/>
                      <w:rPr>
                        <w:rFonts w:hint="eastAsia" w:ascii="仿宋" w:hAnsi="仿宋" w:eastAsia="仿宋" w:cs="仿宋"/>
                        <w:sz w:val="28"/>
                        <w:szCs w:val="28"/>
                        <w:lang w:eastAsia="zh-CN"/>
                      </w:rPr>
                    </w:pPr>
                    <w:r>
                      <w:rPr>
                        <w:rFonts w:hint="eastAsia" w:ascii="仿宋" w:hAnsi="仿宋" w:eastAsia="仿宋" w:cs="仿宋"/>
                        <w:sz w:val="28"/>
                        <w:szCs w:val="28"/>
                        <w:lang w:eastAsia="zh-CN"/>
                      </w:rPr>
                      <w:t xml:space="preserve">— </w:t>
                    </w:r>
                    <w:r>
                      <w:rPr>
                        <w:rFonts w:hint="eastAsia" w:ascii="仿宋" w:hAnsi="仿宋" w:eastAsia="仿宋" w:cs="仿宋"/>
                        <w:sz w:val="28"/>
                        <w:szCs w:val="28"/>
                        <w:lang w:eastAsia="zh-CN"/>
                      </w:rPr>
                      <w:fldChar w:fldCharType="begin"/>
                    </w:r>
                    <w:r>
                      <w:rPr>
                        <w:rFonts w:hint="eastAsia" w:ascii="仿宋" w:hAnsi="仿宋" w:eastAsia="仿宋" w:cs="仿宋"/>
                        <w:sz w:val="28"/>
                        <w:szCs w:val="28"/>
                        <w:lang w:eastAsia="zh-CN"/>
                      </w:rPr>
                      <w:instrText xml:space="preserve"> PAGE  \* MERGEFORMAT </w:instrText>
                    </w:r>
                    <w:r>
                      <w:rPr>
                        <w:rFonts w:hint="eastAsia" w:ascii="仿宋" w:hAnsi="仿宋" w:eastAsia="仿宋" w:cs="仿宋"/>
                        <w:sz w:val="28"/>
                        <w:szCs w:val="28"/>
                        <w:lang w:eastAsia="zh-CN"/>
                      </w:rPr>
                      <w:fldChar w:fldCharType="separate"/>
                    </w:r>
                    <w:r>
                      <w:rPr>
                        <w:rFonts w:hint="eastAsia" w:ascii="仿宋" w:hAnsi="仿宋" w:eastAsia="仿宋" w:cs="仿宋"/>
                        <w:sz w:val="28"/>
                        <w:szCs w:val="28"/>
                        <w:lang w:eastAsia="zh-CN"/>
                      </w:rPr>
                      <w:t>125</w:t>
                    </w:r>
                    <w:r>
                      <w:rPr>
                        <w:rFonts w:hint="eastAsia" w:ascii="仿宋" w:hAnsi="仿宋" w:eastAsia="仿宋" w:cs="仿宋"/>
                        <w:sz w:val="28"/>
                        <w:szCs w:val="28"/>
                        <w:lang w:eastAsia="zh-CN"/>
                      </w:rPr>
                      <w:fldChar w:fldCharType="end"/>
                    </w:r>
                    <w:r>
                      <w:rPr>
                        <w:rFonts w:hint="eastAsia" w:ascii="仿宋" w:hAnsi="仿宋" w:eastAsia="仿宋" w:cs="仿宋"/>
                        <w:sz w:val="28"/>
                        <w:szCs w:val="28"/>
                        <w:lang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60E1C7"/>
    <w:multiLevelType w:val="singleLevel"/>
    <w:tmpl w:val="BD60E1C7"/>
    <w:lvl w:ilvl="0" w:tentative="0">
      <w:start w:val="4"/>
      <w:numFmt w:val="chineseCounting"/>
      <w:suff w:val="nothing"/>
      <w:lvlText w:val="%1、"/>
      <w:lvlJc w:val="left"/>
      <w:rPr>
        <w:rFonts w:hint="eastAsia"/>
      </w:rPr>
    </w:lvl>
  </w:abstractNum>
  <w:abstractNum w:abstractNumId="1">
    <w:nsid w:val="DCAE890E"/>
    <w:multiLevelType w:val="singleLevel"/>
    <w:tmpl w:val="DCAE890E"/>
    <w:lvl w:ilvl="0" w:tentative="0">
      <w:start w:val="5"/>
      <w:numFmt w:val="chineseCounting"/>
      <w:suff w:val="space"/>
      <w:lvlText w:val="第%1部分"/>
      <w:lvlJc w:val="left"/>
      <w:rPr>
        <w:rFonts w:hint="eastAsia"/>
      </w:rPr>
    </w:lvl>
  </w:abstractNum>
  <w:abstractNum w:abstractNumId="2">
    <w:nsid w:val="F0E1B603"/>
    <w:multiLevelType w:val="singleLevel"/>
    <w:tmpl w:val="F0E1B603"/>
    <w:lvl w:ilvl="0" w:tentative="0">
      <w:start w:val="8"/>
      <w:numFmt w:val="chineseCounting"/>
      <w:suff w:val="space"/>
      <w:lvlText w:val="第%1部分"/>
      <w:lvlJc w:val="left"/>
      <w:rPr>
        <w:rFonts w:hint="eastAsia"/>
      </w:rPr>
    </w:lvl>
  </w:abstractNum>
  <w:abstractNum w:abstractNumId="3">
    <w:nsid w:val="F9E6AA38"/>
    <w:multiLevelType w:val="singleLevel"/>
    <w:tmpl w:val="F9E6AA38"/>
    <w:lvl w:ilvl="0" w:tentative="0">
      <w:start w:val="1"/>
      <w:numFmt w:val="chineseCounting"/>
      <w:lvlText w:val="第%1部分"/>
      <w:lvlJc w:val="left"/>
      <w:rPr>
        <w:rFonts w:hint="eastAsia"/>
      </w:rPr>
    </w:lvl>
  </w:abstractNum>
  <w:abstractNum w:abstractNumId="4">
    <w:nsid w:val="2A2E3F7A"/>
    <w:multiLevelType w:val="singleLevel"/>
    <w:tmpl w:val="2A2E3F7A"/>
    <w:lvl w:ilvl="0" w:tentative="0">
      <w:start w:val="1"/>
      <w:numFmt w:val="decimal"/>
      <w:pStyle w:val="12"/>
      <w:lvlText w:val="%1."/>
      <w:lvlJc w:val="left"/>
      <w:pPr>
        <w:tabs>
          <w:tab w:val="left" w:pos="2040"/>
        </w:tabs>
        <w:ind w:left="2040" w:hanging="360"/>
      </w:p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attachedTemplate r:id="rId1"/>
  <w:documentProtection w:enforcement="0"/>
  <w:defaultTabStop w:val="420"/>
  <w:drawingGridVerticalSpacing w:val="157"/>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A7BAD"/>
    <w:rsid w:val="00154352"/>
    <w:rsid w:val="00172A27"/>
    <w:rsid w:val="006829D1"/>
    <w:rsid w:val="00735734"/>
    <w:rsid w:val="0078128C"/>
    <w:rsid w:val="00862D03"/>
    <w:rsid w:val="00BA66D0"/>
    <w:rsid w:val="00BC0381"/>
    <w:rsid w:val="00C60036"/>
    <w:rsid w:val="00D02507"/>
    <w:rsid w:val="00D176E5"/>
    <w:rsid w:val="00F9639C"/>
    <w:rsid w:val="00FD64FF"/>
    <w:rsid w:val="010108B5"/>
    <w:rsid w:val="011513DE"/>
    <w:rsid w:val="01320E84"/>
    <w:rsid w:val="016059BA"/>
    <w:rsid w:val="01773F9A"/>
    <w:rsid w:val="017F32AA"/>
    <w:rsid w:val="01B30B86"/>
    <w:rsid w:val="01C058BB"/>
    <w:rsid w:val="01C404D1"/>
    <w:rsid w:val="01DC3E4F"/>
    <w:rsid w:val="021635B1"/>
    <w:rsid w:val="0241265E"/>
    <w:rsid w:val="026F521F"/>
    <w:rsid w:val="028C22E7"/>
    <w:rsid w:val="028C36CE"/>
    <w:rsid w:val="02B44C2C"/>
    <w:rsid w:val="02E2634A"/>
    <w:rsid w:val="02EE5265"/>
    <w:rsid w:val="0315707E"/>
    <w:rsid w:val="032D43A8"/>
    <w:rsid w:val="0349611A"/>
    <w:rsid w:val="035B003C"/>
    <w:rsid w:val="035F39B3"/>
    <w:rsid w:val="03913409"/>
    <w:rsid w:val="03B01FC1"/>
    <w:rsid w:val="03B91BFF"/>
    <w:rsid w:val="03DF12E7"/>
    <w:rsid w:val="03F33C6C"/>
    <w:rsid w:val="040B3376"/>
    <w:rsid w:val="042B47FC"/>
    <w:rsid w:val="04375B78"/>
    <w:rsid w:val="044B7DCB"/>
    <w:rsid w:val="04566BA8"/>
    <w:rsid w:val="0456737B"/>
    <w:rsid w:val="04602A16"/>
    <w:rsid w:val="048910E7"/>
    <w:rsid w:val="0497433C"/>
    <w:rsid w:val="04987D29"/>
    <w:rsid w:val="04BB7F6E"/>
    <w:rsid w:val="04C44902"/>
    <w:rsid w:val="04CB6680"/>
    <w:rsid w:val="04EC06B1"/>
    <w:rsid w:val="051A639F"/>
    <w:rsid w:val="051B5FB4"/>
    <w:rsid w:val="055E7625"/>
    <w:rsid w:val="0562532D"/>
    <w:rsid w:val="057837EC"/>
    <w:rsid w:val="0591145D"/>
    <w:rsid w:val="059F2B8E"/>
    <w:rsid w:val="05B5358F"/>
    <w:rsid w:val="05B54079"/>
    <w:rsid w:val="05D13AC9"/>
    <w:rsid w:val="05F17E43"/>
    <w:rsid w:val="060263F9"/>
    <w:rsid w:val="063511C5"/>
    <w:rsid w:val="063E4E04"/>
    <w:rsid w:val="064B018D"/>
    <w:rsid w:val="064F7E74"/>
    <w:rsid w:val="06B80613"/>
    <w:rsid w:val="06CF6553"/>
    <w:rsid w:val="06EE0D24"/>
    <w:rsid w:val="07246EFF"/>
    <w:rsid w:val="075307C8"/>
    <w:rsid w:val="07575760"/>
    <w:rsid w:val="07580197"/>
    <w:rsid w:val="07632B1B"/>
    <w:rsid w:val="077B0785"/>
    <w:rsid w:val="07905F1E"/>
    <w:rsid w:val="07B26C10"/>
    <w:rsid w:val="07F0063F"/>
    <w:rsid w:val="07FB2228"/>
    <w:rsid w:val="08106B3B"/>
    <w:rsid w:val="08123CEB"/>
    <w:rsid w:val="089B4B8F"/>
    <w:rsid w:val="089D28C3"/>
    <w:rsid w:val="08A736C1"/>
    <w:rsid w:val="0965617A"/>
    <w:rsid w:val="09920878"/>
    <w:rsid w:val="09934D26"/>
    <w:rsid w:val="09B47C6E"/>
    <w:rsid w:val="09BE1E86"/>
    <w:rsid w:val="09C23BCB"/>
    <w:rsid w:val="0A175F94"/>
    <w:rsid w:val="0A440E64"/>
    <w:rsid w:val="0A4547E7"/>
    <w:rsid w:val="0A5764A5"/>
    <w:rsid w:val="0A5C50FE"/>
    <w:rsid w:val="0A643CF0"/>
    <w:rsid w:val="0A733381"/>
    <w:rsid w:val="0A773428"/>
    <w:rsid w:val="0A9749C1"/>
    <w:rsid w:val="0AC61093"/>
    <w:rsid w:val="0AF101AB"/>
    <w:rsid w:val="0B2A7918"/>
    <w:rsid w:val="0B3A481B"/>
    <w:rsid w:val="0B44002D"/>
    <w:rsid w:val="0B772CE7"/>
    <w:rsid w:val="0B7D15AB"/>
    <w:rsid w:val="0BC66592"/>
    <w:rsid w:val="0BE716E1"/>
    <w:rsid w:val="0BED21DA"/>
    <w:rsid w:val="0BF97078"/>
    <w:rsid w:val="0C012B21"/>
    <w:rsid w:val="0C083C14"/>
    <w:rsid w:val="0C2208EA"/>
    <w:rsid w:val="0C4B4DCF"/>
    <w:rsid w:val="0C5231D6"/>
    <w:rsid w:val="0C53037E"/>
    <w:rsid w:val="0C5E2316"/>
    <w:rsid w:val="0C5E3832"/>
    <w:rsid w:val="0C957D94"/>
    <w:rsid w:val="0C9D0E45"/>
    <w:rsid w:val="0CA83FDC"/>
    <w:rsid w:val="0CCD73F5"/>
    <w:rsid w:val="0CFC4BF2"/>
    <w:rsid w:val="0D1D407B"/>
    <w:rsid w:val="0D4458B7"/>
    <w:rsid w:val="0D750760"/>
    <w:rsid w:val="0D806EC6"/>
    <w:rsid w:val="0DCD4E3D"/>
    <w:rsid w:val="0E5A6036"/>
    <w:rsid w:val="0E5F54BF"/>
    <w:rsid w:val="0E657B6A"/>
    <w:rsid w:val="0E7833BB"/>
    <w:rsid w:val="0EA70F4D"/>
    <w:rsid w:val="0ED07509"/>
    <w:rsid w:val="0EF73771"/>
    <w:rsid w:val="0F03011D"/>
    <w:rsid w:val="0F605C24"/>
    <w:rsid w:val="0F7243EA"/>
    <w:rsid w:val="0F817632"/>
    <w:rsid w:val="0FA7718A"/>
    <w:rsid w:val="0FD53ACC"/>
    <w:rsid w:val="0FE140A1"/>
    <w:rsid w:val="102F1168"/>
    <w:rsid w:val="1049338C"/>
    <w:rsid w:val="10D266BE"/>
    <w:rsid w:val="10D27161"/>
    <w:rsid w:val="10DB1A18"/>
    <w:rsid w:val="10E00E9C"/>
    <w:rsid w:val="10F30ECB"/>
    <w:rsid w:val="10FC246D"/>
    <w:rsid w:val="11256652"/>
    <w:rsid w:val="1157050A"/>
    <w:rsid w:val="115F0350"/>
    <w:rsid w:val="11E03269"/>
    <w:rsid w:val="11E47EE9"/>
    <w:rsid w:val="120B1E1A"/>
    <w:rsid w:val="122368EB"/>
    <w:rsid w:val="12422982"/>
    <w:rsid w:val="12696A87"/>
    <w:rsid w:val="128A6599"/>
    <w:rsid w:val="128C57D1"/>
    <w:rsid w:val="12A51397"/>
    <w:rsid w:val="12BD4CF7"/>
    <w:rsid w:val="12C47D67"/>
    <w:rsid w:val="12C72A32"/>
    <w:rsid w:val="12D51A59"/>
    <w:rsid w:val="12DA0567"/>
    <w:rsid w:val="12DD320E"/>
    <w:rsid w:val="13253674"/>
    <w:rsid w:val="133217FA"/>
    <w:rsid w:val="13674F09"/>
    <w:rsid w:val="13AB3FF2"/>
    <w:rsid w:val="13AD1F5D"/>
    <w:rsid w:val="13B73E43"/>
    <w:rsid w:val="13D94619"/>
    <w:rsid w:val="13F6450F"/>
    <w:rsid w:val="144C64A3"/>
    <w:rsid w:val="14587650"/>
    <w:rsid w:val="146160E5"/>
    <w:rsid w:val="14AC1F7D"/>
    <w:rsid w:val="14D44437"/>
    <w:rsid w:val="15172D72"/>
    <w:rsid w:val="15633B62"/>
    <w:rsid w:val="1570706C"/>
    <w:rsid w:val="15717E49"/>
    <w:rsid w:val="158A246E"/>
    <w:rsid w:val="15B520B4"/>
    <w:rsid w:val="15D223BB"/>
    <w:rsid w:val="15EF0708"/>
    <w:rsid w:val="15F34101"/>
    <w:rsid w:val="162969F3"/>
    <w:rsid w:val="16482258"/>
    <w:rsid w:val="16581551"/>
    <w:rsid w:val="16725B6E"/>
    <w:rsid w:val="16845228"/>
    <w:rsid w:val="168F0D22"/>
    <w:rsid w:val="16B56111"/>
    <w:rsid w:val="16C54019"/>
    <w:rsid w:val="16CF10DB"/>
    <w:rsid w:val="16D02589"/>
    <w:rsid w:val="16DC0282"/>
    <w:rsid w:val="16E0598E"/>
    <w:rsid w:val="172B5F8A"/>
    <w:rsid w:val="173723F1"/>
    <w:rsid w:val="17701BA8"/>
    <w:rsid w:val="17900C04"/>
    <w:rsid w:val="179816EA"/>
    <w:rsid w:val="17A11395"/>
    <w:rsid w:val="17B45A87"/>
    <w:rsid w:val="18604E44"/>
    <w:rsid w:val="1872245E"/>
    <w:rsid w:val="187C7AE7"/>
    <w:rsid w:val="187D2F99"/>
    <w:rsid w:val="18BB781C"/>
    <w:rsid w:val="18E13240"/>
    <w:rsid w:val="19051A1F"/>
    <w:rsid w:val="190B2943"/>
    <w:rsid w:val="193A4F4D"/>
    <w:rsid w:val="196B607E"/>
    <w:rsid w:val="19833A52"/>
    <w:rsid w:val="198B4428"/>
    <w:rsid w:val="19DF7832"/>
    <w:rsid w:val="19F342D1"/>
    <w:rsid w:val="19F81971"/>
    <w:rsid w:val="19FD5CB8"/>
    <w:rsid w:val="1A102621"/>
    <w:rsid w:val="1A16675B"/>
    <w:rsid w:val="1A172D9D"/>
    <w:rsid w:val="1A270FB2"/>
    <w:rsid w:val="1A2838B8"/>
    <w:rsid w:val="1A361E75"/>
    <w:rsid w:val="1A425417"/>
    <w:rsid w:val="1A4D7795"/>
    <w:rsid w:val="1A8E4229"/>
    <w:rsid w:val="1AC54EA1"/>
    <w:rsid w:val="1AD16B91"/>
    <w:rsid w:val="1AD51615"/>
    <w:rsid w:val="1AE07B2D"/>
    <w:rsid w:val="1B19527E"/>
    <w:rsid w:val="1B2057DD"/>
    <w:rsid w:val="1B2C330B"/>
    <w:rsid w:val="1B452A37"/>
    <w:rsid w:val="1B69400A"/>
    <w:rsid w:val="1B964BDF"/>
    <w:rsid w:val="1BAE31B1"/>
    <w:rsid w:val="1BC9009A"/>
    <w:rsid w:val="1C070CBC"/>
    <w:rsid w:val="1C0C494D"/>
    <w:rsid w:val="1C233FB7"/>
    <w:rsid w:val="1C4D22E3"/>
    <w:rsid w:val="1C5D12A9"/>
    <w:rsid w:val="1C653685"/>
    <w:rsid w:val="1C9079AD"/>
    <w:rsid w:val="1CAC3370"/>
    <w:rsid w:val="1CB01CBD"/>
    <w:rsid w:val="1CE40450"/>
    <w:rsid w:val="1D342201"/>
    <w:rsid w:val="1D4D7444"/>
    <w:rsid w:val="1D592A8C"/>
    <w:rsid w:val="1DBA087A"/>
    <w:rsid w:val="1DE37397"/>
    <w:rsid w:val="1E073A6A"/>
    <w:rsid w:val="1E103954"/>
    <w:rsid w:val="1E6B71DB"/>
    <w:rsid w:val="1E7105B0"/>
    <w:rsid w:val="1E8C10BE"/>
    <w:rsid w:val="1E9635D6"/>
    <w:rsid w:val="1E99154F"/>
    <w:rsid w:val="1F0C2F10"/>
    <w:rsid w:val="1F4B5B70"/>
    <w:rsid w:val="1F805A69"/>
    <w:rsid w:val="1F835B83"/>
    <w:rsid w:val="1F8B221C"/>
    <w:rsid w:val="1F8D4F4D"/>
    <w:rsid w:val="1FB714C1"/>
    <w:rsid w:val="1FD173C9"/>
    <w:rsid w:val="1FE061EA"/>
    <w:rsid w:val="1FEF41A0"/>
    <w:rsid w:val="2000217F"/>
    <w:rsid w:val="20072CCC"/>
    <w:rsid w:val="20134A7A"/>
    <w:rsid w:val="201F799D"/>
    <w:rsid w:val="204A2A6D"/>
    <w:rsid w:val="207B15C1"/>
    <w:rsid w:val="20DC309C"/>
    <w:rsid w:val="20DF0A22"/>
    <w:rsid w:val="20E762A2"/>
    <w:rsid w:val="213506C0"/>
    <w:rsid w:val="213B57D0"/>
    <w:rsid w:val="2179350A"/>
    <w:rsid w:val="21C11AF9"/>
    <w:rsid w:val="21DE2ED6"/>
    <w:rsid w:val="222D4949"/>
    <w:rsid w:val="226364EE"/>
    <w:rsid w:val="228E4EBE"/>
    <w:rsid w:val="229B0284"/>
    <w:rsid w:val="22A37E9F"/>
    <w:rsid w:val="22C6174D"/>
    <w:rsid w:val="22D70D7F"/>
    <w:rsid w:val="22E37992"/>
    <w:rsid w:val="22FC494D"/>
    <w:rsid w:val="23095C76"/>
    <w:rsid w:val="23334DEE"/>
    <w:rsid w:val="23812ED0"/>
    <w:rsid w:val="23AE2D8A"/>
    <w:rsid w:val="23C70388"/>
    <w:rsid w:val="23C902B7"/>
    <w:rsid w:val="24057F03"/>
    <w:rsid w:val="241C0C4E"/>
    <w:rsid w:val="244604FB"/>
    <w:rsid w:val="24A65260"/>
    <w:rsid w:val="24B732DE"/>
    <w:rsid w:val="24D57746"/>
    <w:rsid w:val="25130249"/>
    <w:rsid w:val="2523048C"/>
    <w:rsid w:val="253647AE"/>
    <w:rsid w:val="253871CC"/>
    <w:rsid w:val="253F694B"/>
    <w:rsid w:val="254C42AE"/>
    <w:rsid w:val="26055A7A"/>
    <w:rsid w:val="260840B8"/>
    <w:rsid w:val="262C105E"/>
    <w:rsid w:val="26313958"/>
    <w:rsid w:val="263B51EC"/>
    <w:rsid w:val="264901D8"/>
    <w:rsid w:val="26CA6C20"/>
    <w:rsid w:val="26DD12E5"/>
    <w:rsid w:val="26E86313"/>
    <w:rsid w:val="272936BC"/>
    <w:rsid w:val="272B5662"/>
    <w:rsid w:val="27460E3D"/>
    <w:rsid w:val="2777553C"/>
    <w:rsid w:val="278572B8"/>
    <w:rsid w:val="279F4357"/>
    <w:rsid w:val="27B41335"/>
    <w:rsid w:val="27BA6E98"/>
    <w:rsid w:val="27BB2882"/>
    <w:rsid w:val="27E309AD"/>
    <w:rsid w:val="28053714"/>
    <w:rsid w:val="284B638C"/>
    <w:rsid w:val="2870526F"/>
    <w:rsid w:val="28A6273B"/>
    <w:rsid w:val="28C037FD"/>
    <w:rsid w:val="294361DC"/>
    <w:rsid w:val="296F7F4B"/>
    <w:rsid w:val="297750F7"/>
    <w:rsid w:val="298F5D26"/>
    <w:rsid w:val="29B877A0"/>
    <w:rsid w:val="29FE7A68"/>
    <w:rsid w:val="2A0D057E"/>
    <w:rsid w:val="2A77710B"/>
    <w:rsid w:val="2A7C3086"/>
    <w:rsid w:val="2AE13080"/>
    <w:rsid w:val="2AF04DF1"/>
    <w:rsid w:val="2B020AB4"/>
    <w:rsid w:val="2B0634E6"/>
    <w:rsid w:val="2B087BA9"/>
    <w:rsid w:val="2B4C0FB0"/>
    <w:rsid w:val="2B750337"/>
    <w:rsid w:val="2B9164E9"/>
    <w:rsid w:val="2B941745"/>
    <w:rsid w:val="2B952E47"/>
    <w:rsid w:val="2B9961E8"/>
    <w:rsid w:val="2BC41294"/>
    <w:rsid w:val="2BD72A69"/>
    <w:rsid w:val="2BDB24E5"/>
    <w:rsid w:val="2BF55FC5"/>
    <w:rsid w:val="2C05779D"/>
    <w:rsid w:val="2C395985"/>
    <w:rsid w:val="2C485086"/>
    <w:rsid w:val="2C4E02AE"/>
    <w:rsid w:val="2C615C0E"/>
    <w:rsid w:val="2C6D0858"/>
    <w:rsid w:val="2C6F2BB3"/>
    <w:rsid w:val="2C926B03"/>
    <w:rsid w:val="2C9D06BF"/>
    <w:rsid w:val="2CA14717"/>
    <w:rsid w:val="2CC85007"/>
    <w:rsid w:val="2CCC17B7"/>
    <w:rsid w:val="2CEE2276"/>
    <w:rsid w:val="2D0130BD"/>
    <w:rsid w:val="2D0B6F19"/>
    <w:rsid w:val="2D274D5A"/>
    <w:rsid w:val="2D721F32"/>
    <w:rsid w:val="2D863537"/>
    <w:rsid w:val="2DA40901"/>
    <w:rsid w:val="2DB32487"/>
    <w:rsid w:val="2DE56F39"/>
    <w:rsid w:val="2E1E2EB7"/>
    <w:rsid w:val="2E206800"/>
    <w:rsid w:val="2E2D334F"/>
    <w:rsid w:val="2E456979"/>
    <w:rsid w:val="2E61370B"/>
    <w:rsid w:val="2E622381"/>
    <w:rsid w:val="2E9D4F78"/>
    <w:rsid w:val="2ECA3BE5"/>
    <w:rsid w:val="2EF10543"/>
    <w:rsid w:val="2EFA7993"/>
    <w:rsid w:val="2F0B2BEA"/>
    <w:rsid w:val="2F184E0F"/>
    <w:rsid w:val="2F792DB3"/>
    <w:rsid w:val="2F8C19C0"/>
    <w:rsid w:val="2F930CAA"/>
    <w:rsid w:val="2F9D0920"/>
    <w:rsid w:val="2FA97940"/>
    <w:rsid w:val="2FFB76B1"/>
    <w:rsid w:val="300F0C28"/>
    <w:rsid w:val="302044B2"/>
    <w:rsid w:val="303570D3"/>
    <w:rsid w:val="30856EDB"/>
    <w:rsid w:val="30883228"/>
    <w:rsid w:val="309D6D65"/>
    <w:rsid w:val="30CB4485"/>
    <w:rsid w:val="30FE6DCB"/>
    <w:rsid w:val="31102E50"/>
    <w:rsid w:val="31822C4C"/>
    <w:rsid w:val="31BD6C87"/>
    <w:rsid w:val="31D34C1E"/>
    <w:rsid w:val="32180AA9"/>
    <w:rsid w:val="32231B82"/>
    <w:rsid w:val="3226354C"/>
    <w:rsid w:val="3264315D"/>
    <w:rsid w:val="3280605D"/>
    <w:rsid w:val="32895CD0"/>
    <w:rsid w:val="329A7F23"/>
    <w:rsid w:val="32C425D2"/>
    <w:rsid w:val="32D24C71"/>
    <w:rsid w:val="332350B4"/>
    <w:rsid w:val="337D0FEF"/>
    <w:rsid w:val="339763F9"/>
    <w:rsid w:val="33987AB7"/>
    <w:rsid w:val="33A620AC"/>
    <w:rsid w:val="33B849EF"/>
    <w:rsid w:val="33B95375"/>
    <w:rsid w:val="340B1AA9"/>
    <w:rsid w:val="34153D45"/>
    <w:rsid w:val="34264609"/>
    <w:rsid w:val="34330460"/>
    <w:rsid w:val="34991B38"/>
    <w:rsid w:val="34A90F15"/>
    <w:rsid w:val="34B64683"/>
    <w:rsid w:val="34BB749B"/>
    <w:rsid w:val="34D10DD6"/>
    <w:rsid w:val="35486FEF"/>
    <w:rsid w:val="3583699A"/>
    <w:rsid w:val="359168F5"/>
    <w:rsid w:val="35A41DAC"/>
    <w:rsid w:val="35B00422"/>
    <w:rsid w:val="35B51085"/>
    <w:rsid w:val="35EA614A"/>
    <w:rsid w:val="35FB1E4B"/>
    <w:rsid w:val="360F28DF"/>
    <w:rsid w:val="361B29AF"/>
    <w:rsid w:val="3623600D"/>
    <w:rsid w:val="36323860"/>
    <w:rsid w:val="363C66D0"/>
    <w:rsid w:val="36444763"/>
    <w:rsid w:val="365C4CBB"/>
    <w:rsid w:val="367A6776"/>
    <w:rsid w:val="36B61E48"/>
    <w:rsid w:val="36BC3D93"/>
    <w:rsid w:val="36C5626C"/>
    <w:rsid w:val="36CA4618"/>
    <w:rsid w:val="36CE4AE2"/>
    <w:rsid w:val="372C5308"/>
    <w:rsid w:val="376C1EF8"/>
    <w:rsid w:val="37925415"/>
    <w:rsid w:val="37A46CD5"/>
    <w:rsid w:val="37F1100B"/>
    <w:rsid w:val="38045C9B"/>
    <w:rsid w:val="380A102A"/>
    <w:rsid w:val="38294FEC"/>
    <w:rsid w:val="388A3950"/>
    <w:rsid w:val="38C83B44"/>
    <w:rsid w:val="38DA68BA"/>
    <w:rsid w:val="38EA7607"/>
    <w:rsid w:val="38F255B6"/>
    <w:rsid w:val="38FE0C9F"/>
    <w:rsid w:val="39175721"/>
    <w:rsid w:val="394454AB"/>
    <w:rsid w:val="395A55A5"/>
    <w:rsid w:val="396C5C5E"/>
    <w:rsid w:val="39845FE7"/>
    <w:rsid w:val="39D6033A"/>
    <w:rsid w:val="3A17675C"/>
    <w:rsid w:val="3A310EB8"/>
    <w:rsid w:val="3A3A0AD6"/>
    <w:rsid w:val="3A831BBC"/>
    <w:rsid w:val="3AAE06FB"/>
    <w:rsid w:val="3B1F21E2"/>
    <w:rsid w:val="3B236324"/>
    <w:rsid w:val="3B2938CF"/>
    <w:rsid w:val="3B5069A5"/>
    <w:rsid w:val="3B5974AC"/>
    <w:rsid w:val="3B5E0DAC"/>
    <w:rsid w:val="3B621E7E"/>
    <w:rsid w:val="3B7C68B1"/>
    <w:rsid w:val="3B9E45F5"/>
    <w:rsid w:val="3BC8186E"/>
    <w:rsid w:val="3BF26299"/>
    <w:rsid w:val="3BFB4A6C"/>
    <w:rsid w:val="3BFF62D4"/>
    <w:rsid w:val="3C0411A3"/>
    <w:rsid w:val="3C1511CA"/>
    <w:rsid w:val="3C4426D3"/>
    <w:rsid w:val="3C704B7D"/>
    <w:rsid w:val="3CB45591"/>
    <w:rsid w:val="3CD369E7"/>
    <w:rsid w:val="3CF95575"/>
    <w:rsid w:val="3CFF5E1E"/>
    <w:rsid w:val="3D01284D"/>
    <w:rsid w:val="3D4A1704"/>
    <w:rsid w:val="3D582886"/>
    <w:rsid w:val="3D6B6491"/>
    <w:rsid w:val="3DC741AC"/>
    <w:rsid w:val="3DCE2333"/>
    <w:rsid w:val="3E2C22CA"/>
    <w:rsid w:val="3E3D7B86"/>
    <w:rsid w:val="3E3F0802"/>
    <w:rsid w:val="3E4E362A"/>
    <w:rsid w:val="3E572476"/>
    <w:rsid w:val="3E836349"/>
    <w:rsid w:val="3E852D7B"/>
    <w:rsid w:val="3E892F06"/>
    <w:rsid w:val="3E9D4C1B"/>
    <w:rsid w:val="3EC07FCC"/>
    <w:rsid w:val="3EE411F6"/>
    <w:rsid w:val="3EF37A0F"/>
    <w:rsid w:val="3F0A484E"/>
    <w:rsid w:val="3F18691B"/>
    <w:rsid w:val="3F4C73F1"/>
    <w:rsid w:val="3F4D67B6"/>
    <w:rsid w:val="3F7B5823"/>
    <w:rsid w:val="3F824915"/>
    <w:rsid w:val="3F8F1739"/>
    <w:rsid w:val="3FB9734D"/>
    <w:rsid w:val="3FE45D47"/>
    <w:rsid w:val="40153460"/>
    <w:rsid w:val="4021351A"/>
    <w:rsid w:val="40260BF8"/>
    <w:rsid w:val="406730F5"/>
    <w:rsid w:val="40AF6DE5"/>
    <w:rsid w:val="40BC5EC7"/>
    <w:rsid w:val="40CC411F"/>
    <w:rsid w:val="40CE5CFF"/>
    <w:rsid w:val="40F67D7A"/>
    <w:rsid w:val="40FB2B2F"/>
    <w:rsid w:val="410831EA"/>
    <w:rsid w:val="413C39DC"/>
    <w:rsid w:val="4176772B"/>
    <w:rsid w:val="41780E5D"/>
    <w:rsid w:val="419421FC"/>
    <w:rsid w:val="41AB7D2D"/>
    <w:rsid w:val="41C672D3"/>
    <w:rsid w:val="41E543BD"/>
    <w:rsid w:val="41F30B76"/>
    <w:rsid w:val="42380095"/>
    <w:rsid w:val="423D17F9"/>
    <w:rsid w:val="427601E7"/>
    <w:rsid w:val="427D0B07"/>
    <w:rsid w:val="42A33B1C"/>
    <w:rsid w:val="42B41D35"/>
    <w:rsid w:val="430C1229"/>
    <w:rsid w:val="43186656"/>
    <w:rsid w:val="431F0754"/>
    <w:rsid w:val="43396C5A"/>
    <w:rsid w:val="433C7DD8"/>
    <w:rsid w:val="434626F9"/>
    <w:rsid w:val="435B5D34"/>
    <w:rsid w:val="43657E36"/>
    <w:rsid w:val="43946DE6"/>
    <w:rsid w:val="43983416"/>
    <w:rsid w:val="439B0995"/>
    <w:rsid w:val="43B250CF"/>
    <w:rsid w:val="43D26D6E"/>
    <w:rsid w:val="44036504"/>
    <w:rsid w:val="440C0012"/>
    <w:rsid w:val="44153ED8"/>
    <w:rsid w:val="441C765F"/>
    <w:rsid w:val="4455503A"/>
    <w:rsid w:val="445551D5"/>
    <w:rsid w:val="446C3CC8"/>
    <w:rsid w:val="447439FD"/>
    <w:rsid w:val="44803208"/>
    <w:rsid w:val="44906E22"/>
    <w:rsid w:val="44AA54B1"/>
    <w:rsid w:val="44B7644A"/>
    <w:rsid w:val="44EA4EF4"/>
    <w:rsid w:val="45175D33"/>
    <w:rsid w:val="45421507"/>
    <w:rsid w:val="454A36F9"/>
    <w:rsid w:val="45594866"/>
    <w:rsid w:val="457C071E"/>
    <w:rsid w:val="459B55AB"/>
    <w:rsid w:val="45A56551"/>
    <w:rsid w:val="45C65641"/>
    <w:rsid w:val="45EB1900"/>
    <w:rsid w:val="46094F5F"/>
    <w:rsid w:val="46145791"/>
    <w:rsid w:val="46852BE1"/>
    <w:rsid w:val="46B34F19"/>
    <w:rsid w:val="46B6409E"/>
    <w:rsid w:val="46F174B1"/>
    <w:rsid w:val="471432F6"/>
    <w:rsid w:val="47251EEC"/>
    <w:rsid w:val="47277C6E"/>
    <w:rsid w:val="473D42C8"/>
    <w:rsid w:val="4786555D"/>
    <w:rsid w:val="47BF53E5"/>
    <w:rsid w:val="47D66A50"/>
    <w:rsid w:val="47DC0BF9"/>
    <w:rsid w:val="47F948C5"/>
    <w:rsid w:val="48044991"/>
    <w:rsid w:val="480D09E3"/>
    <w:rsid w:val="483E4640"/>
    <w:rsid w:val="48776A2A"/>
    <w:rsid w:val="487C78E1"/>
    <w:rsid w:val="48D20CB6"/>
    <w:rsid w:val="48DE2C7D"/>
    <w:rsid w:val="490015C8"/>
    <w:rsid w:val="491E00B8"/>
    <w:rsid w:val="49223B94"/>
    <w:rsid w:val="493B217E"/>
    <w:rsid w:val="495B421B"/>
    <w:rsid w:val="49622877"/>
    <w:rsid w:val="498C36BA"/>
    <w:rsid w:val="49AB7572"/>
    <w:rsid w:val="49B466FC"/>
    <w:rsid w:val="4A195E8D"/>
    <w:rsid w:val="4A63505C"/>
    <w:rsid w:val="4A6823E0"/>
    <w:rsid w:val="4A735A25"/>
    <w:rsid w:val="4A7D5DB7"/>
    <w:rsid w:val="4AAE62DF"/>
    <w:rsid w:val="4AE36511"/>
    <w:rsid w:val="4B10509D"/>
    <w:rsid w:val="4B491664"/>
    <w:rsid w:val="4B532E4F"/>
    <w:rsid w:val="4BC13264"/>
    <w:rsid w:val="4C2202BD"/>
    <w:rsid w:val="4C2258E0"/>
    <w:rsid w:val="4C2E51EB"/>
    <w:rsid w:val="4C541B4B"/>
    <w:rsid w:val="4C780996"/>
    <w:rsid w:val="4C8324F4"/>
    <w:rsid w:val="4C8F4668"/>
    <w:rsid w:val="4C9F119D"/>
    <w:rsid w:val="4CA66AD9"/>
    <w:rsid w:val="4CC83042"/>
    <w:rsid w:val="4CF466BC"/>
    <w:rsid w:val="4D1C147E"/>
    <w:rsid w:val="4D396BA5"/>
    <w:rsid w:val="4D5B6EE3"/>
    <w:rsid w:val="4DBE4E82"/>
    <w:rsid w:val="4DCC5D63"/>
    <w:rsid w:val="4E0B52FA"/>
    <w:rsid w:val="4E467380"/>
    <w:rsid w:val="4E841091"/>
    <w:rsid w:val="4E897E12"/>
    <w:rsid w:val="4EB53518"/>
    <w:rsid w:val="4EBD3D3C"/>
    <w:rsid w:val="4EDC1862"/>
    <w:rsid w:val="4EE8183E"/>
    <w:rsid w:val="4EED469D"/>
    <w:rsid w:val="4EF12753"/>
    <w:rsid w:val="4EFF73D9"/>
    <w:rsid w:val="4F33144B"/>
    <w:rsid w:val="4F662964"/>
    <w:rsid w:val="4FA026CE"/>
    <w:rsid w:val="4FAD693F"/>
    <w:rsid w:val="503A0E64"/>
    <w:rsid w:val="506176D1"/>
    <w:rsid w:val="507858EA"/>
    <w:rsid w:val="509A0B79"/>
    <w:rsid w:val="509A0BB1"/>
    <w:rsid w:val="50BB3518"/>
    <w:rsid w:val="50C15E1A"/>
    <w:rsid w:val="511B4F52"/>
    <w:rsid w:val="512918C4"/>
    <w:rsid w:val="512A0CB8"/>
    <w:rsid w:val="515E5AEA"/>
    <w:rsid w:val="51951EAB"/>
    <w:rsid w:val="51A609F6"/>
    <w:rsid w:val="51BF02EC"/>
    <w:rsid w:val="51C918C2"/>
    <w:rsid w:val="51E2726B"/>
    <w:rsid w:val="52247BE4"/>
    <w:rsid w:val="52332E90"/>
    <w:rsid w:val="52432E14"/>
    <w:rsid w:val="52746617"/>
    <w:rsid w:val="52AD6D97"/>
    <w:rsid w:val="52BF3451"/>
    <w:rsid w:val="531B47DC"/>
    <w:rsid w:val="53402CB7"/>
    <w:rsid w:val="534A6EA1"/>
    <w:rsid w:val="537C5A0A"/>
    <w:rsid w:val="53846A5A"/>
    <w:rsid w:val="53AF6562"/>
    <w:rsid w:val="53B62EC7"/>
    <w:rsid w:val="53CB3A19"/>
    <w:rsid w:val="53EA3525"/>
    <w:rsid w:val="540B0E38"/>
    <w:rsid w:val="5443534C"/>
    <w:rsid w:val="54891EAE"/>
    <w:rsid w:val="549515A2"/>
    <w:rsid w:val="54A02FE0"/>
    <w:rsid w:val="54A043B6"/>
    <w:rsid w:val="54B06B40"/>
    <w:rsid w:val="54BE7D70"/>
    <w:rsid w:val="54EC7D9D"/>
    <w:rsid w:val="552D26C6"/>
    <w:rsid w:val="55377C02"/>
    <w:rsid w:val="55393452"/>
    <w:rsid w:val="55490A30"/>
    <w:rsid w:val="555C0CDA"/>
    <w:rsid w:val="55B37B92"/>
    <w:rsid w:val="55BC3DA9"/>
    <w:rsid w:val="55CD383A"/>
    <w:rsid w:val="55F941C9"/>
    <w:rsid w:val="55F9719F"/>
    <w:rsid w:val="5653664A"/>
    <w:rsid w:val="56892BED"/>
    <w:rsid w:val="56E954AE"/>
    <w:rsid w:val="573D3D47"/>
    <w:rsid w:val="573F6949"/>
    <w:rsid w:val="576458FD"/>
    <w:rsid w:val="57AC6D5B"/>
    <w:rsid w:val="57B14290"/>
    <w:rsid w:val="57B67F91"/>
    <w:rsid w:val="57F20546"/>
    <w:rsid w:val="57F70405"/>
    <w:rsid w:val="57FC5D21"/>
    <w:rsid w:val="58093DC7"/>
    <w:rsid w:val="58101B15"/>
    <w:rsid w:val="585E654C"/>
    <w:rsid w:val="58764906"/>
    <w:rsid w:val="5877391D"/>
    <w:rsid w:val="588656C3"/>
    <w:rsid w:val="588854B2"/>
    <w:rsid w:val="5888619E"/>
    <w:rsid w:val="58BF34DA"/>
    <w:rsid w:val="58C10621"/>
    <w:rsid w:val="58C74C55"/>
    <w:rsid w:val="59257088"/>
    <w:rsid w:val="592B62B6"/>
    <w:rsid w:val="59512C4A"/>
    <w:rsid w:val="595905E9"/>
    <w:rsid w:val="596D3704"/>
    <w:rsid w:val="596E200E"/>
    <w:rsid w:val="59934C91"/>
    <w:rsid w:val="59A8552A"/>
    <w:rsid w:val="59C46BC9"/>
    <w:rsid w:val="59D37E73"/>
    <w:rsid w:val="5A031077"/>
    <w:rsid w:val="5A115C7A"/>
    <w:rsid w:val="5A287D53"/>
    <w:rsid w:val="5A5A27EF"/>
    <w:rsid w:val="5AFA1574"/>
    <w:rsid w:val="5B116FD5"/>
    <w:rsid w:val="5B1E70C0"/>
    <w:rsid w:val="5B36666C"/>
    <w:rsid w:val="5B811F18"/>
    <w:rsid w:val="5B9B0B9A"/>
    <w:rsid w:val="5BB61C2B"/>
    <w:rsid w:val="5BCB4F7E"/>
    <w:rsid w:val="5C011805"/>
    <w:rsid w:val="5C2F0A84"/>
    <w:rsid w:val="5C5F1C91"/>
    <w:rsid w:val="5C6C6FD5"/>
    <w:rsid w:val="5C6E1CA8"/>
    <w:rsid w:val="5C970A78"/>
    <w:rsid w:val="5CAE5737"/>
    <w:rsid w:val="5CB44137"/>
    <w:rsid w:val="5CB53B00"/>
    <w:rsid w:val="5CC053F3"/>
    <w:rsid w:val="5CCA019E"/>
    <w:rsid w:val="5CEB7CD4"/>
    <w:rsid w:val="5CFF76A5"/>
    <w:rsid w:val="5D1F44F2"/>
    <w:rsid w:val="5D280C21"/>
    <w:rsid w:val="5D3C28C1"/>
    <w:rsid w:val="5D474A2C"/>
    <w:rsid w:val="5D5D36E1"/>
    <w:rsid w:val="5D762C66"/>
    <w:rsid w:val="5D843607"/>
    <w:rsid w:val="5D8E5226"/>
    <w:rsid w:val="5DC73C14"/>
    <w:rsid w:val="5DEF67BD"/>
    <w:rsid w:val="5E0D1A86"/>
    <w:rsid w:val="5E0E6E7A"/>
    <w:rsid w:val="5E265FF8"/>
    <w:rsid w:val="5E88569B"/>
    <w:rsid w:val="5EC34645"/>
    <w:rsid w:val="5F1371E9"/>
    <w:rsid w:val="5F4571D1"/>
    <w:rsid w:val="5FE3027F"/>
    <w:rsid w:val="5FFA4EF9"/>
    <w:rsid w:val="604D13D3"/>
    <w:rsid w:val="60594402"/>
    <w:rsid w:val="607541DD"/>
    <w:rsid w:val="60E40359"/>
    <w:rsid w:val="61246AD8"/>
    <w:rsid w:val="613C7050"/>
    <w:rsid w:val="61614B7B"/>
    <w:rsid w:val="616A07BF"/>
    <w:rsid w:val="61847360"/>
    <w:rsid w:val="619A12E7"/>
    <w:rsid w:val="61A32BDC"/>
    <w:rsid w:val="61BF2B16"/>
    <w:rsid w:val="61DC1DB8"/>
    <w:rsid w:val="61E0147C"/>
    <w:rsid w:val="61EE010D"/>
    <w:rsid w:val="62161C6A"/>
    <w:rsid w:val="62594B6C"/>
    <w:rsid w:val="627A588C"/>
    <w:rsid w:val="62893433"/>
    <w:rsid w:val="629D3A40"/>
    <w:rsid w:val="62A04FC0"/>
    <w:rsid w:val="62BB6256"/>
    <w:rsid w:val="62D672AA"/>
    <w:rsid w:val="62DE0D2F"/>
    <w:rsid w:val="62E7582C"/>
    <w:rsid w:val="63036E10"/>
    <w:rsid w:val="63042CCD"/>
    <w:rsid w:val="63064C9A"/>
    <w:rsid w:val="63101CD3"/>
    <w:rsid w:val="63113BBD"/>
    <w:rsid w:val="632113DF"/>
    <w:rsid w:val="63511F1B"/>
    <w:rsid w:val="6398372D"/>
    <w:rsid w:val="639A7E48"/>
    <w:rsid w:val="639B16A7"/>
    <w:rsid w:val="63A90165"/>
    <w:rsid w:val="63C43C21"/>
    <w:rsid w:val="641B52D7"/>
    <w:rsid w:val="64216CDF"/>
    <w:rsid w:val="642745C3"/>
    <w:rsid w:val="642B65D6"/>
    <w:rsid w:val="64487A4E"/>
    <w:rsid w:val="647F00FF"/>
    <w:rsid w:val="64931C8A"/>
    <w:rsid w:val="651334EA"/>
    <w:rsid w:val="651B33DC"/>
    <w:rsid w:val="652D010C"/>
    <w:rsid w:val="65371413"/>
    <w:rsid w:val="65607DC8"/>
    <w:rsid w:val="656A60BA"/>
    <w:rsid w:val="65BB3470"/>
    <w:rsid w:val="65BC3DD8"/>
    <w:rsid w:val="65D37572"/>
    <w:rsid w:val="65E12976"/>
    <w:rsid w:val="65E91192"/>
    <w:rsid w:val="66303069"/>
    <w:rsid w:val="666073D2"/>
    <w:rsid w:val="66817C8C"/>
    <w:rsid w:val="66A8434D"/>
    <w:rsid w:val="66B808AB"/>
    <w:rsid w:val="671F2276"/>
    <w:rsid w:val="6765039A"/>
    <w:rsid w:val="67B04AFD"/>
    <w:rsid w:val="67B45A76"/>
    <w:rsid w:val="67C60E39"/>
    <w:rsid w:val="67D744BA"/>
    <w:rsid w:val="67D808DD"/>
    <w:rsid w:val="67EC2927"/>
    <w:rsid w:val="67EC580C"/>
    <w:rsid w:val="6807798B"/>
    <w:rsid w:val="684F382F"/>
    <w:rsid w:val="685B203A"/>
    <w:rsid w:val="686F6D2F"/>
    <w:rsid w:val="687848D1"/>
    <w:rsid w:val="687F49A4"/>
    <w:rsid w:val="689A6135"/>
    <w:rsid w:val="68CB01EE"/>
    <w:rsid w:val="68FE332A"/>
    <w:rsid w:val="691152AF"/>
    <w:rsid w:val="69130EF7"/>
    <w:rsid w:val="696237EF"/>
    <w:rsid w:val="69693327"/>
    <w:rsid w:val="69772182"/>
    <w:rsid w:val="69A02A31"/>
    <w:rsid w:val="69A21DCD"/>
    <w:rsid w:val="69A769EF"/>
    <w:rsid w:val="69C470CE"/>
    <w:rsid w:val="69DE295D"/>
    <w:rsid w:val="6A0D3D09"/>
    <w:rsid w:val="6A9C45AC"/>
    <w:rsid w:val="6A9D6D32"/>
    <w:rsid w:val="6AE21FAC"/>
    <w:rsid w:val="6AFB6112"/>
    <w:rsid w:val="6B11024D"/>
    <w:rsid w:val="6B370FF6"/>
    <w:rsid w:val="6B502978"/>
    <w:rsid w:val="6B886843"/>
    <w:rsid w:val="6C2609EE"/>
    <w:rsid w:val="6C2834EC"/>
    <w:rsid w:val="6C5748CD"/>
    <w:rsid w:val="6C5C2A02"/>
    <w:rsid w:val="6C6929D7"/>
    <w:rsid w:val="6C817C61"/>
    <w:rsid w:val="6CF94B0E"/>
    <w:rsid w:val="6D1C37D6"/>
    <w:rsid w:val="6D591726"/>
    <w:rsid w:val="6D5A7D63"/>
    <w:rsid w:val="6D786204"/>
    <w:rsid w:val="6D7A2F2E"/>
    <w:rsid w:val="6D8C74FB"/>
    <w:rsid w:val="6D8D0E5E"/>
    <w:rsid w:val="6D950D20"/>
    <w:rsid w:val="6DA33137"/>
    <w:rsid w:val="6DB56238"/>
    <w:rsid w:val="6DE54FCD"/>
    <w:rsid w:val="6E163028"/>
    <w:rsid w:val="6E166882"/>
    <w:rsid w:val="6E292CB4"/>
    <w:rsid w:val="6E2B2599"/>
    <w:rsid w:val="6E2D4D98"/>
    <w:rsid w:val="6E58251C"/>
    <w:rsid w:val="6E797642"/>
    <w:rsid w:val="6E8A510D"/>
    <w:rsid w:val="6EB41990"/>
    <w:rsid w:val="6EBB4A6D"/>
    <w:rsid w:val="6EEA2EFA"/>
    <w:rsid w:val="6EF57E5F"/>
    <w:rsid w:val="6EF601DC"/>
    <w:rsid w:val="6EFB0E83"/>
    <w:rsid w:val="6F1E0DC5"/>
    <w:rsid w:val="6F577E66"/>
    <w:rsid w:val="6F74232B"/>
    <w:rsid w:val="6FA203DB"/>
    <w:rsid w:val="6FAC3B1D"/>
    <w:rsid w:val="6FB514AD"/>
    <w:rsid w:val="6FDE0B84"/>
    <w:rsid w:val="7003278B"/>
    <w:rsid w:val="70081F60"/>
    <w:rsid w:val="700D5D67"/>
    <w:rsid w:val="700F38F1"/>
    <w:rsid w:val="701A7E4F"/>
    <w:rsid w:val="701E4264"/>
    <w:rsid w:val="70937C6D"/>
    <w:rsid w:val="70B54760"/>
    <w:rsid w:val="70BE1F24"/>
    <w:rsid w:val="70CA6906"/>
    <w:rsid w:val="70F630B5"/>
    <w:rsid w:val="71081B93"/>
    <w:rsid w:val="713D28BB"/>
    <w:rsid w:val="71634F31"/>
    <w:rsid w:val="71774C3E"/>
    <w:rsid w:val="718568AB"/>
    <w:rsid w:val="719466BF"/>
    <w:rsid w:val="71A014FC"/>
    <w:rsid w:val="71A2617C"/>
    <w:rsid w:val="71E76AC5"/>
    <w:rsid w:val="725505D3"/>
    <w:rsid w:val="72694271"/>
    <w:rsid w:val="726B5544"/>
    <w:rsid w:val="72B75B6D"/>
    <w:rsid w:val="72E7761D"/>
    <w:rsid w:val="731C3764"/>
    <w:rsid w:val="731E4E6D"/>
    <w:rsid w:val="732A2B16"/>
    <w:rsid w:val="73480C4C"/>
    <w:rsid w:val="734C25EE"/>
    <w:rsid w:val="735E3EE5"/>
    <w:rsid w:val="73A52626"/>
    <w:rsid w:val="73B61BBE"/>
    <w:rsid w:val="73C61043"/>
    <w:rsid w:val="73EC3F83"/>
    <w:rsid w:val="73F345A1"/>
    <w:rsid w:val="7432253C"/>
    <w:rsid w:val="7486193A"/>
    <w:rsid w:val="74967B7C"/>
    <w:rsid w:val="74C65B04"/>
    <w:rsid w:val="74E06311"/>
    <w:rsid w:val="74F17501"/>
    <w:rsid w:val="74F813C8"/>
    <w:rsid w:val="758951DD"/>
    <w:rsid w:val="758D750A"/>
    <w:rsid w:val="759662A3"/>
    <w:rsid w:val="75D86C79"/>
    <w:rsid w:val="75E14AE3"/>
    <w:rsid w:val="76120256"/>
    <w:rsid w:val="76277614"/>
    <w:rsid w:val="762A1E8A"/>
    <w:rsid w:val="76552ED7"/>
    <w:rsid w:val="768D2B7B"/>
    <w:rsid w:val="76906045"/>
    <w:rsid w:val="76A37743"/>
    <w:rsid w:val="76AB74D9"/>
    <w:rsid w:val="76B12FCD"/>
    <w:rsid w:val="770B3462"/>
    <w:rsid w:val="770B4722"/>
    <w:rsid w:val="770C4222"/>
    <w:rsid w:val="770D770C"/>
    <w:rsid w:val="772A69F5"/>
    <w:rsid w:val="77367648"/>
    <w:rsid w:val="774D2FA1"/>
    <w:rsid w:val="77645C0F"/>
    <w:rsid w:val="778C5A19"/>
    <w:rsid w:val="77B304DD"/>
    <w:rsid w:val="77BF19E2"/>
    <w:rsid w:val="77D1516D"/>
    <w:rsid w:val="77E91718"/>
    <w:rsid w:val="77FC626E"/>
    <w:rsid w:val="78345438"/>
    <w:rsid w:val="78463B0C"/>
    <w:rsid w:val="78552151"/>
    <w:rsid w:val="78621399"/>
    <w:rsid w:val="7862778F"/>
    <w:rsid w:val="7870739D"/>
    <w:rsid w:val="78986E77"/>
    <w:rsid w:val="789C0397"/>
    <w:rsid w:val="78B162FC"/>
    <w:rsid w:val="78BD4D48"/>
    <w:rsid w:val="78C00903"/>
    <w:rsid w:val="795B0C82"/>
    <w:rsid w:val="79667002"/>
    <w:rsid w:val="799246B4"/>
    <w:rsid w:val="79BC1533"/>
    <w:rsid w:val="79D845B4"/>
    <w:rsid w:val="79D93AB2"/>
    <w:rsid w:val="79E66075"/>
    <w:rsid w:val="79F31235"/>
    <w:rsid w:val="7A5833E8"/>
    <w:rsid w:val="7A8F65BE"/>
    <w:rsid w:val="7A9B6881"/>
    <w:rsid w:val="7AB753E7"/>
    <w:rsid w:val="7ABD2A0A"/>
    <w:rsid w:val="7ADB1259"/>
    <w:rsid w:val="7B0373B3"/>
    <w:rsid w:val="7B623058"/>
    <w:rsid w:val="7BE31A5C"/>
    <w:rsid w:val="7C167088"/>
    <w:rsid w:val="7C2A0E87"/>
    <w:rsid w:val="7C2B231B"/>
    <w:rsid w:val="7C5A7E20"/>
    <w:rsid w:val="7C902F3C"/>
    <w:rsid w:val="7C9E7800"/>
    <w:rsid w:val="7CDC46AB"/>
    <w:rsid w:val="7D1704D2"/>
    <w:rsid w:val="7D354CF9"/>
    <w:rsid w:val="7D4D5D00"/>
    <w:rsid w:val="7D597C87"/>
    <w:rsid w:val="7D5A795E"/>
    <w:rsid w:val="7D5F53D1"/>
    <w:rsid w:val="7D8D1BE2"/>
    <w:rsid w:val="7DBF47FF"/>
    <w:rsid w:val="7DFA374E"/>
    <w:rsid w:val="7E17048F"/>
    <w:rsid w:val="7E42113B"/>
    <w:rsid w:val="7E8F5256"/>
    <w:rsid w:val="7E906E79"/>
    <w:rsid w:val="7E9B0863"/>
    <w:rsid w:val="7ED765AF"/>
    <w:rsid w:val="7EDE616B"/>
    <w:rsid w:val="7EDE6838"/>
    <w:rsid w:val="7EE40DDA"/>
    <w:rsid w:val="7EFC160C"/>
    <w:rsid w:val="7F2A7CBE"/>
    <w:rsid w:val="7F3C18D7"/>
    <w:rsid w:val="7F491D1A"/>
    <w:rsid w:val="7F4A0418"/>
    <w:rsid w:val="7F557167"/>
    <w:rsid w:val="7FA44AC8"/>
    <w:rsid w:val="7FAC3610"/>
    <w:rsid w:val="7FEB7674"/>
    <w:rsid w:val="7FFE6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semiHidden="0" w:name="heading 2"/>
    <w:lsdException w:qFormat="1" w:uiPriority="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lang w:val="en-US" w:eastAsia="zh-CN" w:bidi="ar-SA"/>
    </w:rPr>
  </w:style>
  <w:style w:type="paragraph" w:styleId="3">
    <w:name w:val="heading 2"/>
    <w:basedOn w:val="1"/>
    <w:next w:val="1"/>
    <w:unhideWhenUsed/>
    <w:qFormat/>
    <w:uiPriority w:val="0"/>
    <w:pPr>
      <w:ind w:left="1277"/>
      <w:outlineLvl w:val="1"/>
    </w:pPr>
    <w:rPr>
      <w:rFonts w:ascii="仿宋_GB2312" w:hAnsi="仿宋_GB2312" w:eastAsia="仿宋_GB2312" w:cs="仿宋_GB2312"/>
      <w:b/>
      <w:bCs/>
      <w:sz w:val="32"/>
      <w:szCs w:val="32"/>
      <w:lang w:val="zh-CN" w:eastAsia="zh-CN" w:bidi="zh-CN"/>
    </w:rPr>
  </w:style>
  <w:style w:type="paragraph" w:styleId="4">
    <w:name w:val="heading 4"/>
    <w:basedOn w:val="1"/>
    <w:next w:val="1"/>
    <w:qFormat/>
    <w:uiPriority w:val="0"/>
    <w:pPr>
      <w:keepNext/>
      <w:keepLines/>
      <w:spacing w:before="280" w:after="290" w:line="376" w:lineRule="auto"/>
      <w:outlineLvl w:val="3"/>
    </w:pPr>
    <w:rPr>
      <w:rFonts w:ascii="Cambria" w:hAnsi="Cambria"/>
      <w:b/>
      <w:bCs/>
      <w:sz w:val="28"/>
      <w:szCs w:val="28"/>
    </w:rPr>
  </w:style>
  <w:style w:type="character" w:default="1" w:styleId="17">
    <w:name w:val="Default Paragraph Font"/>
    <w:semiHidden/>
    <w:unhideWhenUsed/>
    <w:qFormat/>
    <w:uiPriority w:val="1"/>
  </w:style>
  <w:style w:type="table" w:default="1" w:styleId="15">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2">
    <w:name w:val="footnote text"/>
    <w:basedOn w:val="1"/>
    <w:qFormat/>
    <w:uiPriority w:val="0"/>
    <w:pPr>
      <w:snapToGrid w:val="0"/>
      <w:jc w:val="left"/>
    </w:pPr>
    <w:rPr>
      <w:sz w:val="18"/>
    </w:rPr>
  </w:style>
  <w:style w:type="paragraph" w:styleId="5">
    <w:name w:val="Normal Indent"/>
    <w:basedOn w:val="1"/>
    <w:qFormat/>
    <w:uiPriority w:val="0"/>
    <w:pPr>
      <w:ind w:firstLine="420" w:firstLineChars="200"/>
    </w:pPr>
  </w:style>
  <w:style w:type="paragraph" w:styleId="6">
    <w:name w:val="Body Text"/>
    <w:basedOn w:val="1"/>
    <w:qFormat/>
    <w:uiPriority w:val="1"/>
    <w:pPr>
      <w:spacing w:before="214"/>
      <w:ind w:left="120"/>
    </w:pPr>
    <w:rPr>
      <w:rFonts w:ascii="宋体" w:hAnsi="宋体" w:eastAsia="宋体" w:cs="宋体"/>
      <w:sz w:val="32"/>
      <w:szCs w:val="32"/>
      <w:lang w:val="zh-CN" w:bidi="zh-CN"/>
    </w:rPr>
  </w:style>
  <w:style w:type="paragraph" w:styleId="7">
    <w:name w:val="Body Text Indent"/>
    <w:basedOn w:val="1"/>
    <w:next w:val="5"/>
    <w:unhideWhenUsed/>
    <w:qFormat/>
    <w:uiPriority w:val="99"/>
    <w:pPr>
      <w:spacing w:after="120"/>
      <w:ind w:left="420" w:leftChars="200"/>
    </w:pPr>
  </w:style>
  <w:style w:type="paragraph" w:styleId="8">
    <w:name w:val="Plain Text"/>
    <w:basedOn w:val="1"/>
    <w:link w:val="28"/>
    <w:qFormat/>
    <w:uiPriority w:val="0"/>
    <w:rPr>
      <w:rFonts w:hint="eastAsia" w:ascii="宋体" w:hAnsi="Courier New"/>
      <w:szCs w:val="21"/>
    </w:rPr>
  </w:style>
  <w:style w:type="paragraph" w:styleId="9">
    <w:name w:val="Body Text Indent 2"/>
    <w:basedOn w:val="1"/>
    <w:next w:val="1"/>
    <w:qFormat/>
    <w:uiPriority w:val="0"/>
    <w:pPr>
      <w:spacing w:line="480" w:lineRule="auto"/>
      <w:ind w:left="420" w:leftChars="200"/>
    </w:pPr>
    <w:rPr>
      <w:rFonts w:ascii="Calibri" w:hAnsi="Calibri" w:eastAsia="宋体" w:cs="Times New Roman"/>
      <w:szCs w:val="24"/>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2">
    <w:name w:val="List Number 5"/>
    <w:basedOn w:val="1"/>
    <w:qFormat/>
    <w:uiPriority w:val="0"/>
    <w:pPr>
      <w:numPr>
        <w:ilvl w:val="0"/>
        <w:numId w:val="1"/>
      </w:numPr>
    </w:pPr>
  </w:style>
  <w:style w:type="paragraph" w:styleId="13">
    <w:name w:val="Normal (Web)"/>
    <w:basedOn w:val="1"/>
    <w:qFormat/>
    <w:uiPriority w:val="0"/>
    <w:pPr>
      <w:spacing w:beforeAutospacing="1" w:afterAutospacing="1"/>
      <w:jc w:val="left"/>
    </w:pPr>
    <w:rPr>
      <w:kern w:val="0"/>
      <w:sz w:val="24"/>
      <w:szCs w:val="24"/>
    </w:rPr>
  </w:style>
  <w:style w:type="paragraph" w:styleId="14">
    <w:name w:val="Body Text First Indent 2"/>
    <w:basedOn w:val="7"/>
    <w:next w:val="8"/>
    <w:qFormat/>
    <w:uiPriority w:val="0"/>
    <w:pPr>
      <w:spacing w:after="0"/>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0"/>
    <w:rPr>
      <w:b/>
      <w:bCs/>
    </w:rPr>
  </w:style>
  <w:style w:type="character" w:styleId="19">
    <w:name w:val="FollowedHyperlink"/>
    <w:basedOn w:val="17"/>
    <w:qFormat/>
    <w:uiPriority w:val="0"/>
    <w:rPr>
      <w:color w:val="800080"/>
      <w:u w:val="single"/>
    </w:rPr>
  </w:style>
  <w:style w:type="character" w:styleId="20">
    <w:name w:val="Hyperlink"/>
    <w:basedOn w:val="17"/>
    <w:qFormat/>
    <w:uiPriority w:val="0"/>
    <w:rPr>
      <w:color w:val="0000FF"/>
      <w:u w:val="single"/>
    </w:rPr>
  </w:style>
  <w:style w:type="paragraph" w:customStyle="1" w:styleId="21">
    <w:name w:val="Body Text Indent 2"/>
    <w:basedOn w:val="1"/>
    <w:qFormat/>
    <w:uiPriority w:val="0"/>
    <w:pPr>
      <w:spacing w:after="120" w:afterLines="0" w:line="480" w:lineRule="auto"/>
      <w:ind w:left="420" w:leftChars="200"/>
    </w:pPr>
  </w:style>
  <w:style w:type="paragraph" w:customStyle="1" w:styleId="22">
    <w:name w:val="正文文本缩进 21"/>
    <w:basedOn w:val="1"/>
    <w:qFormat/>
    <w:uiPriority w:val="0"/>
    <w:pPr>
      <w:spacing w:line="480" w:lineRule="auto"/>
      <w:ind w:left="420" w:leftChars="200"/>
    </w:pPr>
  </w:style>
  <w:style w:type="character" w:customStyle="1" w:styleId="23">
    <w:name w:val="fontstyle01"/>
    <w:basedOn w:val="17"/>
    <w:qFormat/>
    <w:uiPriority w:val="0"/>
    <w:rPr>
      <w:rFonts w:ascii="仿宋_GB2312" w:hAnsi="仿宋_GB2312" w:eastAsia="仿宋_GB2312" w:cs="仿宋_GB2312"/>
      <w:color w:val="000000"/>
      <w:sz w:val="32"/>
      <w:szCs w:val="32"/>
    </w:rPr>
  </w:style>
  <w:style w:type="character" w:customStyle="1" w:styleId="24">
    <w:name w:val="fontstyle11"/>
    <w:basedOn w:val="17"/>
    <w:qFormat/>
    <w:uiPriority w:val="0"/>
    <w:rPr>
      <w:rFonts w:ascii="TimesNewRomanPSMT" w:hAnsi="TimesNewRomanPSMT" w:eastAsia="TimesNewRomanPSMT" w:cs="TimesNewRomanPSMT"/>
      <w:color w:val="000000"/>
      <w:sz w:val="32"/>
      <w:szCs w:val="32"/>
    </w:rPr>
  </w:style>
  <w:style w:type="character" w:customStyle="1" w:styleId="25">
    <w:name w:val="fontstyle21"/>
    <w:basedOn w:val="17"/>
    <w:qFormat/>
    <w:uiPriority w:val="0"/>
    <w:rPr>
      <w:rFonts w:ascii="宋体" w:hAnsi="宋体" w:eastAsia="宋体" w:cs="宋体"/>
      <w:color w:val="000000"/>
      <w:sz w:val="28"/>
      <w:szCs w:val="28"/>
    </w:rPr>
  </w:style>
  <w:style w:type="character" w:customStyle="1" w:styleId="26">
    <w:name w:val="fontstyle31"/>
    <w:basedOn w:val="17"/>
    <w:qFormat/>
    <w:uiPriority w:val="0"/>
    <w:rPr>
      <w:rFonts w:ascii="TimesNewRomanPSMT" w:hAnsi="TimesNewRomanPSMT" w:eastAsia="TimesNewRomanPSMT" w:cs="TimesNewRomanPSMT"/>
      <w:color w:val="000000"/>
      <w:sz w:val="32"/>
      <w:szCs w:val="32"/>
    </w:rPr>
  </w:style>
  <w:style w:type="character" w:customStyle="1" w:styleId="27">
    <w:name w:val="fontstyle41"/>
    <w:basedOn w:val="17"/>
    <w:qFormat/>
    <w:uiPriority w:val="0"/>
    <w:rPr>
      <w:rFonts w:ascii="TimesNewRomanPSMT" w:hAnsi="TimesNewRomanPSMT" w:eastAsia="TimesNewRomanPSMT" w:cs="TimesNewRomanPSMT"/>
      <w:color w:val="000000"/>
      <w:sz w:val="32"/>
      <w:szCs w:val="32"/>
    </w:rPr>
  </w:style>
  <w:style w:type="character" w:customStyle="1" w:styleId="28">
    <w:name w:val="纯文本 Char"/>
    <w:basedOn w:val="17"/>
    <w:link w:val="8"/>
    <w:qFormat/>
    <w:uiPriority w:val="0"/>
    <w:rPr>
      <w:rFonts w:hint="eastAsia" w:ascii="宋体" w:hAnsi="Courier New" w:eastAsia="宋体" w:cs="Courier New"/>
      <w:kern w:val="2"/>
      <w:sz w:val="21"/>
      <w:szCs w:val="21"/>
    </w:rPr>
  </w:style>
  <w:style w:type="paragraph" w:customStyle="1" w:styleId="29">
    <w:name w:val="正文文本缩进 211"/>
    <w:basedOn w:val="1"/>
    <w:qFormat/>
    <w:uiPriority w:val="0"/>
    <w:pPr>
      <w:spacing w:line="480" w:lineRule="auto"/>
      <w:ind w:left="420" w:leftChars="200"/>
    </w:pPr>
  </w:style>
  <w:style w:type="paragraph" w:customStyle="1" w:styleId="30">
    <w:name w:val="普通(网站)1"/>
    <w:basedOn w:val="1"/>
    <w:qFormat/>
    <w:uiPriority w:val="0"/>
    <w:pPr>
      <w:widowControl/>
      <w:spacing w:beforeAutospacing="1" w:afterAutospacing="1"/>
      <w:jc w:val="left"/>
    </w:pPr>
    <w:rPr>
      <w:rFonts w:hint="eastAsia" w:ascii="宋体" w:hAnsi="宋体"/>
      <w:kern w:val="0"/>
      <w:sz w:val="24"/>
    </w:rPr>
  </w:style>
  <w:style w:type="paragraph" w:customStyle="1" w:styleId="31">
    <w:name w:val="reader-word-layer"/>
    <w:basedOn w:val="1"/>
    <w:qFormat/>
    <w:uiPriority w:val="0"/>
    <w:pPr>
      <w:widowControl/>
      <w:spacing w:beforeAutospacing="1" w:afterAutospacing="1"/>
      <w:jc w:val="left"/>
    </w:pPr>
    <w:rPr>
      <w:rFonts w:hint="eastAsia" w:ascii="宋体" w:hAnsi="宋体"/>
      <w:sz w:val="24"/>
    </w:rPr>
  </w:style>
  <w:style w:type="character" w:customStyle="1" w:styleId="32">
    <w:name w:val="Char Char"/>
    <w:basedOn w:val="17"/>
    <w:link w:val="33"/>
    <w:qFormat/>
    <w:uiPriority w:val="0"/>
    <w:rPr>
      <w:rFonts w:hint="eastAsia" w:ascii="宋体" w:hAnsi="宋体" w:eastAsia="宋体" w:cs="宋体"/>
      <w:sz w:val="24"/>
    </w:rPr>
  </w:style>
  <w:style w:type="paragraph" w:customStyle="1" w:styleId="33">
    <w:name w:val="HTML 预设格式1"/>
    <w:basedOn w:val="1"/>
    <w:link w:val="32"/>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character" w:customStyle="1" w:styleId="34">
    <w:name w:val="NormalCharacter"/>
    <w:qFormat/>
    <w:uiPriority w:val="0"/>
    <w:rPr>
      <w:rFonts w:eastAsia="宋体"/>
      <w:kern w:val="2"/>
      <w:sz w:val="21"/>
      <w:szCs w:val="24"/>
      <w:lang w:val="en-US" w:eastAsia="zh-CN" w:bidi="ar-SA"/>
    </w:rPr>
  </w:style>
  <w:style w:type="paragraph" w:customStyle="1" w:styleId="35">
    <w:name w:val="纯文本1"/>
    <w:basedOn w:val="1"/>
    <w:qFormat/>
    <w:uiPriority w:val="0"/>
    <w:rPr>
      <w:rFonts w:ascii="宋体" w:hAnsi="Courier New" w:cstheme="minorBidi"/>
      <w:szCs w:val="22"/>
    </w:rPr>
  </w:style>
  <w:style w:type="character" w:customStyle="1" w:styleId="36">
    <w:name w:val="font11"/>
    <w:basedOn w:val="17"/>
    <w:qFormat/>
    <w:uiPriority w:val="0"/>
    <w:rPr>
      <w:rFonts w:hint="default" w:ascii="华文中宋" w:hAnsi="华文中宋" w:eastAsia="华文中宋" w:cs="华文中宋"/>
      <w:color w:val="000000"/>
      <w:sz w:val="20"/>
      <w:szCs w:val="20"/>
      <w:u w:val="none"/>
    </w:rPr>
  </w:style>
  <w:style w:type="paragraph" w:customStyle="1" w:styleId="37">
    <w:name w:val="WPSOffice手动目录 1"/>
    <w:qFormat/>
    <w:uiPriority w:val="0"/>
    <w:pPr>
      <w:ind w:leftChars="0"/>
    </w:pPr>
    <w:rPr>
      <w:rFonts w:asciiTheme="minorHAnsi" w:hAnsiTheme="minorHAnsi" w:eastAsiaTheme="minorEastAsia" w:cstheme="minorBidi"/>
      <w:sz w:val="20"/>
      <w:szCs w:val="20"/>
    </w:rPr>
  </w:style>
  <w:style w:type="paragraph" w:customStyle="1" w:styleId="38">
    <w:name w:val="WPSOffice手动目录 2"/>
    <w:qFormat/>
    <w:uiPriority w:val="0"/>
    <w:pPr>
      <w:ind w:leftChars="200"/>
    </w:pPr>
    <w:rPr>
      <w:rFonts w:asciiTheme="minorHAnsi" w:hAnsiTheme="minorHAnsi" w:eastAsiaTheme="minorEastAsia" w:cstheme="minorBidi"/>
      <w:sz w:val="20"/>
      <w:szCs w:val="20"/>
    </w:rPr>
  </w:style>
  <w:style w:type="paragraph" w:customStyle="1" w:styleId="39">
    <w:name w:val="WPSOffice手动目录 3"/>
    <w:qFormat/>
    <w:uiPriority w:val="0"/>
    <w:pPr>
      <w:ind w:leftChars="400"/>
    </w:pPr>
    <w:rPr>
      <w:rFonts w:asciiTheme="minorHAnsi" w:hAnsiTheme="minorHAnsi" w:eastAsiaTheme="minorEastAsia" w:cstheme="minorBidi"/>
      <w:sz w:val="20"/>
      <w:szCs w:val="20"/>
    </w:rPr>
  </w:style>
  <w:style w:type="character" w:customStyle="1" w:styleId="40">
    <w:name w:val="font21"/>
    <w:basedOn w:val="17"/>
    <w:qFormat/>
    <w:uiPriority w:val="0"/>
    <w:rPr>
      <w:rFonts w:hint="eastAsia" w:ascii="宋体" w:hAnsi="宋体" w:eastAsia="宋体" w:cs="宋体"/>
      <w:color w:val="000000"/>
      <w:sz w:val="24"/>
      <w:szCs w:val="24"/>
      <w:u w:val="none"/>
    </w:rPr>
  </w:style>
  <w:style w:type="character" w:customStyle="1" w:styleId="41">
    <w:name w:val="font01"/>
    <w:basedOn w:val="17"/>
    <w:qFormat/>
    <w:uiPriority w:val="0"/>
    <w:rPr>
      <w:rFonts w:ascii="仿宋" w:hAnsi="仿宋" w:eastAsia="仿宋" w:cs="仿宋"/>
      <w:color w:val="000000"/>
      <w:sz w:val="24"/>
      <w:szCs w:val="24"/>
      <w:u w:val="none"/>
    </w:rPr>
  </w:style>
  <w:style w:type="character" w:customStyle="1" w:styleId="42">
    <w:name w:val="font51"/>
    <w:basedOn w:val="17"/>
    <w:qFormat/>
    <w:uiPriority w:val="0"/>
    <w:rPr>
      <w:rFonts w:hint="eastAsia" w:ascii="宋体" w:hAnsi="宋体" w:eastAsia="宋体" w:cs="宋体"/>
      <w:color w:val="000000"/>
      <w:sz w:val="24"/>
      <w:szCs w:val="24"/>
      <w:u w:val="none"/>
    </w:rPr>
  </w:style>
  <w:style w:type="character" w:customStyle="1" w:styleId="43">
    <w:name w:val="font61"/>
    <w:basedOn w:val="17"/>
    <w:qFormat/>
    <w:uiPriority w:val="0"/>
    <w:rPr>
      <w:rFonts w:ascii="仿宋" w:hAnsi="仿宋" w:eastAsia="仿宋" w:cs="仿宋"/>
      <w:b/>
      <w:color w:val="000000"/>
      <w:sz w:val="24"/>
      <w:szCs w:val="24"/>
      <w:u w:val="none"/>
    </w:rPr>
  </w:style>
  <w:style w:type="character" w:customStyle="1" w:styleId="44">
    <w:name w:val="font221"/>
    <w:basedOn w:val="17"/>
    <w:qFormat/>
    <w:uiPriority w:val="0"/>
    <w:rPr>
      <w:rFonts w:ascii="仿宋" w:hAnsi="仿宋" w:eastAsia="仿宋" w:cs="仿宋"/>
      <w:color w:val="000000"/>
      <w:sz w:val="24"/>
      <w:szCs w:val="24"/>
      <w:u w:val="none"/>
    </w:rPr>
  </w:style>
  <w:style w:type="character" w:customStyle="1" w:styleId="45">
    <w:name w:val="font132"/>
    <w:basedOn w:val="17"/>
    <w:qFormat/>
    <w:uiPriority w:val="0"/>
    <w:rPr>
      <w:rFonts w:ascii="仿宋" w:hAnsi="仿宋" w:eastAsia="仿宋" w:cs="仿宋"/>
      <w:color w:val="000000"/>
      <w:sz w:val="24"/>
      <w:szCs w:val="24"/>
      <w:u w:val="none"/>
    </w:rPr>
  </w:style>
  <w:style w:type="character" w:customStyle="1" w:styleId="46">
    <w:name w:val="font31"/>
    <w:basedOn w:val="17"/>
    <w:qFormat/>
    <w:uiPriority w:val="0"/>
    <w:rPr>
      <w:rFonts w:hint="eastAsia" w:ascii="宋体" w:hAnsi="宋体" w:eastAsia="宋体" w:cs="宋体"/>
      <w:b/>
      <w:color w:val="000000"/>
      <w:sz w:val="24"/>
      <w:szCs w:val="24"/>
      <w:u w:val="none"/>
    </w:rPr>
  </w:style>
  <w:style w:type="character" w:customStyle="1" w:styleId="47">
    <w:name w:val="font101"/>
    <w:basedOn w:val="17"/>
    <w:qFormat/>
    <w:uiPriority w:val="0"/>
    <w:rPr>
      <w:rFonts w:ascii="仿宋" w:hAnsi="仿宋" w:eastAsia="仿宋" w:cs="仿宋"/>
      <w:color w:val="000000"/>
      <w:sz w:val="24"/>
      <w:szCs w:val="24"/>
      <w:u w:val="none"/>
    </w:rPr>
  </w:style>
  <w:style w:type="character" w:customStyle="1" w:styleId="48">
    <w:name w:val="font112"/>
    <w:basedOn w:val="17"/>
    <w:qFormat/>
    <w:uiPriority w:val="0"/>
    <w:rPr>
      <w:rFonts w:hint="eastAsia" w:ascii="宋体" w:hAnsi="宋体" w:eastAsia="宋体" w:cs="宋体"/>
      <w:b/>
      <w:color w:val="000000"/>
      <w:sz w:val="24"/>
      <w:szCs w:val="24"/>
      <w:u w:val="none"/>
    </w:rPr>
  </w:style>
  <w:style w:type="character" w:customStyle="1" w:styleId="49">
    <w:name w:val="font41"/>
    <w:basedOn w:val="17"/>
    <w:qFormat/>
    <w:uiPriority w:val="0"/>
    <w:rPr>
      <w:rFonts w:hint="eastAsia" w:ascii="宋体" w:hAnsi="宋体" w:eastAsia="宋体" w:cs="宋体"/>
      <w:b/>
      <w:color w:val="000000"/>
      <w:sz w:val="22"/>
      <w:szCs w:val="22"/>
      <w:u w:val="none"/>
    </w:rPr>
  </w:style>
  <w:style w:type="character" w:customStyle="1" w:styleId="50">
    <w:name w:val="font81"/>
    <w:basedOn w:val="17"/>
    <w:qFormat/>
    <w:uiPriority w:val="0"/>
    <w:rPr>
      <w:rFonts w:ascii="仿宋" w:hAnsi="仿宋" w:eastAsia="仿宋" w:cs="仿宋"/>
      <w:color w:val="000000"/>
      <w:sz w:val="22"/>
      <w:szCs w:val="22"/>
      <w:u w:val="none"/>
    </w:rPr>
  </w:style>
  <w:style w:type="character" w:customStyle="1" w:styleId="51">
    <w:name w:val="font122"/>
    <w:basedOn w:val="17"/>
    <w:qFormat/>
    <w:uiPriority w:val="0"/>
    <w:rPr>
      <w:rFonts w:hint="eastAsia" w:ascii="宋体" w:hAnsi="宋体" w:eastAsia="宋体" w:cs="宋体"/>
      <w:color w:val="000000"/>
      <w:sz w:val="22"/>
      <w:szCs w:val="22"/>
      <w:u w:val="none"/>
    </w:rPr>
  </w:style>
  <w:style w:type="character" w:customStyle="1" w:styleId="52">
    <w:name w:val="font71"/>
    <w:basedOn w:val="17"/>
    <w:qFormat/>
    <w:uiPriority w:val="0"/>
    <w:rPr>
      <w:rFonts w:hint="eastAsia" w:ascii="宋体" w:hAnsi="宋体" w:eastAsia="宋体" w:cs="宋体"/>
      <w:color w:val="000000"/>
      <w:sz w:val="21"/>
      <w:szCs w:val="21"/>
      <w:u w:val="none"/>
    </w:rPr>
  </w:style>
  <w:style w:type="character" w:customStyle="1" w:styleId="53">
    <w:name w:val="font91"/>
    <w:basedOn w:val="17"/>
    <w:qFormat/>
    <w:uiPriority w:val="0"/>
    <w:rPr>
      <w:rFonts w:ascii="仿宋" w:hAnsi="仿宋" w:eastAsia="仿宋" w:cs="仿宋"/>
      <w:color w:val="000000"/>
      <w:sz w:val="24"/>
      <w:szCs w:val="24"/>
      <w:u w:val="none"/>
    </w:rPr>
  </w:style>
  <w:style w:type="character" w:customStyle="1" w:styleId="54">
    <w:name w:val="font111"/>
    <w:basedOn w:val="17"/>
    <w:qFormat/>
    <w:uiPriority w:val="0"/>
    <w:rPr>
      <w:rFonts w:ascii="仿宋" w:hAnsi="仿宋" w:eastAsia="仿宋" w:cs="仿宋"/>
      <w:color w:val="000000"/>
      <w:sz w:val="24"/>
      <w:szCs w:val="24"/>
      <w:u w:val="none"/>
    </w:rPr>
  </w:style>
  <w:style w:type="character" w:customStyle="1" w:styleId="55">
    <w:name w:val="font121"/>
    <w:basedOn w:val="17"/>
    <w:qFormat/>
    <w:uiPriority w:val="0"/>
    <w:rPr>
      <w:rFonts w:hint="eastAsia" w:ascii="宋体" w:hAnsi="宋体" w:eastAsia="宋体" w:cs="宋体"/>
      <w:color w:val="000000"/>
      <w:sz w:val="21"/>
      <w:szCs w:val="21"/>
      <w:u w:val="none"/>
    </w:rPr>
  </w:style>
  <w:style w:type="character" w:customStyle="1" w:styleId="56">
    <w:name w:val="font131"/>
    <w:basedOn w:val="17"/>
    <w:qFormat/>
    <w:uiPriority w:val="0"/>
    <w:rPr>
      <w:rFonts w:hint="eastAsia" w:ascii="宋体" w:hAnsi="宋体" w:eastAsia="宋体" w:cs="宋体"/>
      <w:color w:val="000000"/>
      <w:sz w:val="21"/>
      <w:szCs w:val="21"/>
      <w:u w:val="none"/>
    </w:rPr>
  </w:style>
  <w:style w:type="table" w:customStyle="1" w:styleId="57">
    <w:name w:val="Table Normal"/>
    <w:basedOn w:val="15"/>
    <w:qFormat/>
    <w:uiPriority w:val="0"/>
    <w:rPr>
      <w:rFonts w:ascii="Arial" w:hAnsi="Arial" w:cs="Arial"/>
    </w:rPr>
    <w:tblPr>
      <w:tblCellMar>
        <w:top w:w="0" w:type="dxa"/>
        <w:left w:w="0" w:type="dxa"/>
        <w:bottom w:w="0" w:type="dxa"/>
        <w:right w:w="0" w:type="dxa"/>
      </w:tblCellMar>
    </w:tblPr>
  </w:style>
  <w:style w:type="character" w:customStyle="1" w:styleId="58">
    <w:name w:val="font12"/>
    <w:basedOn w:val="17"/>
    <w:qFormat/>
    <w:uiPriority w:val="0"/>
    <w:rPr>
      <w:rFonts w:hint="eastAsia" w:ascii="宋体" w:hAnsi="宋体" w:eastAsia="宋体" w:cs="宋体"/>
      <w:color w:val="000000"/>
      <w:sz w:val="24"/>
      <w:szCs w:val="24"/>
      <w:u w:val="none"/>
    </w:rPr>
  </w:style>
  <w:style w:type="character" w:customStyle="1" w:styleId="59">
    <w:name w:val="font141"/>
    <w:basedOn w:val="17"/>
    <w:qFormat/>
    <w:uiPriority w:val="0"/>
    <w:rPr>
      <w:rFonts w:hint="eastAsia" w:ascii="宋体" w:hAnsi="宋体" w:eastAsia="宋体" w:cs="宋体"/>
      <w:b/>
      <w:bCs/>
      <w:color w:val="000000"/>
      <w:sz w:val="32"/>
      <w:szCs w:val="32"/>
      <w:u w:val="non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1.png"/><Relationship Id="rId3" Type="http://schemas.openxmlformats.org/officeDocument/2006/relationships/footer" Target="foot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emf"/><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pp2\Desktop\&#32439;&#32321;&#22810;&#24425;.wp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纷繁多彩.wpt</Template>
  <Pages>160</Pages>
  <Words>56439</Words>
  <Characters>86629</Characters>
  <Lines>101</Lines>
  <Paragraphs>28</Paragraphs>
  <TotalTime>12</TotalTime>
  <ScaleCrop>false</ScaleCrop>
  <LinksUpToDate>false</LinksUpToDate>
  <CharactersWithSpaces>90937</CharactersWithSpaces>
  <Application>WPS Office_12.8.2.15286_F1E327BC-269C-435d-A152-05C5408002CA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2022-11-29T12:00:00Z</dcterms:created>
  <dc:creator>ppp2</dc:creator>
  <cp:lastModifiedBy>user</cp:lastModifiedBy>
  <cp:lastPrinted>2025-03-25T03:26:00Z</cp:lastPrinted>
  <dcterms:modified xsi:type="dcterms:W3CDTF">2025-08-20T10:56:37Z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2052-12.8.2.15286</vt:lpwstr>
  </property>
  <property fmtid="{D5CDD505-2E9C-101B-9397-08002B2CF9AE}" pid="3" name="ICV">
    <vt:lpwstr>D955E91CBDF042CDB4F514AA9D423E2E_12</vt:lpwstr>
  </property>
  <property fmtid="{D5CDD505-2E9C-101B-9397-08002B2CF9AE}" pid="4" name="KSOTemplateDocerSaveRecord">
    <vt:lpwstr>eyJoZGlkIjoiYWFiMDNmMzRjOTU4ODdkN2RjZjgxMzMwNzkzNWE1N2IiLCJ1c2VySWQiOiIyNzQwNjI2NzYifQ==</vt:lpwstr>
  </property>
</Properties>
</file>