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auto"/>
          <w:sz w:val="44"/>
          <w:szCs w:val="44"/>
          <w:highlight w:val="none"/>
        </w:rPr>
      </w:pPr>
    </w:p>
    <w:p>
      <w:pPr>
        <w:keepNext w:val="0"/>
        <w:keepLines w:val="0"/>
        <w:pageBreakBefore w:val="0"/>
        <w:widowControl w:val="0"/>
        <w:kinsoku/>
        <w:wordWrap/>
        <w:overflowPunct/>
        <w:topLinePunct w:val="0"/>
        <w:autoSpaceDE/>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202</w:t>
      </w:r>
      <w:r>
        <w:rPr>
          <w:rFonts w:hint="eastAsia" w:ascii="方正小标宋简体" w:hAnsi="方正小标宋简体" w:eastAsia="方正小标宋简体" w:cs="方正小标宋简体"/>
          <w:b w:val="0"/>
          <w:bCs w:val="0"/>
          <w:color w:val="auto"/>
          <w:sz w:val="44"/>
          <w:szCs w:val="44"/>
          <w:highlight w:val="none"/>
          <w:lang w:val="en-US" w:eastAsia="zh-CN"/>
        </w:rPr>
        <w:t>5</w:t>
      </w:r>
      <w:r>
        <w:rPr>
          <w:rFonts w:hint="eastAsia" w:ascii="方正小标宋简体" w:hAnsi="方正小标宋简体" w:eastAsia="方正小标宋简体" w:cs="方正小标宋简体"/>
          <w:b w:val="0"/>
          <w:bCs w:val="0"/>
          <w:color w:val="auto"/>
          <w:sz w:val="44"/>
          <w:szCs w:val="44"/>
          <w:highlight w:val="none"/>
        </w:rPr>
        <w:t>年和田地区国民经济和社会发展</w:t>
      </w:r>
    </w:p>
    <w:p>
      <w:pPr>
        <w:keepNext w:val="0"/>
        <w:keepLines w:val="0"/>
        <w:pageBreakBefore w:val="0"/>
        <w:widowControl w:val="0"/>
        <w:kinsoku/>
        <w:wordWrap/>
        <w:overflowPunct/>
        <w:topLinePunct w:val="0"/>
        <w:autoSpaceDE/>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统计公报</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仿宋简体" w:hAnsi="方正仿宋简体" w:eastAsia="方正仿宋简体" w:cs="方正仿宋简体"/>
          <w:color w:val="auto"/>
          <w:sz w:val="32"/>
          <w:szCs w:val="32"/>
          <w:highlight w:val="none"/>
          <w:lang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仿宋简体" w:hAnsi="方正仿宋简体" w:eastAsia="方正仿宋简体" w:cs="方正仿宋简体"/>
          <w:color w:val="auto"/>
          <w:sz w:val="32"/>
          <w:szCs w:val="32"/>
          <w:highlight w:val="none"/>
          <w:lang w:eastAsia="zh-CN"/>
        </w:rPr>
      </w:pPr>
      <w:r>
        <w:rPr>
          <w:rFonts w:hint="eastAsia" w:ascii="方正仿宋简体" w:hAnsi="方正仿宋简体" w:eastAsia="方正仿宋简体" w:cs="方正仿宋简体"/>
          <w:color w:val="auto"/>
          <w:sz w:val="32"/>
          <w:szCs w:val="32"/>
          <w:highlight w:val="none"/>
          <w:lang w:eastAsia="zh-CN"/>
        </w:rPr>
        <w:t>和田地区统计局</w:t>
      </w:r>
    </w:p>
    <w:p>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方正仿宋简体" w:hAnsi="方正仿宋简体" w:eastAsia="方正仿宋简体" w:cs="方正仿宋简体"/>
          <w:color w:val="auto"/>
          <w:sz w:val="32"/>
          <w:szCs w:val="32"/>
          <w:highlight w:val="none"/>
          <w:lang w:eastAsia="zh-CN"/>
        </w:rPr>
      </w:pPr>
      <w:r>
        <w:rPr>
          <w:rFonts w:hint="default" w:ascii="Times New Roman" w:hAnsi="Times New Roman" w:eastAsia="方正仿宋简体" w:cs="Times New Roman"/>
          <w:color w:val="auto"/>
          <w:sz w:val="32"/>
          <w:szCs w:val="32"/>
          <w:highlight w:val="none"/>
          <w:lang w:eastAsia="zh-CN"/>
        </w:rPr>
        <w:t>202</w:t>
      </w:r>
      <w:r>
        <w:rPr>
          <w:rFonts w:hint="eastAsia" w:ascii="Times New Roman" w:hAnsi="Times New Roman" w:eastAsia="方正仿宋简体" w:cs="Times New Roman"/>
          <w:color w:val="auto"/>
          <w:sz w:val="32"/>
          <w:szCs w:val="32"/>
          <w:highlight w:val="none"/>
          <w:lang w:val="en-US" w:eastAsia="zh-CN"/>
        </w:rPr>
        <w:t>6</w:t>
      </w:r>
      <w:r>
        <w:rPr>
          <w:rFonts w:hint="default" w:ascii="Times New Roman" w:hAnsi="Times New Roman" w:eastAsia="方正仿宋简体" w:cs="Times New Roman"/>
          <w:color w:val="auto"/>
          <w:sz w:val="32"/>
          <w:szCs w:val="32"/>
          <w:highlight w:val="none"/>
          <w:lang w:eastAsia="zh-CN"/>
        </w:rPr>
        <w:t>年</w:t>
      </w:r>
      <w:r>
        <w:rPr>
          <w:rFonts w:hint="eastAsia" w:ascii="Times New Roman" w:hAnsi="Times New Roman" w:eastAsia="方正仿宋简体" w:cs="Times New Roman"/>
          <w:color w:val="auto"/>
          <w:sz w:val="32"/>
          <w:szCs w:val="32"/>
          <w:highlight w:val="none"/>
          <w:lang w:val="en-US" w:eastAsia="zh-CN"/>
        </w:rPr>
        <w:t>3</w:t>
      </w:r>
      <w:r>
        <w:rPr>
          <w:rFonts w:hint="default" w:ascii="Times New Roman" w:hAnsi="Times New Roman" w:eastAsia="方正仿宋简体" w:cs="Times New Roman"/>
          <w:color w:val="auto"/>
          <w:sz w:val="32"/>
          <w:szCs w:val="32"/>
          <w:highlight w:val="none"/>
          <w:lang w:eastAsia="zh-CN"/>
        </w:rPr>
        <w:t>月</w:t>
      </w:r>
      <w:r>
        <w:rPr>
          <w:rFonts w:hint="eastAsia" w:ascii="Times New Roman" w:hAnsi="Times New Roman" w:eastAsia="方正仿宋简体" w:cs="Times New Roman"/>
          <w:color w:val="auto"/>
          <w:sz w:val="32"/>
          <w:szCs w:val="32"/>
          <w:highlight w:val="none"/>
          <w:lang w:val="en-US" w:eastAsia="zh-CN"/>
        </w:rPr>
        <w:t>27</w:t>
      </w:r>
      <w:r>
        <w:rPr>
          <w:rFonts w:hint="default" w:ascii="Times New Roman" w:hAnsi="Times New Roman" w:eastAsia="方正仿宋简体" w:cs="Times New Roman"/>
          <w:color w:val="auto"/>
          <w:sz w:val="32"/>
          <w:szCs w:val="32"/>
          <w:highlight w:val="none"/>
          <w:lang w:eastAsia="zh-CN"/>
        </w:rPr>
        <w:t>日</w:t>
      </w:r>
    </w:p>
    <w:p>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textAlignment w:val="auto"/>
        <w:rPr>
          <w:rFonts w:hint="default" w:ascii="方正仿宋简体" w:hAnsi="方正仿宋简体" w:eastAsia="方正仿宋简体" w:cs="方正仿宋简体"/>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zh-CN" w:eastAsia="zh-CN"/>
        </w:rPr>
        <w:t>202</w:t>
      </w:r>
      <w:r>
        <w:rPr>
          <w:rFonts w:hint="eastAsia" w:ascii="Times New Roman" w:hAnsi="Times New Roman" w:eastAsia="方正仿宋简体" w:cs="Times New Roman"/>
          <w:color w:val="auto"/>
          <w:sz w:val="32"/>
          <w:szCs w:val="32"/>
          <w:highlight w:val="none"/>
          <w:lang w:val="en-US" w:eastAsia="zh-CN"/>
        </w:rPr>
        <w:t>5</w:t>
      </w:r>
      <w:r>
        <w:rPr>
          <w:rFonts w:hint="default" w:ascii="Times New Roman" w:hAnsi="Times New Roman" w:eastAsia="方正仿宋简体" w:cs="Times New Roman"/>
          <w:color w:val="auto"/>
          <w:sz w:val="32"/>
          <w:szCs w:val="32"/>
          <w:highlight w:val="none"/>
          <w:lang w:val="zh-CN" w:eastAsia="zh-CN"/>
        </w:rPr>
        <w:t>年</w:t>
      </w:r>
      <w:r>
        <w:rPr>
          <w:rFonts w:hint="eastAsia" w:ascii="Times New Roman" w:hAnsi="Times New Roman" w:eastAsia="方正仿宋简体" w:cs="Times New Roman"/>
          <w:color w:val="auto"/>
          <w:sz w:val="32"/>
          <w:szCs w:val="32"/>
          <w:highlight w:val="none"/>
          <w:lang w:val="en-US" w:eastAsia="zh-CN"/>
        </w:rPr>
        <w:t>,全地区上下坚持以习近平新时代中国特色社会主义思想为指导，深入学习贯彻党的二十大和二十届历次全会精神，全面贯彻落实习近平总书记关于新疆工作的重要讲话重要指示批示精神，完整准确全面贯彻新时代党的治疆方略，坚持稳中求进工作总基调，落实落细稳经济系列措施，经济稳步前行、向新向好，高质量发展扎实推进，创新改革持续深化，民生保障有力有效，社会大局和谐稳定，为“十五五”开局奠定了良好基础。</w:t>
      </w:r>
    </w:p>
    <w:p>
      <w:pPr>
        <w:keepNext w:val="0"/>
        <w:keepLines w:val="0"/>
        <w:pageBreakBefore w:val="0"/>
        <w:widowControl w:val="0"/>
        <w:kinsoku/>
        <w:wordWrap/>
        <w:overflowPunct/>
        <w:topLinePunct w:val="0"/>
        <w:autoSpaceDE/>
        <w:autoSpaceDN/>
        <w:bidi w:val="0"/>
        <w:adjustRightInd/>
        <w:snapToGrid/>
        <w:spacing w:line="560" w:lineRule="exact"/>
        <w:ind w:firstLine="653"/>
        <w:textAlignment w:val="auto"/>
        <w:rPr>
          <w:rFonts w:hint="eastAsia" w:ascii="黑体" w:hAnsi="黑体" w:eastAsia="黑体" w:cs="黑体"/>
          <w:color w:val="000000" w:themeColor="text1"/>
          <w:sz w:val="32"/>
          <w:szCs w:val="32"/>
          <w:highlight w:val="none"/>
          <w14:textFill>
            <w14:solidFill>
              <w14:schemeClr w14:val="tx1"/>
            </w14:solidFill>
          </w14:textFill>
        </w:rPr>
      </w:pPr>
      <w:r>
        <w:rPr>
          <w:rFonts w:hint="eastAsia" w:ascii="黑体" w:hAnsi="黑体" w:eastAsia="黑体" w:cs="黑体"/>
          <w:color w:val="000000" w:themeColor="text1"/>
          <w:sz w:val="32"/>
          <w:szCs w:val="32"/>
          <w:highlight w:val="none"/>
          <w14:textFill>
            <w14:solidFill>
              <w14:schemeClr w14:val="tx1"/>
            </w14:solidFill>
          </w14:textFill>
        </w:rPr>
        <w:t>一、综合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简体" w:cs="Times New Roman"/>
          <w:color w:val="0000FF"/>
          <w:sz w:val="32"/>
          <w:szCs w:val="32"/>
          <w:highlight w:val="none"/>
          <w:lang w:eastAsia="zh-CN"/>
        </w:rPr>
      </w:pPr>
      <w:r>
        <w:rPr>
          <w:rFonts w:hint="default" w:ascii="Times New Roman" w:hAnsi="Times New Roman" w:eastAsia="方正仿宋简体" w:cs="Times New Roman"/>
          <w:color w:val="auto"/>
          <w:sz w:val="32"/>
          <w:szCs w:val="32"/>
          <w:highlight w:val="none"/>
          <w:lang w:eastAsia="zh-CN"/>
        </w:rPr>
        <w:t>根据自治区统一核算结果，全年地区生产总值（GDP）比上年增长6.</w:t>
      </w:r>
      <w:r>
        <w:rPr>
          <w:rFonts w:hint="eastAsia" w:ascii="Times New Roman" w:hAnsi="Times New Roman" w:eastAsia="方正仿宋简体" w:cs="Times New Roman"/>
          <w:color w:val="auto"/>
          <w:sz w:val="32"/>
          <w:szCs w:val="32"/>
          <w:highlight w:val="none"/>
          <w:lang w:val="en-US" w:eastAsia="zh-CN"/>
        </w:rPr>
        <w:t>6</w:t>
      </w:r>
      <w:r>
        <w:rPr>
          <w:rFonts w:hint="default" w:ascii="Times New Roman" w:hAnsi="Times New Roman" w:eastAsia="方正仿宋简体" w:cs="Times New Roman"/>
          <w:color w:val="auto"/>
          <w:sz w:val="32"/>
          <w:szCs w:val="32"/>
          <w:highlight w:val="none"/>
          <w:lang w:eastAsia="zh-CN"/>
        </w:rPr>
        <w:t>%（按可比价计算，下同）。其中，第一产业增加值增长</w:t>
      </w:r>
      <w:r>
        <w:rPr>
          <w:rFonts w:hint="eastAsia" w:ascii="Times New Roman" w:hAnsi="Times New Roman" w:eastAsia="方正仿宋简体" w:cs="Times New Roman"/>
          <w:color w:val="auto"/>
          <w:sz w:val="32"/>
          <w:szCs w:val="32"/>
          <w:highlight w:val="none"/>
          <w:lang w:val="en-US" w:eastAsia="zh-CN"/>
        </w:rPr>
        <w:t>5.7</w:t>
      </w:r>
      <w:r>
        <w:rPr>
          <w:rFonts w:hint="default" w:ascii="Times New Roman" w:hAnsi="Times New Roman" w:eastAsia="方正仿宋简体" w:cs="Times New Roman"/>
          <w:color w:val="auto"/>
          <w:sz w:val="32"/>
          <w:szCs w:val="32"/>
          <w:highlight w:val="none"/>
          <w:lang w:eastAsia="zh-CN"/>
        </w:rPr>
        <w:t>%；第二产业增加值增长</w:t>
      </w:r>
      <w:r>
        <w:rPr>
          <w:rFonts w:hint="eastAsia" w:ascii="Times New Roman" w:hAnsi="Times New Roman" w:eastAsia="方正仿宋简体" w:cs="Times New Roman"/>
          <w:color w:val="auto"/>
          <w:sz w:val="32"/>
          <w:szCs w:val="32"/>
          <w:highlight w:val="none"/>
          <w:lang w:val="en-US" w:eastAsia="zh-CN"/>
        </w:rPr>
        <w:t>17.2</w:t>
      </w:r>
      <w:r>
        <w:rPr>
          <w:rFonts w:hint="default" w:ascii="Times New Roman" w:hAnsi="Times New Roman" w:eastAsia="方正仿宋简体" w:cs="Times New Roman"/>
          <w:color w:val="auto"/>
          <w:sz w:val="32"/>
          <w:szCs w:val="32"/>
          <w:highlight w:val="none"/>
          <w:lang w:eastAsia="zh-CN"/>
        </w:rPr>
        <w:t>%；第三产业增加值增长</w:t>
      </w:r>
      <w:r>
        <w:rPr>
          <w:rFonts w:hint="eastAsia" w:ascii="Times New Roman" w:hAnsi="Times New Roman" w:eastAsia="方正仿宋简体" w:cs="Times New Roman"/>
          <w:color w:val="auto"/>
          <w:sz w:val="32"/>
          <w:szCs w:val="32"/>
          <w:highlight w:val="none"/>
          <w:lang w:val="en-US" w:eastAsia="zh-CN"/>
        </w:rPr>
        <w:t>4.2</w:t>
      </w:r>
      <w:r>
        <w:rPr>
          <w:rFonts w:hint="default" w:ascii="Times New Roman" w:hAnsi="Times New Roman" w:eastAsia="方正仿宋简体" w:cs="Times New Roman"/>
          <w:color w:val="auto"/>
          <w:sz w:val="32"/>
          <w:szCs w:val="32"/>
          <w:highlight w:val="none"/>
          <w:lang w:eastAsia="zh-CN"/>
        </w:rPr>
        <w:t>%</w:t>
      </w:r>
      <w:r>
        <w:rPr>
          <w:rFonts w:hint="eastAsia"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lang w:eastAsia="zh-CN"/>
        </w:rPr>
        <w:t>分季度看，一季度地区生产总值同比增长</w:t>
      </w:r>
      <w:r>
        <w:rPr>
          <w:rFonts w:hint="eastAsia" w:ascii="Times New Roman" w:hAnsi="Times New Roman" w:eastAsia="方正仿宋简体" w:cs="Times New Roman"/>
          <w:color w:val="auto"/>
          <w:sz w:val="32"/>
          <w:szCs w:val="32"/>
          <w:highlight w:val="none"/>
          <w:lang w:val="en-US" w:eastAsia="zh-CN"/>
        </w:rPr>
        <w:t>4.7</w:t>
      </w:r>
      <w:r>
        <w:rPr>
          <w:rFonts w:hint="default" w:ascii="Times New Roman" w:hAnsi="Times New Roman" w:eastAsia="方正仿宋简体" w:cs="Times New Roman"/>
          <w:color w:val="auto"/>
          <w:sz w:val="32"/>
          <w:szCs w:val="32"/>
          <w:highlight w:val="none"/>
          <w:lang w:eastAsia="zh-CN"/>
        </w:rPr>
        <w:t>%，上半年增长</w:t>
      </w:r>
      <w:r>
        <w:rPr>
          <w:rFonts w:hint="eastAsia" w:ascii="Times New Roman" w:hAnsi="Times New Roman" w:eastAsia="方正仿宋简体" w:cs="Times New Roman"/>
          <w:color w:val="auto"/>
          <w:sz w:val="32"/>
          <w:szCs w:val="32"/>
          <w:highlight w:val="none"/>
          <w:lang w:val="en-US" w:eastAsia="zh-CN"/>
        </w:rPr>
        <w:t>6.1</w:t>
      </w:r>
      <w:r>
        <w:rPr>
          <w:rFonts w:hint="default" w:ascii="Times New Roman" w:hAnsi="Times New Roman" w:eastAsia="方正仿宋简体" w:cs="Times New Roman"/>
          <w:color w:val="auto"/>
          <w:sz w:val="32"/>
          <w:szCs w:val="32"/>
          <w:highlight w:val="none"/>
          <w:lang w:eastAsia="zh-CN"/>
        </w:rPr>
        <w:t>%，前三季度增长</w:t>
      </w:r>
      <w:r>
        <w:rPr>
          <w:rFonts w:hint="eastAsia" w:ascii="Times New Roman" w:hAnsi="Times New Roman" w:eastAsia="方正仿宋简体" w:cs="Times New Roman"/>
          <w:color w:val="auto"/>
          <w:sz w:val="32"/>
          <w:szCs w:val="32"/>
          <w:highlight w:val="none"/>
          <w:lang w:val="en-US" w:eastAsia="zh-CN"/>
        </w:rPr>
        <w:t>6.4</w:t>
      </w:r>
      <w:r>
        <w:rPr>
          <w:rFonts w:hint="default" w:ascii="Times New Roman" w:hAnsi="Times New Roman" w:eastAsia="方正仿宋简体" w:cs="Times New Roman"/>
          <w:color w:val="auto"/>
          <w:sz w:val="32"/>
          <w:szCs w:val="32"/>
          <w:highlight w:val="none"/>
          <w:lang w:eastAsia="zh-CN"/>
        </w:rPr>
        <w:t>%，全年增长</w:t>
      </w:r>
      <w:r>
        <w:rPr>
          <w:rFonts w:hint="eastAsia" w:ascii="Times New Roman" w:hAnsi="Times New Roman" w:eastAsia="方正仿宋简体" w:cs="Times New Roman"/>
          <w:color w:val="auto"/>
          <w:sz w:val="32"/>
          <w:szCs w:val="32"/>
          <w:highlight w:val="none"/>
          <w:lang w:val="en-US" w:eastAsia="zh-CN"/>
        </w:rPr>
        <w:t>6.6</w:t>
      </w:r>
      <w:r>
        <w:rPr>
          <w:rFonts w:hint="default" w:ascii="Times New Roman" w:hAnsi="Times New Roman" w:eastAsia="方正仿宋简体" w:cs="Times New Roman"/>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0000FF"/>
          <w:sz w:val="32"/>
          <w:szCs w:val="32"/>
          <w:highlight w:val="none"/>
        </w:rPr>
      </w:pPr>
      <w:r>
        <w:rPr>
          <w:rFonts w:hint="default" w:ascii="Times New Roman" w:hAnsi="Times New Roman" w:eastAsia="方正仿宋简体" w:cs="Times New Roman"/>
          <w:color w:val="auto"/>
          <w:sz w:val="32"/>
          <w:szCs w:val="32"/>
          <w:highlight w:val="none"/>
          <w:lang w:eastAsia="zh-CN"/>
        </w:rPr>
        <w:t>全</w:t>
      </w:r>
      <w:r>
        <w:rPr>
          <w:rFonts w:hint="default" w:ascii="Times New Roman" w:hAnsi="Times New Roman" w:eastAsia="方正仿宋简体" w:cs="Times New Roman"/>
          <w:color w:val="auto"/>
          <w:sz w:val="32"/>
          <w:szCs w:val="32"/>
          <w:highlight w:val="none"/>
        </w:rPr>
        <w:t>年城镇新增就业2.</w:t>
      </w:r>
      <w:r>
        <w:rPr>
          <w:rFonts w:hint="eastAsia" w:ascii="Times New Roman" w:hAnsi="Times New Roman" w:eastAsia="方正仿宋简体" w:cs="Times New Roman"/>
          <w:color w:val="auto"/>
          <w:sz w:val="32"/>
          <w:szCs w:val="32"/>
          <w:highlight w:val="none"/>
          <w:lang w:val="en-US" w:eastAsia="zh-CN"/>
        </w:rPr>
        <w:t>67</w:t>
      </w:r>
      <w:r>
        <w:rPr>
          <w:rFonts w:hint="default" w:ascii="Times New Roman" w:hAnsi="Times New Roman" w:eastAsia="方正仿宋简体" w:cs="Times New Roman"/>
          <w:color w:val="auto"/>
          <w:sz w:val="32"/>
          <w:szCs w:val="32"/>
          <w:highlight w:val="none"/>
        </w:rPr>
        <w:t>万人。全年</w:t>
      </w:r>
      <w:r>
        <w:rPr>
          <w:rFonts w:hint="eastAsia" w:ascii="Times New Roman" w:hAnsi="Times New Roman" w:eastAsia="方正仿宋简体" w:cs="Times New Roman"/>
          <w:color w:val="auto"/>
          <w:sz w:val="32"/>
          <w:szCs w:val="32"/>
          <w:highlight w:val="none"/>
          <w:lang w:val="en-US" w:eastAsia="zh-CN"/>
        </w:rPr>
        <w:t>和田市</w:t>
      </w:r>
      <w:r>
        <w:rPr>
          <w:rFonts w:hint="default" w:ascii="Times New Roman" w:hAnsi="Times New Roman" w:eastAsia="方正仿宋简体" w:cs="Times New Roman"/>
          <w:color w:val="auto"/>
          <w:sz w:val="32"/>
          <w:szCs w:val="32"/>
          <w:highlight w:val="none"/>
        </w:rPr>
        <w:t>居民消费价格总指数（CPI)</w:t>
      </w:r>
      <w:r>
        <w:rPr>
          <w:rFonts w:hint="default" w:ascii="Times New Roman" w:hAnsi="Times New Roman" w:eastAsia="方正仿宋简体" w:cs="Times New Roman"/>
          <w:color w:val="auto"/>
          <w:sz w:val="32"/>
          <w:szCs w:val="32"/>
          <w:highlight w:val="none"/>
          <w:lang w:eastAsia="zh-CN"/>
        </w:rPr>
        <w:t>累计</w:t>
      </w:r>
      <w:r>
        <w:rPr>
          <w:rFonts w:hint="eastAsia" w:ascii="Times New Roman" w:hAnsi="Times New Roman" w:eastAsia="方正仿宋简体" w:cs="Times New Roman"/>
          <w:color w:val="auto"/>
          <w:sz w:val="32"/>
          <w:szCs w:val="32"/>
          <w:highlight w:val="none"/>
          <w:lang w:val="en-US" w:eastAsia="zh-CN"/>
        </w:rPr>
        <w:t>上涨0.6</w:t>
      </w:r>
      <w:r>
        <w:rPr>
          <w:rFonts w:hint="default" w:ascii="Times New Roman" w:hAnsi="Times New Roman" w:eastAsia="方正仿宋简体" w:cs="Times New Roman"/>
          <w:color w:val="auto"/>
          <w:sz w:val="32"/>
          <w:szCs w:val="32"/>
          <w:highlight w:val="none"/>
        </w:rPr>
        <w:t>%。分类别看，</w:t>
      </w:r>
      <w:r>
        <w:rPr>
          <w:rFonts w:hint="default" w:ascii="Times New Roman" w:hAnsi="Times New Roman" w:eastAsia="方正仿宋简体" w:cs="Times New Roman"/>
          <w:color w:val="auto"/>
          <w:sz w:val="32"/>
          <w:szCs w:val="32"/>
          <w:highlight w:val="none"/>
          <w:lang w:val="en-US" w:eastAsia="zh-CN"/>
        </w:rPr>
        <w:t>食品烟酒类累计</w:t>
      </w:r>
      <w:r>
        <w:rPr>
          <w:rFonts w:hint="eastAsia" w:ascii="Times New Roman" w:hAnsi="Times New Roman" w:eastAsia="方正仿宋简体" w:cs="Times New Roman"/>
          <w:color w:val="auto"/>
          <w:sz w:val="32"/>
          <w:szCs w:val="32"/>
          <w:highlight w:val="none"/>
          <w:lang w:val="en-US" w:eastAsia="zh-CN"/>
        </w:rPr>
        <w:t>上涨1.6</w:t>
      </w:r>
      <w:r>
        <w:rPr>
          <w:rFonts w:hint="default" w:ascii="Times New Roman" w:hAnsi="Times New Roman" w:eastAsia="方正仿宋简体" w:cs="Times New Roman"/>
          <w:color w:val="auto"/>
          <w:sz w:val="32"/>
          <w:szCs w:val="32"/>
          <w:highlight w:val="none"/>
          <w:lang w:val="en-US" w:eastAsia="zh-CN"/>
        </w:rPr>
        <w:t>%；衣着类累计上涨</w:t>
      </w:r>
      <w:r>
        <w:rPr>
          <w:rFonts w:hint="eastAsia" w:ascii="Times New Roman" w:hAnsi="Times New Roman" w:eastAsia="方正仿宋简体" w:cs="Times New Roman"/>
          <w:color w:val="auto"/>
          <w:sz w:val="32"/>
          <w:szCs w:val="32"/>
          <w:highlight w:val="none"/>
          <w:lang w:val="en-US" w:eastAsia="zh-CN"/>
        </w:rPr>
        <w:t>3.8%</w:t>
      </w:r>
      <w:r>
        <w:rPr>
          <w:rFonts w:hint="default" w:ascii="Times New Roman" w:hAnsi="Times New Roman" w:eastAsia="方正仿宋简体" w:cs="Times New Roman"/>
          <w:color w:val="auto"/>
          <w:sz w:val="32"/>
          <w:szCs w:val="32"/>
          <w:highlight w:val="none"/>
          <w:lang w:val="en-US" w:eastAsia="zh-CN"/>
        </w:rPr>
        <w:t>；居住类累计</w:t>
      </w:r>
      <w:r>
        <w:rPr>
          <w:rFonts w:hint="eastAsia" w:ascii="Times New Roman" w:hAnsi="Times New Roman" w:eastAsia="方正仿宋简体" w:cs="Times New Roman"/>
          <w:color w:val="auto"/>
          <w:sz w:val="32"/>
          <w:szCs w:val="32"/>
          <w:highlight w:val="none"/>
          <w:lang w:val="en-US" w:eastAsia="zh-CN"/>
        </w:rPr>
        <w:t>下降0.4</w:t>
      </w:r>
      <w:r>
        <w:rPr>
          <w:rFonts w:hint="default" w:ascii="Times New Roman" w:hAnsi="Times New Roman" w:eastAsia="方正仿宋简体" w:cs="Times New Roman"/>
          <w:color w:val="auto"/>
          <w:sz w:val="32"/>
          <w:szCs w:val="32"/>
          <w:highlight w:val="none"/>
          <w:lang w:val="en-US" w:eastAsia="zh-CN"/>
        </w:rPr>
        <w:t>%；生活用品及服务类累计</w:t>
      </w:r>
      <w:r>
        <w:rPr>
          <w:rFonts w:hint="eastAsia" w:ascii="Times New Roman" w:hAnsi="Times New Roman" w:eastAsia="方正仿宋简体" w:cs="Times New Roman"/>
          <w:color w:val="auto"/>
          <w:sz w:val="32"/>
          <w:szCs w:val="32"/>
          <w:highlight w:val="none"/>
          <w:lang w:val="en-US" w:eastAsia="zh-CN"/>
        </w:rPr>
        <w:t>下降0.2</w:t>
      </w:r>
      <w:r>
        <w:rPr>
          <w:rFonts w:hint="default" w:ascii="Times New Roman" w:hAnsi="Times New Roman" w:eastAsia="方正仿宋简体" w:cs="Times New Roman"/>
          <w:color w:val="auto"/>
          <w:sz w:val="32"/>
          <w:szCs w:val="32"/>
          <w:highlight w:val="none"/>
          <w:lang w:val="en-US" w:eastAsia="zh-CN"/>
        </w:rPr>
        <w:t>%；交通通信类累计</w:t>
      </w:r>
      <w:r>
        <w:rPr>
          <w:rFonts w:hint="eastAsia" w:ascii="Times New Roman" w:hAnsi="Times New Roman" w:eastAsia="方正仿宋简体" w:cs="Times New Roman"/>
          <w:color w:val="auto"/>
          <w:sz w:val="32"/>
          <w:szCs w:val="32"/>
          <w:highlight w:val="none"/>
          <w:lang w:val="en-US" w:eastAsia="zh-CN"/>
        </w:rPr>
        <w:t>下降2.5</w:t>
      </w:r>
      <w:r>
        <w:rPr>
          <w:rFonts w:hint="default" w:ascii="Times New Roman" w:hAnsi="Times New Roman" w:eastAsia="方正仿宋简体" w:cs="Times New Roman"/>
          <w:color w:val="auto"/>
          <w:sz w:val="32"/>
          <w:szCs w:val="32"/>
          <w:highlight w:val="none"/>
          <w:lang w:val="en-US" w:eastAsia="zh-CN"/>
        </w:rPr>
        <w:t>%；教育文化和娱乐类累计</w:t>
      </w:r>
      <w:r>
        <w:rPr>
          <w:rFonts w:hint="eastAsia" w:ascii="Times New Roman" w:hAnsi="Times New Roman" w:eastAsia="方正仿宋简体" w:cs="Times New Roman"/>
          <w:color w:val="auto"/>
          <w:sz w:val="32"/>
          <w:szCs w:val="32"/>
          <w:highlight w:val="none"/>
          <w:lang w:val="en-US" w:eastAsia="zh-CN"/>
        </w:rPr>
        <w:t>上涨1.0</w:t>
      </w:r>
      <w:r>
        <w:rPr>
          <w:rFonts w:hint="default" w:ascii="Times New Roman" w:hAnsi="Times New Roman" w:eastAsia="方正仿宋简体" w:cs="Times New Roman"/>
          <w:color w:val="auto"/>
          <w:sz w:val="32"/>
          <w:szCs w:val="32"/>
          <w:highlight w:val="none"/>
          <w:lang w:val="en-US" w:eastAsia="zh-CN"/>
        </w:rPr>
        <w:t>%；医疗保健类累计</w:t>
      </w:r>
      <w:r>
        <w:rPr>
          <w:rFonts w:hint="eastAsia" w:ascii="Times New Roman" w:hAnsi="Times New Roman" w:eastAsia="方正仿宋简体" w:cs="Times New Roman"/>
          <w:color w:val="auto"/>
          <w:sz w:val="32"/>
          <w:szCs w:val="32"/>
          <w:highlight w:val="none"/>
          <w:lang w:val="en-US" w:eastAsia="zh-CN"/>
        </w:rPr>
        <w:t>下降1.0</w:t>
      </w:r>
      <w:r>
        <w:rPr>
          <w:rFonts w:hint="default" w:ascii="Times New Roman" w:hAnsi="Times New Roman" w:eastAsia="方正仿宋简体" w:cs="Times New Roman"/>
          <w:color w:val="auto"/>
          <w:sz w:val="32"/>
          <w:szCs w:val="32"/>
          <w:highlight w:val="none"/>
          <w:lang w:val="en-US" w:eastAsia="zh-CN"/>
        </w:rPr>
        <w:t>%；其他用品及服务类累计上涨</w:t>
      </w:r>
      <w:r>
        <w:rPr>
          <w:rFonts w:hint="eastAsia" w:ascii="Times New Roman" w:hAnsi="Times New Roman" w:eastAsia="方正仿宋简体" w:cs="Times New Roman"/>
          <w:color w:val="auto"/>
          <w:sz w:val="32"/>
          <w:szCs w:val="32"/>
          <w:highlight w:val="none"/>
          <w:lang w:val="en-US" w:eastAsia="zh-CN"/>
        </w:rPr>
        <w:t>10.2</w:t>
      </w:r>
      <w:r>
        <w:rPr>
          <w:rFonts w:hint="default" w:ascii="Times New Roman" w:hAnsi="Times New Roman" w:eastAsia="方正仿宋简体" w:cs="Times New Roman"/>
          <w:color w:val="auto"/>
          <w:sz w:val="32"/>
          <w:szCs w:val="32"/>
          <w:highlight w:val="none"/>
          <w:lang w:val="en-US" w:eastAsia="zh-CN"/>
        </w:rPr>
        <w:t>%。</w:t>
      </w:r>
    </w:p>
    <w:tbl>
      <w:tblPr>
        <w:tblStyle w:val="9"/>
        <w:tblW w:w="8231" w:type="dxa"/>
        <w:tblInd w:w="0" w:type="dxa"/>
        <w:shd w:val="clear" w:color="auto" w:fill="auto"/>
        <w:tblLayout w:type="fixed"/>
        <w:tblCellMar>
          <w:top w:w="0" w:type="dxa"/>
          <w:left w:w="0" w:type="dxa"/>
          <w:bottom w:w="0" w:type="dxa"/>
          <w:right w:w="0" w:type="dxa"/>
        </w:tblCellMar>
      </w:tblPr>
      <w:tblGrid>
        <w:gridCol w:w="2781"/>
        <w:gridCol w:w="2775"/>
        <w:gridCol w:w="2675"/>
      </w:tblGrid>
      <w:tr>
        <w:tblPrEx>
          <w:tblLayout w:type="fixed"/>
          <w:tblCellMar>
            <w:top w:w="0" w:type="dxa"/>
            <w:left w:w="0" w:type="dxa"/>
            <w:bottom w:w="0" w:type="dxa"/>
            <w:right w:w="0" w:type="dxa"/>
          </w:tblCellMar>
        </w:tblPrEx>
        <w:trPr>
          <w:trHeight w:val="363" w:hRule="exact"/>
        </w:trPr>
        <w:tc>
          <w:tcPr>
            <w:tcW w:w="8231" w:type="dxa"/>
            <w:gridSpan w:val="3"/>
            <w:tcBorders>
              <w:top w:val="nil"/>
              <w:left w:val="nil"/>
              <w:bottom w:val="nil"/>
              <w:right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u w:val="none"/>
              </w:rPr>
            </w:pPr>
            <w:r>
              <w:rPr>
                <w:rFonts w:hint="eastAsia" w:ascii="方正小标宋简体" w:hAnsi="方正小标宋简体" w:eastAsia="方正小标宋简体" w:cs="方正小标宋简体"/>
                <w:i w:val="0"/>
                <w:color w:val="auto"/>
                <w:kern w:val="0"/>
                <w:sz w:val="28"/>
                <w:szCs w:val="28"/>
                <w:u w:val="none"/>
                <w:lang w:val="en-US" w:eastAsia="zh-CN" w:bidi="ar"/>
              </w:rPr>
              <w:t>2025年居民消费价格比上年涨跌幅度</w:t>
            </w:r>
          </w:p>
        </w:tc>
      </w:tr>
      <w:tr>
        <w:tblPrEx>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指  标</w:t>
            </w:r>
          </w:p>
        </w:tc>
        <w:tc>
          <w:tcPr>
            <w:tcW w:w="277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价格指数（1—12月）</w:t>
            </w:r>
          </w:p>
        </w:tc>
        <w:tc>
          <w:tcPr>
            <w:tcW w:w="267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比上年涨跌幅度（%）</w:t>
            </w:r>
          </w:p>
        </w:tc>
      </w:tr>
      <w:tr>
        <w:tblPrEx>
          <w:shd w:val="clear" w:color="auto" w:fill="auto"/>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居民消费价格</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100.6</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0.6</w:t>
            </w:r>
          </w:p>
        </w:tc>
      </w:tr>
      <w:tr>
        <w:tblPrEx>
          <w:shd w:val="clear" w:color="auto" w:fill="auto"/>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其中：食品烟酒</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2"/>
                <w:sz w:val="24"/>
                <w:szCs w:val="24"/>
                <w:u w:val="none"/>
                <w:lang w:val="en-US" w:eastAsia="zh-CN" w:bidi="ar-SA"/>
              </w:rPr>
            </w:pPr>
            <w:r>
              <w:rPr>
                <w:rFonts w:hint="eastAsia" w:ascii="Times New Roman" w:hAnsi="Times New Roman" w:eastAsia="宋体" w:cs="Times New Roman"/>
                <w:i w:val="0"/>
                <w:color w:val="auto"/>
                <w:kern w:val="2"/>
                <w:sz w:val="24"/>
                <w:szCs w:val="24"/>
                <w:u w:val="none"/>
                <w:lang w:val="en-US" w:eastAsia="zh-CN" w:bidi="ar-SA"/>
              </w:rPr>
              <w:t>101.6</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1.6</w:t>
            </w:r>
          </w:p>
        </w:tc>
      </w:tr>
      <w:tr>
        <w:tblPrEx>
          <w:shd w:val="clear" w:color="auto" w:fill="auto"/>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衣  着</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2"/>
                <w:sz w:val="24"/>
                <w:szCs w:val="24"/>
                <w:u w:val="none"/>
                <w:lang w:val="en-US" w:eastAsia="zh-CN" w:bidi="ar-SA"/>
              </w:rPr>
            </w:pPr>
            <w:r>
              <w:rPr>
                <w:rFonts w:hint="eastAsia" w:ascii="Times New Roman" w:hAnsi="Times New Roman" w:eastAsia="宋体" w:cs="Times New Roman"/>
                <w:i w:val="0"/>
                <w:color w:val="auto"/>
                <w:kern w:val="2"/>
                <w:sz w:val="24"/>
                <w:szCs w:val="24"/>
                <w:u w:val="none"/>
                <w:lang w:val="en-US" w:eastAsia="zh-CN" w:bidi="ar-SA"/>
              </w:rPr>
              <w:t>103.8</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3.8</w:t>
            </w:r>
          </w:p>
        </w:tc>
      </w:tr>
      <w:tr>
        <w:tblPrEx>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居  住</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2"/>
                <w:sz w:val="24"/>
                <w:szCs w:val="24"/>
                <w:u w:val="none"/>
                <w:lang w:val="en-US" w:eastAsia="zh-CN" w:bidi="ar-SA"/>
              </w:rPr>
            </w:pPr>
            <w:r>
              <w:rPr>
                <w:rFonts w:hint="eastAsia" w:ascii="Times New Roman" w:hAnsi="Times New Roman" w:eastAsia="宋体" w:cs="Times New Roman"/>
                <w:i w:val="0"/>
                <w:color w:val="auto"/>
                <w:kern w:val="2"/>
                <w:sz w:val="24"/>
                <w:szCs w:val="24"/>
                <w:u w:val="none"/>
                <w:lang w:val="en-US" w:eastAsia="zh-CN" w:bidi="ar-SA"/>
              </w:rPr>
              <w:t>99.6</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-0.4</w:t>
            </w:r>
          </w:p>
        </w:tc>
      </w:tr>
      <w:tr>
        <w:tblPrEx>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生活用品及服务</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99.8</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-0.2</w:t>
            </w:r>
          </w:p>
        </w:tc>
      </w:tr>
      <w:tr>
        <w:tblPrEx>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交通通信</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97.5</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-2.5</w:t>
            </w:r>
          </w:p>
        </w:tc>
      </w:tr>
      <w:tr>
        <w:tblPrEx>
          <w:shd w:val="clear" w:color="auto" w:fill="auto"/>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教育文化娱乐</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101.0</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w:t>
            </w:r>
          </w:p>
        </w:tc>
      </w:tr>
      <w:tr>
        <w:tblPrEx>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医疗保健</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99.0</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w:t>
            </w:r>
          </w:p>
        </w:tc>
      </w:tr>
      <w:tr>
        <w:tblPrEx>
          <w:shd w:val="clear" w:color="auto" w:fill="auto"/>
          <w:tblLayout w:type="fixed"/>
          <w:tblCellMar>
            <w:top w:w="0" w:type="dxa"/>
            <w:left w:w="0" w:type="dxa"/>
            <w:bottom w:w="0" w:type="dxa"/>
            <w:right w:w="0" w:type="dxa"/>
          </w:tblCellMar>
        </w:tblPrEx>
        <w:trPr>
          <w:trHeight w:val="363"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其他用品及服务</w:t>
            </w:r>
          </w:p>
        </w:tc>
        <w:tc>
          <w:tcPr>
            <w:tcW w:w="27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110.2</w:t>
            </w:r>
          </w:p>
        </w:tc>
        <w:tc>
          <w:tcPr>
            <w:tcW w:w="2675"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10.2</w:t>
            </w:r>
          </w:p>
        </w:tc>
      </w:tr>
    </w:tbl>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000000" w:themeColor="text1"/>
          <w:sz w:val="32"/>
          <w:szCs w:val="32"/>
          <w:highlight w:val="none"/>
          <w14:textFill>
            <w14:solidFill>
              <w14:schemeClr w14:val="tx1"/>
            </w14:solidFill>
          </w14:textFill>
        </w:rPr>
      </w:pPr>
      <w:r>
        <w:rPr>
          <w:rFonts w:hint="eastAsia" w:ascii="黑体" w:hAnsi="黑体" w:eastAsia="黑体" w:cs="黑体"/>
          <w:color w:val="000000" w:themeColor="text1"/>
          <w:sz w:val="32"/>
          <w:szCs w:val="32"/>
          <w:highlight w:val="none"/>
          <w14:textFill>
            <w14:solidFill>
              <w14:schemeClr w14:val="tx1"/>
            </w14:solidFill>
          </w14:textFill>
        </w:rPr>
        <w:t>二、农业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全年农林牧渔业总产值比上年增长5.9%（按可比价计算，下同）。其中，农业产值增长5.7%；林业产值增长66.5%；畜牧业产值增长2.8%；渔业产值增长22.9%；农林牧渔专业及辅助性活动产值增长8.0%。</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kern w:val="2"/>
          <w:sz w:val="32"/>
          <w:szCs w:val="32"/>
          <w:highlight w:val="none"/>
          <w:lang w:val="en-US" w:eastAsia="zh-CN" w:bidi="ar-SA"/>
        </w:rPr>
      </w:pPr>
      <w:r>
        <w:rPr>
          <w:rFonts w:hint="default" w:ascii="Times New Roman" w:hAnsi="Times New Roman" w:eastAsia="方正仿宋简体" w:cs="Times New Roman"/>
          <w:color w:val="auto"/>
          <w:sz w:val="32"/>
          <w:szCs w:val="32"/>
          <w:highlight w:val="none"/>
          <w:lang w:val="en-US" w:eastAsia="zh-CN"/>
        </w:rPr>
        <w:t>全年粮食播种面积下降2.8%。其中，小麦播种面积增长1.5%；玉米播种面积下降11.4%。</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0000FF"/>
          <w:kern w:val="2"/>
          <w:sz w:val="32"/>
          <w:szCs w:val="32"/>
          <w:highlight w:val="none"/>
          <w:lang w:val="en-US" w:eastAsia="zh-CN" w:bidi="ar-SA"/>
        </w:rPr>
      </w:pPr>
      <w:r>
        <w:rPr>
          <w:rFonts w:hint="default" w:ascii="Times New Roman" w:hAnsi="Times New Roman" w:eastAsia="方正仿宋简体" w:cs="Times New Roman"/>
          <w:color w:val="auto"/>
          <w:kern w:val="2"/>
          <w:sz w:val="32"/>
          <w:szCs w:val="32"/>
          <w:highlight w:val="none"/>
          <w:lang w:val="en-US" w:eastAsia="zh-CN" w:bidi="ar-SA"/>
        </w:rPr>
        <w:t>全年特色林果产量比上年</w:t>
      </w:r>
      <w:r>
        <w:rPr>
          <w:rFonts w:hint="eastAsia" w:ascii="Times New Roman" w:hAnsi="Times New Roman" w:eastAsia="方正仿宋简体" w:cs="Times New Roman"/>
          <w:color w:val="auto"/>
          <w:kern w:val="2"/>
          <w:sz w:val="32"/>
          <w:szCs w:val="32"/>
          <w:highlight w:val="none"/>
          <w:lang w:val="en-US" w:eastAsia="zh-CN" w:bidi="ar-SA"/>
        </w:rPr>
        <w:t>增长6.1</w:t>
      </w:r>
      <w:r>
        <w:rPr>
          <w:rFonts w:hint="default" w:ascii="Times New Roman" w:hAnsi="Times New Roman" w:eastAsia="方正仿宋简体" w:cs="Times New Roman"/>
          <w:color w:val="auto"/>
          <w:kern w:val="2"/>
          <w:sz w:val="32"/>
          <w:szCs w:val="32"/>
          <w:highlight w:val="none"/>
          <w:lang w:val="en-US" w:eastAsia="zh-CN" w:bidi="ar-SA"/>
        </w:rPr>
        <w:t>%。其中，园林水果产量</w:t>
      </w:r>
      <w:r>
        <w:rPr>
          <w:rFonts w:hint="eastAsia" w:ascii="Times New Roman" w:hAnsi="Times New Roman" w:eastAsia="方正仿宋简体" w:cs="Times New Roman"/>
          <w:color w:val="auto"/>
          <w:kern w:val="2"/>
          <w:sz w:val="32"/>
          <w:szCs w:val="32"/>
          <w:highlight w:val="none"/>
          <w:lang w:val="en-US" w:eastAsia="zh-CN" w:bidi="ar-SA"/>
        </w:rPr>
        <w:t>增长7.9</w:t>
      </w:r>
      <w:r>
        <w:rPr>
          <w:rFonts w:hint="default" w:ascii="Times New Roman" w:hAnsi="Times New Roman" w:eastAsia="方正仿宋简体" w:cs="Times New Roman"/>
          <w:color w:val="auto"/>
          <w:kern w:val="2"/>
          <w:sz w:val="32"/>
          <w:szCs w:val="32"/>
          <w:highlight w:val="none"/>
          <w:lang w:val="en-US" w:eastAsia="zh-CN" w:bidi="ar-SA"/>
        </w:rPr>
        <w:t>%；坚果产量</w:t>
      </w:r>
      <w:r>
        <w:rPr>
          <w:rFonts w:hint="eastAsia" w:ascii="Times New Roman" w:hAnsi="Times New Roman" w:eastAsia="方正仿宋简体" w:cs="Times New Roman"/>
          <w:color w:val="auto"/>
          <w:kern w:val="2"/>
          <w:sz w:val="32"/>
          <w:szCs w:val="32"/>
          <w:highlight w:val="none"/>
          <w:lang w:val="en-US" w:eastAsia="zh-CN" w:bidi="ar-SA"/>
        </w:rPr>
        <w:t>增长8.5</w:t>
      </w:r>
      <w:r>
        <w:rPr>
          <w:rFonts w:hint="default" w:ascii="Times New Roman" w:hAnsi="Times New Roman" w:eastAsia="方正仿宋简体" w:cs="Times New Roman"/>
          <w:color w:val="auto"/>
          <w:kern w:val="2"/>
          <w:sz w:val="32"/>
          <w:szCs w:val="32"/>
          <w:highlight w:val="none"/>
          <w:lang w:val="en-US" w:eastAsia="zh-CN" w:bidi="ar-SA"/>
        </w:rPr>
        <w:t>%；瓜果类产量下降</w:t>
      </w:r>
      <w:r>
        <w:rPr>
          <w:rFonts w:hint="eastAsia" w:ascii="Times New Roman" w:hAnsi="Times New Roman" w:eastAsia="方正仿宋简体" w:cs="Times New Roman"/>
          <w:color w:val="auto"/>
          <w:kern w:val="2"/>
          <w:sz w:val="32"/>
          <w:szCs w:val="32"/>
          <w:highlight w:val="none"/>
          <w:lang w:val="en-US" w:eastAsia="zh-CN" w:bidi="ar-SA"/>
        </w:rPr>
        <w:t>7.3</w:t>
      </w:r>
      <w:r>
        <w:rPr>
          <w:rFonts w:hint="default" w:ascii="Times New Roman" w:hAnsi="Times New Roman" w:eastAsia="方正仿宋简体" w:cs="Times New Roman"/>
          <w:color w:val="auto"/>
          <w:kern w:val="2"/>
          <w:sz w:val="32"/>
          <w:szCs w:val="32"/>
          <w:highlight w:val="none"/>
          <w:lang w:val="en-US" w:eastAsia="zh-CN" w:bidi="ar-SA"/>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简体" w:cs="Times New Roman"/>
          <w:color w:val="auto"/>
          <w:kern w:val="0"/>
          <w:sz w:val="32"/>
          <w:highlight w:val="none"/>
          <w:lang w:val="en-US" w:eastAsia="zh-CN"/>
        </w:rPr>
      </w:pPr>
      <w:r>
        <w:rPr>
          <w:rFonts w:hint="eastAsia" w:ascii="Times New Roman" w:hAnsi="Times New Roman" w:eastAsia="方正仿宋简体" w:cs="Times New Roman"/>
          <w:color w:val="auto"/>
          <w:kern w:val="0"/>
          <w:sz w:val="32"/>
          <w:highlight w:val="none"/>
          <w:lang w:val="en-US" w:eastAsia="zh-CN"/>
        </w:rPr>
        <w:t>全年猪肉产量0.55万吨；牛肉产量2.94万吨；羊肉产量6.63万吨；禽肉2.20万吨；禽蛋4.13万吨；生牛奶2.69万吨。年末生猪存栏4.83万头；牛存栏27.83万头；羊存栏398.85万只；活家禽存栏651.30万只。年内生猪出栏6.78万头；牛出栏16.67万头；羊出栏349.86万只；活家禽出栏1228.53万只。</w:t>
      </w:r>
    </w:p>
    <w:p>
      <w:pPr>
        <w:keepNext w:val="0"/>
        <w:keepLines w:val="0"/>
        <w:pageBreakBefore w:val="0"/>
        <w:widowControl w:val="0"/>
        <w:kinsoku/>
        <w:wordWrap/>
        <w:overflowPunct/>
        <w:topLinePunct w:val="0"/>
        <w:autoSpaceDE/>
        <w:autoSpaceDN/>
        <w:bidi w:val="0"/>
        <w:adjustRightInd/>
        <w:snapToGrid/>
        <w:spacing w:line="560" w:lineRule="exact"/>
        <w:ind w:firstLine="652"/>
        <w:textAlignment w:val="auto"/>
        <w:rPr>
          <w:rFonts w:hint="eastAsia" w:ascii="Times New Roman" w:hAnsi="Times New Roman" w:eastAsia="方正仿宋简体" w:cs="Times New Roman"/>
          <w:color w:val="auto"/>
          <w:kern w:val="0"/>
          <w:sz w:val="32"/>
          <w:highlight w:val="none"/>
          <w:lang w:val="en-US" w:eastAsia="zh-CN"/>
        </w:rPr>
      </w:pPr>
      <w:r>
        <w:rPr>
          <w:rFonts w:hint="eastAsia" w:ascii="Times New Roman" w:hAnsi="Times New Roman" w:eastAsia="方正仿宋简体" w:cs="Times New Roman"/>
          <w:color w:val="auto"/>
          <w:kern w:val="0"/>
          <w:sz w:val="32"/>
          <w:highlight w:val="none"/>
          <w:lang w:val="en-US" w:eastAsia="zh-CN"/>
        </w:rPr>
        <w:t>年末农业机械总动力147.94万千瓦，比上年增长5.5%。其中，柴油机动力131.04万千瓦，增长6.2%，占总动力的88.6%。拥有大中型拖拉机2.58万台，增长1.1%；小型拖拉机0.14万台，下降25.1%。机耕面积481.21万亩，下降2.6%；机播面积449.03万亩，增长5.9%；机收面积420.31万亩，增长7.1%。</w:t>
      </w:r>
    </w:p>
    <w:p>
      <w:pPr>
        <w:keepNext w:val="0"/>
        <w:keepLines w:val="0"/>
        <w:pageBreakBefore w:val="0"/>
        <w:widowControl w:val="0"/>
        <w:kinsoku/>
        <w:wordWrap/>
        <w:overflowPunct/>
        <w:topLinePunct w:val="0"/>
        <w:autoSpaceDE/>
        <w:autoSpaceDN/>
        <w:bidi w:val="0"/>
        <w:adjustRightInd/>
        <w:snapToGrid/>
        <w:spacing w:line="560" w:lineRule="exact"/>
        <w:ind w:firstLine="652"/>
        <w:textAlignment w:val="auto"/>
        <w:rPr>
          <w:rFonts w:hint="default" w:ascii="Times New Roman" w:hAnsi="Times New Roman" w:eastAsia="黑体" w:cs="Times New Roman"/>
          <w:color w:val="auto"/>
          <w:sz w:val="32"/>
          <w:szCs w:val="32"/>
          <w:highlight w:val="none"/>
        </w:rPr>
      </w:pPr>
      <w:r>
        <w:rPr>
          <w:rFonts w:hint="eastAsia" w:ascii="Times New Roman" w:hAnsi="Times New Roman" w:eastAsia="方正仿宋简体" w:cs="Times New Roman"/>
          <w:color w:val="auto"/>
          <w:kern w:val="0"/>
          <w:sz w:val="32"/>
          <w:highlight w:val="none"/>
          <w:lang w:val="en-US" w:eastAsia="zh-CN"/>
        </w:rPr>
        <w:t>中草药材播种面积比上年增长33.5%。其中，肉苁蓉（大芸）播种面积占中草药材播种面积的67.4%，增长52.7%，产量比上年增长10.8%。</w:t>
      </w:r>
    </w:p>
    <w:p>
      <w:pPr>
        <w:keepNext w:val="0"/>
        <w:keepLines w:val="0"/>
        <w:pageBreakBefore w:val="0"/>
        <w:widowControl w:val="0"/>
        <w:kinsoku/>
        <w:wordWrap/>
        <w:overflowPunct/>
        <w:topLinePunct w:val="0"/>
        <w:autoSpaceDE/>
        <w:autoSpaceDN/>
        <w:bidi w:val="0"/>
        <w:adjustRightInd/>
        <w:snapToGrid/>
        <w:spacing w:line="494" w:lineRule="exact"/>
        <w:ind w:firstLine="653"/>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三、工业和建筑业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kern w:val="0"/>
          <w:sz w:val="32"/>
          <w:highlight w:val="none"/>
          <w:lang w:val="en-US" w:eastAsia="zh-CN"/>
        </w:rPr>
      </w:pPr>
      <w:r>
        <w:rPr>
          <w:rFonts w:hint="default" w:ascii="Times New Roman" w:hAnsi="Times New Roman" w:eastAsia="方正仿宋简体" w:cs="Times New Roman"/>
          <w:color w:val="auto"/>
          <w:kern w:val="0"/>
          <w:sz w:val="32"/>
          <w:highlight w:val="none"/>
          <w:lang w:val="en-US" w:eastAsia="zh-CN"/>
        </w:rPr>
        <w:t>全年全部工业增加值比上年增长54.0%（按可比价计算，下同）。其中，规模以上工业增加值增长63.2%。在规模以上工业中，分规模看，中型企业增长107.3%；小微型企业增长56.0%。分工业门类看，采矿业增长124.6%；制造业增长23.3%；电力、热力、燃气及水的生产和供应业增长46.4%。分轻重工业看，轻工业下降9.5%；重工业增长85.0%</w:t>
      </w:r>
      <w:r>
        <w:rPr>
          <w:rFonts w:hint="eastAsia" w:ascii="Times New Roman" w:hAnsi="Times New Roman" w:eastAsia="方正仿宋简体" w:cs="Times New Roman"/>
          <w:color w:val="auto"/>
          <w:kern w:val="0"/>
          <w:sz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494" w:lineRule="exact"/>
        <w:ind w:firstLine="640" w:firstLineChars="200"/>
        <w:textAlignment w:val="auto"/>
        <w:rPr>
          <w:rFonts w:hint="default" w:ascii="Times New Roman" w:hAnsi="Times New Roman" w:eastAsia="方正仿宋简体" w:cs="Times New Roman"/>
          <w:color w:val="auto"/>
          <w:kern w:val="0"/>
          <w:sz w:val="32"/>
          <w:highlight w:val="none"/>
          <w:lang w:val="en-US" w:eastAsia="zh-CN"/>
        </w:rPr>
      </w:pPr>
      <w:r>
        <w:rPr>
          <w:rFonts w:hint="default" w:ascii="Times New Roman" w:hAnsi="Times New Roman" w:eastAsia="方正仿宋简体" w:cs="Times New Roman"/>
          <w:color w:val="auto"/>
          <w:kern w:val="0"/>
          <w:sz w:val="32"/>
          <w:highlight w:val="none"/>
          <w:lang w:val="en-US" w:eastAsia="zh-CN"/>
        </w:rPr>
        <w:t>在统计的45种工业产品中有27种产品的产量实现增长，增长面60.0%。</w:t>
      </w:r>
    </w:p>
    <w:p>
      <w:pPr>
        <w:keepNext w:val="0"/>
        <w:keepLines w:val="0"/>
        <w:pageBreakBefore w:val="0"/>
        <w:widowControl w:val="0"/>
        <w:kinsoku/>
        <w:wordWrap/>
        <w:overflowPunct/>
        <w:topLinePunct w:val="0"/>
        <w:autoSpaceDE/>
        <w:autoSpaceDN/>
        <w:bidi w:val="0"/>
        <w:adjustRightInd/>
        <w:snapToGrid/>
        <w:spacing w:line="494" w:lineRule="exact"/>
        <w:ind w:firstLine="640" w:firstLineChars="200"/>
        <w:textAlignment w:val="auto"/>
        <w:rPr>
          <w:rFonts w:hint="eastAsia"/>
          <w:lang w:val="en-US" w:eastAsia="zh-CN"/>
        </w:rPr>
      </w:pPr>
      <w:r>
        <w:rPr>
          <w:rFonts w:hint="eastAsia" w:ascii="仿宋_GB2312" w:hAnsi="仿宋_GB2312" w:eastAsia="仿宋_GB2312" w:cs="仿宋_GB2312"/>
          <w:b w:val="0"/>
          <w:bCs w:val="0"/>
          <w:color w:val="auto"/>
          <w:kern w:val="2"/>
          <w:sz w:val="32"/>
          <w:szCs w:val="32"/>
          <w:lang w:val="en-US" w:eastAsia="zh-CN" w:bidi="ar-SA"/>
        </w:rPr>
        <w:t> </w:t>
      </w:r>
      <w:r>
        <w:rPr>
          <w:rFonts w:hint="default" w:ascii="Times New Roman" w:hAnsi="Times New Roman" w:eastAsia="方正仿宋简体" w:cs="Times New Roman"/>
          <w:color w:val="auto"/>
          <w:sz w:val="32"/>
          <w:szCs w:val="32"/>
          <w:highlight w:val="none"/>
        </w:rPr>
        <w:t>全年建筑业增加值比上年</w:t>
      </w:r>
      <w:r>
        <w:rPr>
          <w:rFonts w:hint="eastAsia" w:ascii="Times New Roman" w:hAnsi="Times New Roman" w:eastAsia="方正仿宋简体" w:cs="Times New Roman"/>
          <w:color w:val="auto"/>
          <w:sz w:val="32"/>
          <w:szCs w:val="32"/>
          <w:highlight w:val="none"/>
          <w:lang w:val="en-US" w:eastAsia="zh-CN"/>
        </w:rPr>
        <w:t>增长1.4</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735" w:leftChars="0" w:firstLine="0" w:firstLineChars="0"/>
        <w:textAlignment w:val="auto"/>
        <w:rPr>
          <w:rFonts w:hint="eastAsia" w:ascii="黑体" w:hAnsi="黑体" w:eastAsia="黑体" w:cs="黑体"/>
          <w:color w:val="000000" w:themeColor="text1"/>
          <w:sz w:val="32"/>
          <w:szCs w:val="32"/>
          <w:highlight w:val="none"/>
          <w14:textFill>
            <w14:solidFill>
              <w14:schemeClr w14:val="tx1"/>
            </w14:solidFill>
          </w14:textFill>
        </w:rPr>
      </w:pPr>
      <w:r>
        <w:rPr>
          <w:rFonts w:hint="eastAsia" w:ascii="黑体" w:hAnsi="黑体" w:eastAsia="黑体" w:cs="黑体"/>
          <w:color w:val="000000" w:themeColor="text1"/>
          <w:sz w:val="32"/>
          <w:szCs w:val="32"/>
          <w:highlight w:val="none"/>
          <w14:textFill>
            <w14:solidFill>
              <w14:schemeClr w14:val="tx1"/>
            </w14:solidFill>
          </w14:textFill>
        </w:rPr>
        <w:t>服务业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全年服务业增加值比上年增长</w:t>
      </w:r>
      <w:r>
        <w:rPr>
          <w:rFonts w:hint="eastAsia" w:ascii="Times New Roman" w:hAnsi="Times New Roman" w:eastAsia="方正仿宋简体" w:cs="Times New Roman"/>
          <w:color w:val="auto"/>
          <w:sz w:val="32"/>
          <w:szCs w:val="32"/>
          <w:highlight w:val="none"/>
          <w:lang w:val="en-US" w:eastAsia="zh-CN"/>
        </w:rPr>
        <w:t>4.2</w:t>
      </w:r>
      <w:r>
        <w:rPr>
          <w:rFonts w:hint="default" w:ascii="Times New Roman" w:hAnsi="Times New Roman" w:eastAsia="方正仿宋简体" w:cs="Times New Roman"/>
          <w:color w:val="auto"/>
          <w:sz w:val="32"/>
          <w:szCs w:val="32"/>
          <w:highlight w:val="none"/>
          <w:lang w:val="en-US" w:eastAsia="zh-CN"/>
        </w:rPr>
        <w:t>%。其中，批发和零售业增加值增长</w:t>
      </w:r>
      <w:r>
        <w:rPr>
          <w:rFonts w:hint="eastAsia" w:ascii="Times New Roman" w:hAnsi="Times New Roman" w:eastAsia="方正仿宋简体" w:cs="Times New Roman"/>
          <w:color w:val="auto"/>
          <w:sz w:val="32"/>
          <w:szCs w:val="32"/>
          <w:highlight w:val="none"/>
          <w:lang w:val="en-US" w:eastAsia="zh-CN"/>
        </w:rPr>
        <w:t>1.1</w:t>
      </w:r>
      <w:r>
        <w:rPr>
          <w:rFonts w:hint="default" w:ascii="Times New Roman" w:hAnsi="Times New Roman" w:eastAsia="方正仿宋简体" w:cs="Times New Roman"/>
          <w:color w:val="auto"/>
          <w:sz w:val="32"/>
          <w:szCs w:val="32"/>
          <w:highlight w:val="none"/>
          <w:lang w:val="en-US" w:eastAsia="zh-CN"/>
        </w:rPr>
        <w:t>%；交通运输、仓储和邮政业增加值增长</w:t>
      </w:r>
      <w:r>
        <w:rPr>
          <w:rFonts w:hint="eastAsia" w:ascii="Times New Roman" w:hAnsi="Times New Roman" w:eastAsia="方正仿宋简体" w:cs="Times New Roman"/>
          <w:color w:val="auto"/>
          <w:sz w:val="32"/>
          <w:szCs w:val="32"/>
          <w:highlight w:val="none"/>
          <w:lang w:val="en-US" w:eastAsia="zh-CN"/>
        </w:rPr>
        <w:t>3.2</w:t>
      </w:r>
      <w:r>
        <w:rPr>
          <w:rFonts w:hint="default" w:ascii="Times New Roman" w:hAnsi="Times New Roman" w:eastAsia="方正仿宋简体" w:cs="Times New Roman"/>
          <w:color w:val="auto"/>
          <w:sz w:val="32"/>
          <w:szCs w:val="32"/>
          <w:highlight w:val="none"/>
          <w:lang w:val="en-US" w:eastAsia="zh-CN"/>
        </w:rPr>
        <w:t>%；住宿和餐饮业增加值增长</w:t>
      </w:r>
      <w:r>
        <w:rPr>
          <w:rFonts w:hint="eastAsia" w:ascii="Times New Roman" w:hAnsi="Times New Roman" w:eastAsia="方正仿宋简体" w:cs="Times New Roman"/>
          <w:color w:val="auto"/>
          <w:sz w:val="32"/>
          <w:szCs w:val="32"/>
          <w:highlight w:val="none"/>
          <w:lang w:val="en-US" w:eastAsia="zh-CN"/>
        </w:rPr>
        <w:t>5.4</w:t>
      </w:r>
      <w:r>
        <w:rPr>
          <w:rFonts w:hint="default" w:ascii="Times New Roman" w:hAnsi="Times New Roman" w:eastAsia="方正仿宋简体" w:cs="Times New Roman"/>
          <w:color w:val="auto"/>
          <w:sz w:val="32"/>
          <w:szCs w:val="32"/>
          <w:highlight w:val="none"/>
          <w:lang w:val="en-US" w:eastAsia="zh-CN"/>
        </w:rPr>
        <w:t>%；金融业增加值</w:t>
      </w:r>
      <w:r>
        <w:rPr>
          <w:rFonts w:hint="eastAsia" w:ascii="Times New Roman" w:hAnsi="Times New Roman" w:eastAsia="方正仿宋简体" w:cs="Times New Roman"/>
          <w:color w:val="auto"/>
          <w:sz w:val="32"/>
          <w:szCs w:val="32"/>
          <w:highlight w:val="none"/>
          <w:lang w:val="en-US" w:eastAsia="zh-CN"/>
        </w:rPr>
        <w:t>增长3.4%</w:t>
      </w:r>
      <w:r>
        <w:rPr>
          <w:rFonts w:hint="default" w:ascii="Times New Roman" w:hAnsi="Times New Roman" w:eastAsia="方正仿宋简体" w:cs="Times New Roman"/>
          <w:color w:val="auto"/>
          <w:sz w:val="32"/>
          <w:szCs w:val="32"/>
          <w:highlight w:val="none"/>
          <w:lang w:val="en-US" w:eastAsia="zh-CN"/>
        </w:rPr>
        <w:t>；房地产业增加值增长</w:t>
      </w:r>
      <w:r>
        <w:rPr>
          <w:rFonts w:hint="eastAsia" w:ascii="Times New Roman" w:hAnsi="Times New Roman" w:eastAsia="方正仿宋简体" w:cs="Times New Roman"/>
          <w:color w:val="auto"/>
          <w:sz w:val="32"/>
          <w:szCs w:val="32"/>
          <w:highlight w:val="none"/>
          <w:lang w:val="en-US" w:eastAsia="zh-CN"/>
        </w:rPr>
        <w:t>2.8</w:t>
      </w:r>
      <w:r>
        <w:rPr>
          <w:rFonts w:hint="default" w:ascii="Times New Roman" w:hAnsi="Times New Roman" w:eastAsia="方正仿宋简体" w:cs="Times New Roman"/>
          <w:color w:val="auto"/>
          <w:sz w:val="32"/>
          <w:szCs w:val="32"/>
          <w:highlight w:val="none"/>
          <w:lang w:val="en-US" w:eastAsia="zh-CN"/>
        </w:rPr>
        <w:t>%；其他服务业增加值增长4.4%。</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w:t>
      </w:r>
      <w:r>
        <w:rPr>
          <w:rFonts w:hint="eastAsia" w:ascii="Times New Roman" w:hAnsi="Times New Roman" w:eastAsia="方正仿宋简体" w:cs="Times New Roman"/>
          <w:color w:val="auto"/>
          <w:sz w:val="32"/>
          <w:szCs w:val="32"/>
          <w:highlight w:val="none"/>
          <w:lang w:val="en-US" w:eastAsia="zh-CN"/>
        </w:rPr>
        <w:t>年</w:t>
      </w:r>
      <w:r>
        <w:rPr>
          <w:rFonts w:hint="default" w:ascii="Times New Roman" w:hAnsi="Times New Roman" w:eastAsia="方正仿宋简体" w:cs="Times New Roman"/>
          <w:color w:val="auto"/>
          <w:sz w:val="32"/>
          <w:szCs w:val="32"/>
          <w:highlight w:val="none"/>
          <w:lang w:val="en-US" w:eastAsia="zh-CN"/>
        </w:rPr>
        <w:t>公路总里程已达到</w:t>
      </w:r>
      <w:r>
        <w:rPr>
          <w:rFonts w:hint="eastAsia" w:ascii="Times New Roman" w:hAnsi="Times New Roman" w:eastAsia="方正仿宋简体" w:cs="Times New Roman"/>
          <w:color w:val="auto"/>
          <w:sz w:val="32"/>
          <w:szCs w:val="32"/>
          <w:highlight w:val="none"/>
          <w:lang w:val="en-US" w:eastAsia="zh-CN"/>
        </w:rPr>
        <w:t>24858.24</w:t>
      </w:r>
      <w:r>
        <w:rPr>
          <w:rFonts w:hint="default" w:ascii="Times New Roman" w:hAnsi="Times New Roman" w:eastAsia="方正仿宋简体" w:cs="Times New Roman"/>
          <w:color w:val="auto"/>
          <w:sz w:val="32"/>
          <w:szCs w:val="32"/>
          <w:highlight w:val="none"/>
          <w:lang w:val="en-US" w:eastAsia="zh-CN"/>
        </w:rPr>
        <w:t>公里。</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全年公路旅客运输量</w:t>
      </w:r>
      <w:r>
        <w:rPr>
          <w:rFonts w:hint="eastAsia" w:ascii="Times New Roman" w:hAnsi="Times New Roman" w:eastAsia="方正仿宋简体" w:cs="Times New Roman"/>
          <w:color w:val="auto"/>
          <w:sz w:val="32"/>
          <w:szCs w:val="32"/>
          <w:highlight w:val="none"/>
          <w:lang w:val="en-US" w:eastAsia="zh-CN"/>
        </w:rPr>
        <w:t>1527.22</w:t>
      </w:r>
      <w:r>
        <w:rPr>
          <w:rFonts w:hint="default" w:ascii="Times New Roman" w:hAnsi="Times New Roman" w:eastAsia="方正仿宋简体" w:cs="Times New Roman"/>
          <w:color w:val="auto"/>
          <w:sz w:val="32"/>
          <w:szCs w:val="32"/>
          <w:highlight w:val="none"/>
          <w:lang w:val="en-US" w:eastAsia="zh-CN"/>
        </w:rPr>
        <w:t>万人次，比上年</w:t>
      </w:r>
      <w:r>
        <w:rPr>
          <w:rFonts w:hint="eastAsia" w:ascii="Times New Roman" w:hAnsi="Times New Roman" w:eastAsia="方正仿宋简体" w:cs="Times New Roman"/>
          <w:color w:val="auto"/>
          <w:sz w:val="32"/>
          <w:szCs w:val="32"/>
          <w:highlight w:val="none"/>
          <w:lang w:val="en-US" w:eastAsia="zh-CN"/>
        </w:rPr>
        <w:t>增长83.3</w:t>
      </w:r>
      <w:r>
        <w:rPr>
          <w:rFonts w:hint="default" w:ascii="Times New Roman" w:hAnsi="Times New Roman" w:eastAsia="方正仿宋简体" w:cs="Times New Roman"/>
          <w:color w:val="auto"/>
          <w:sz w:val="32"/>
          <w:szCs w:val="32"/>
          <w:highlight w:val="none"/>
          <w:lang w:val="en-US" w:eastAsia="zh-CN"/>
        </w:rPr>
        <w:t>%；公路货物运输量</w:t>
      </w:r>
      <w:r>
        <w:rPr>
          <w:rFonts w:hint="eastAsia" w:ascii="Times New Roman" w:hAnsi="Times New Roman" w:eastAsia="方正仿宋简体" w:cs="Times New Roman"/>
          <w:color w:val="auto"/>
          <w:sz w:val="32"/>
          <w:szCs w:val="32"/>
          <w:highlight w:val="none"/>
          <w:lang w:val="en-US" w:eastAsia="zh-CN"/>
        </w:rPr>
        <w:t>2804.42</w:t>
      </w:r>
      <w:r>
        <w:rPr>
          <w:rFonts w:hint="default" w:ascii="Times New Roman" w:hAnsi="Times New Roman" w:eastAsia="方正仿宋简体" w:cs="Times New Roman"/>
          <w:color w:val="auto"/>
          <w:sz w:val="32"/>
          <w:szCs w:val="32"/>
          <w:highlight w:val="none"/>
          <w:lang w:val="en-US" w:eastAsia="zh-CN"/>
        </w:rPr>
        <w:t>万吨，比上年</w:t>
      </w:r>
      <w:r>
        <w:rPr>
          <w:rFonts w:hint="eastAsia" w:ascii="Times New Roman" w:hAnsi="Times New Roman" w:eastAsia="方正仿宋简体" w:cs="Times New Roman"/>
          <w:color w:val="auto"/>
          <w:sz w:val="32"/>
          <w:szCs w:val="32"/>
          <w:highlight w:val="none"/>
          <w:lang w:val="en-US" w:eastAsia="zh-CN"/>
        </w:rPr>
        <w:t>下降6.0</w:t>
      </w:r>
      <w:r>
        <w:rPr>
          <w:rFonts w:hint="default" w:ascii="Times New Roman" w:hAnsi="Times New Roman" w:eastAsia="方正仿宋简体" w:cs="Times New Roman"/>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eastAsia" w:ascii="Times New Roman" w:hAnsi="Times New Roman" w:eastAsia="方正仿宋简体" w:cs="Times New Roman"/>
          <w:color w:val="auto"/>
          <w:sz w:val="32"/>
          <w:szCs w:val="32"/>
          <w:highlight w:val="none"/>
          <w:lang w:val="en-US" w:eastAsia="zh-CN"/>
        </w:rPr>
        <w:t>全</w:t>
      </w:r>
      <w:r>
        <w:rPr>
          <w:rFonts w:hint="default" w:ascii="Times New Roman" w:hAnsi="Times New Roman" w:eastAsia="方正仿宋简体" w:cs="Times New Roman"/>
          <w:color w:val="auto"/>
          <w:sz w:val="32"/>
          <w:szCs w:val="32"/>
          <w:highlight w:val="none"/>
          <w:lang w:val="en-US" w:eastAsia="zh-CN"/>
        </w:rPr>
        <w:t>年航空旅客吞吐量</w:t>
      </w:r>
      <w:r>
        <w:rPr>
          <w:rFonts w:hint="eastAsia" w:ascii="Times New Roman" w:hAnsi="Times New Roman" w:eastAsia="方正仿宋简体" w:cs="Times New Roman"/>
          <w:color w:val="auto"/>
          <w:sz w:val="32"/>
          <w:szCs w:val="32"/>
          <w:highlight w:val="none"/>
          <w:lang w:val="en-US" w:eastAsia="zh-CN"/>
        </w:rPr>
        <w:t>193.91</w:t>
      </w:r>
      <w:r>
        <w:rPr>
          <w:rFonts w:hint="default" w:ascii="Times New Roman" w:hAnsi="Times New Roman" w:eastAsia="方正仿宋简体" w:cs="Times New Roman"/>
          <w:color w:val="auto"/>
          <w:sz w:val="32"/>
          <w:szCs w:val="32"/>
          <w:highlight w:val="none"/>
          <w:lang w:val="en-US" w:eastAsia="zh-CN"/>
        </w:rPr>
        <w:t>万人次，比上年增长</w:t>
      </w:r>
      <w:r>
        <w:rPr>
          <w:rFonts w:hint="eastAsia" w:ascii="Times New Roman" w:hAnsi="Times New Roman" w:eastAsia="方正仿宋简体" w:cs="Times New Roman"/>
          <w:color w:val="auto"/>
          <w:sz w:val="32"/>
          <w:szCs w:val="32"/>
          <w:highlight w:val="none"/>
          <w:lang w:val="en-US" w:eastAsia="zh-CN"/>
        </w:rPr>
        <w:t>6.6</w:t>
      </w:r>
      <w:r>
        <w:rPr>
          <w:rFonts w:hint="default" w:ascii="Times New Roman" w:hAnsi="Times New Roman" w:eastAsia="方正仿宋简体" w:cs="Times New Roman"/>
          <w:color w:val="auto"/>
          <w:sz w:val="32"/>
          <w:szCs w:val="32"/>
          <w:highlight w:val="none"/>
          <w:lang w:val="en-US" w:eastAsia="zh-CN"/>
        </w:rPr>
        <w:t>%；航空货邮吞吐量</w:t>
      </w:r>
      <w:r>
        <w:rPr>
          <w:rFonts w:hint="eastAsia" w:ascii="Times New Roman" w:hAnsi="Times New Roman" w:eastAsia="方正仿宋简体" w:cs="Times New Roman"/>
          <w:color w:val="auto"/>
          <w:sz w:val="32"/>
          <w:szCs w:val="32"/>
          <w:highlight w:val="none"/>
          <w:lang w:val="en-US" w:eastAsia="zh-CN"/>
        </w:rPr>
        <w:t>0.97</w:t>
      </w:r>
      <w:r>
        <w:rPr>
          <w:rFonts w:hint="default" w:ascii="Times New Roman" w:hAnsi="Times New Roman" w:eastAsia="方正仿宋简体" w:cs="Times New Roman"/>
          <w:color w:val="auto"/>
          <w:sz w:val="32"/>
          <w:szCs w:val="32"/>
          <w:highlight w:val="none"/>
          <w:lang w:val="en-US" w:eastAsia="zh-CN"/>
        </w:rPr>
        <w:t>万吨，比上年增长</w:t>
      </w:r>
      <w:r>
        <w:rPr>
          <w:rFonts w:hint="eastAsia" w:ascii="Times New Roman" w:hAnsi="Times New Roman" w:eastAsia="方正仿宋简体" w:cs="Times New Roman"/>
          <w:color w:val="auto"/>
          <w:sz w:val="32"/>
          <w:szCs w:val="32"/>
          <w:highlight w:val="none"/>
          <w:lang w:val="en-US" w:eastAsia="zh-CN"/>
        </w:rPr>
        <w:t>11.4</w:t>
      </w:r>
      <w:r>
        <w:rPr>
          <w:rFonts w:hint="default" w:ascii="Times New Roman" w:hAnsi="Times New Roman" w:eastAsia="方正仿宋简体" w:cs="Times New Roman"/>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全年铁路旅客运输量</w:t>
      </w:r>
      <w:r>
        <w:rPr>
          <w:rFonts w:hint="eastAsia" w:ascii="Times New Roman" w:hAnsi="Times New Roman" w:eastAsia="方正仿宋简体" w:cs="Times New Roman"/>
          <w:color w:val="auto"/>
          <w:sz w:val="32"/>
          <w:szCs w:val="32"/>
          <w:highlight w:val="none"/>
          <w:lang w:val="en-US" w:eastAsia="zh-CN"/>
        </w:rPr>
        <w:t>173.6</w:t>
      </w:r>
      <w:r>
        <w:rPr>
          <w:rFonts w:hint="default" w:ascii="Times New Roman" w:hAnsi="Times New Roman" w:eastAsia="方正仿宋简体" w:cs="Times New Roman"/>
          <w:color w:val="auto"/>
          <w:sz w:val="32"/>
          <w:szCs w:val="32"/>
          <w:highlight w:val="none"/>
          <w:lang w:val="en-US" w:eastAsia="zh-CN"/>
        </w:rPr>
        <w:t>万人次，比上年增长</w:t>
      </w:r>
      <w:r>
        <w:rPr>
          <w:rFonts w:hint="eastAsia" w:ascii="Times New Roman" w:hAnsi="Times New Roman" w:eastAsia="方正仿宋简体" w:cs="Times New Roman"/>
          <w:color w:val="auto"/>
          <w:sz w:val="32"/>
          <w:szCs w:val="32"/>
          <w:highlight w:val="none"/>
          <w:lang w:val="en-US" w:eastAsia="zh-CN"/>
        </w:rPr>
        <w:t>2.0</w:t>
      </w:r>
      <w:r>
        <w:rPr>
          <w:rFonts w:hint="default" w:ascii="Times New Roman" w:hAnsi="Times New Roman" w:eastAsia="方正仿宋简体" w:cs="Times New Roman"/>
          <w:color w:val="auto"/>
          <w:sz w:val="32"/>
          <w:szCs w:val="32"/>
          <w:highlight w:val="none"/>
          <w:lang w:val="en-US" w:eastAsia="zh-CN"/>
        </w:rPr>
        <w:t>%；铁路货物运输量</w:t>
      </w:r>
      <w:r>
        <w:rPr>
          <w:rFonts w:hint="eastAsia" w:ascii="Times New Roman" w:hAnsi="Times New Roman" w:eastAsia="方正仿宋简体" w:cs="Times New Roman"/>
          <w:color w:val="auto"/>
          <w:sz w:val="32"/>
          <w:szCs w:val="32"/>
          <w:highlight w:val="none"/>
          <w:lang w:val="en-US" w:eastAsia="zh-CN"/>
        </w:rPr>
        <w:t>32.35</w:t>
      </w:r>
      <w:r>
        <w:rPr>
          <w:rFonts w:hint="default" w:ascii="Times New Roman" w:hAnsi="Times New Roman" w:eastAsia="方正仿宋简体" w:cs="Times New Roman"/>
          <w:color w:val="auto"/>
          <w:sz w:val="32"/>
          <w:szCs w:val="32"/>
          <w:highlight w:val="none"/>
          <w:lang w:val="en-US" w:eastAsia="zh-CN"/>
        </w:rPr>
        <w:t>万吨，比上年</w:t>
      </w:r>
      <w:r>
        <w:rPr>
          <w:rFonts w:hint="eastAsia" w:ascii="Times New Roman" w:hAnsi="Times New Roman" w:eastAsia="方正仿宋简体" w:cs="Times New Roman"/>
          <w:color w:val="auto"/>
          <w:sz w:val="32"/>
          <w:szCs w:val="32"/>
          <w:highlight w:val="none"/>
          <w:lang w:val="en-US" w:eastAsia="zh-CN"/>
        </w:rPr>
        <w:t>下降31.4</w:t>
      </w:r>
      <w:r>
        <w:rPr>
          <w:rFonts w:hint="default" w:ascii="Times New Roman" w:hAnsi="Times New Roman" w:eastAsia="方正仿宋简体" w:cs="Times New Roman"/>
          <w:color w:val="auto"/>
          <w:sz w:val="32"/>
          <w:szCs w:val="32"/>
          <w:highlight w:val="none"/>
          <w:lang w:val="en-US" w:eastAsia="zh-CN"/>
        </w:rPr>
        <w:t>%。</w:t>
      </w:r>
    </w:p>
    <w:tbl>
      <w:tblPr>
        <w:tblStyle w:val="9"/>
        <w:tblW w:w="8277" w:type="dxa"/>
        <w:tblInd w:w="0" w:type="dxa"/>
        <w:shd w:val="clear" w:color="auto" w:fill="auto"/>
        <w:tblLayout w:type="fixed"/>
        <w:tblCellMar>
          <w:top w:w="0" w:type="dxa"/>
          <w:left w:w="0" w:type="dxa"/>
          <w:bottom w:w="0" w:type="dxa"/>
          <w:right w:w="0" w:type="dxa"/>
        </w:tblCellMar>
      </w:tblPr>
      <w:tblGrid>
        <w:gridCol w:w="1934"/>
        <w:gridCol w:w="1318"/>
        <w:gridCol w:w="2530"/>
        <w:gridCol w:w="2495"/>
      </w:tblGrid>
      <w:tr>
        <w:tblPrEx>
          <w:shd w:val="clear" w:color="auto" w:fill="auto"/>
          <w:tblLayout w:type="fixed"/>
          <w:tblCellMar>
            <w:top w:w="0" w:type="dxa"/>
            <w:left w:w="0" w:type="dxa"/>
            <w:bottom w:w="0" w:type="dxa"/>
            <w:right w:w="0" w:type="dxa"/>
          </w:tblCellMar>
        </w:tblPrEx>
        <w:trPr>
          <w:trHeight w:val="306" w:hRule="atLeast"/>
        </w:trPr>
        <w:tc>
          <w:tcPr>
            <w:tcW w:w="8277" w:type="dxa"/>
            <w:gridSpan w:val="4"/>
            <w:tcBorders>
              <w:top w:val="nil"/>
              <w:left w:val="nil"/>
              <w:bottom w:val="nil"/>
              <w:right w:val="nil"/>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ascii="方正小标宋简体" w:hAnsi="方正小标宋简体" w:eastAsia="方正小标宋简体" w:cs="方正小标宋简体"/>
                <w:i w:val="0"/>
                <w:color w:val="auto"/>
                <w:sz w:val="40"/>
                <w:szCs w:val="40"/>
                <w:highlight w:val="yellow"/>
                <w:u w:val="none"/>
              </w:rPr>
            </w:pPr>
            <w:r>
              <w:rPr>
                <w:rFonts w:hint="eastAsia" w:ascii="方正小标宋简体" w:hAnsi="方正小标宋简体" w:eastAsia="方正小标宋简体" w:cs="方正小标宋简体"/>
                <w:i w:val="0"/>
                <w:color w:val="auto"/>
                <w:kern w:val="0"/>
                <w:sz w:val="28"/>
                <w:szCs w:val="28"/>
                <w:highlight w:val="none"/>
                <w:u w:val="none"/>
                <w:lang w:val="en-US" w:eastAsia="zh-CN" w:bidi="ar"/>
              </w:rPr>
              <w:t>2025年客货运输总量及增速</w:t>
            </w:r>
          </w:p>
        </w:tc>
      </w:tr>
      <w:tr>
        <w:tblPrEx>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指标</w:t>
            </w:r>
          </w:p>
        </w:tc>
        <w:tc>
          <w:tcPr>
            <w:tcW w:w="131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单位</w:t>
            </w:r>
          </w:p>
        </w:tc>
        <w:tc>
          <w:tcPr>
            <w:tcW w:w="253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绝对数</w:t>
            </w:r>
          </w:p>
        </w:tc>
        <w:tc>
          <w:tcPr>
            <w:tcW w:w="249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比上年增长（%）</w:t>
            </w:r>
          </w:p>
        </w:tc>
      </w:tr>
      <w:tr>
        <w:tblPrEx>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旅客运输总量</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1894.73</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60.2</w:t>
            </w:r>
          </w:p>
        </w:tc>
      </w:tr>
      <w:tr>
        <w:tblPrEx>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公路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1527.22</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83.3</w:t>
            </w:r>
          </w:p>
        </w:tc>
      </w:tr>
      <w:tr>
        <w:tblPrEx>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民航</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sz w:val="24"/>
                <w:szCs w:val="24"/>
                <w:highlight w:val="none"/>
                <w:u w:val="none"/>
                <w:lang w:val="en-US"/>
              </w:rPr>
            </w:pPr>
            <w:r>
              <w:rPr>
                <w:rFonts w:hint="eastAsia" w:ascii="Times New Roman" w:hAnsi="Times New Roman" w:eastAsia="宋体" w:cs="Times New Roman"/>
                <w:i w:val="0"/>
                <w:color w:val="auto"/>
                <w:kern w:val="0"/>
                <w:sz w:val="24"/>
                <w:szCs w:val="24"/>
                <w:highlight w:val="none"/>
                <w:u w:val="none"/>
                <w:lang w:val="en-US" w:eastAsia="zh-CN" w:bidi="ar"/>
              </w:rPr>
              <w:t>193.91</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sz w:val="24"/>
                <w:szCs w:val="24"/>
                <w:highlight w:val="none"/>
                <w:u w:val="none"/>
                <w:lang w:val="en-US"/>
              </w:rPr>
            </w:pPr>
            <w:r>
              <w:rPr>
                <w:rFonts w:hint="eastAsia" w:ascii="Times New Roman" w:hAnsi="Times New Roman" w:eastAsia="宋体" w:cs="Times New Roman"/>
                <w:i w:val="0"/>
                <w:color w:val="auto"/>
                <w:kern w:val="0"/>
                <w:sz w:val="24"/>
                <w:szCs w:val="24"/>
                <w:highlight w:val="none"/>
                <w:u w:val="none"/>
                <w:lang w:val="en-US" w:eastAsia="zh-CN" w:bidi="ar"/>
              </w:rPr>
              <w:t>6.6</w:t>
            </w:r>
          </w:p>
        </w:tc>
      </w:tr>
      <w:tr>
        <w:tblPrEx>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铁路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173.6</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2.0</w:t>
            </w:r>
          </w:p>
        </w:tc>
      </w:tr>
      <w:tr>
        <w:tblPrEx>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货物运输总量</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2837.74</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-6.6</w:t>
            </w:r>
          </w:p>
        </w:tc>
      </w:tr>
      <w:tr>
        <w:tblPrEx>
          <w:shd w:val="clear" w:color="auto" w:fill="auto"/>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公路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2804.42</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-6.0</w:t>
            </w:r>
          </w:p>
        </w:tc>
      </w:tr>
      <w:tr>
        <w:tblPrEx>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民航</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0.97</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11.4</w:t>
            </w:r>
          </w:p>
        </w:tc>
      </w:tr>
      <w:tr>
        <w:tblPrEx>
          <w:shd w:val="clear" w:color="auto" w:fill="auto"/>
          <w:tblLayout w:type="fixed"/>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铁路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32.35</w:t>
            </w:r>
          </w:p>
        </w:tc>
        <w:tc>
          <w:tcPr>
            <w:tcW w:w="24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-31.4</w:t>
            </w:r>
          </w:p>
        </w:tc>
      </w:tr>
    </w:tbl>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0000FF"/>
          <w:sz w:val="32"/>
          <w:szCs w:val="32"/>
          <w:highlight w:val="yellow"/>
        </w:rPr>
      </w:pPr>
      <w:r>
        <w:rPr>
          <w:rFonts w:hint="default" w:ascii="Times New Roman" w:hAnsi="Times New Roman" w:eastAsia="方正仿宋简体" w:cs="Times New Roman"/>
          <w:color w:val="auto"/>
          <w:sz w:val="32"/>
          <w:szCs w:val="32"/>
          <w:highlight w:val="none"/>
        </w:rPr>
        <w:t>年末全地区民用汽车保有量</w:t>
      </w:r>
      <w:r>
        <w:rPr>
          <w:rFonts w:hint="eastAsia" w:ascii="Times New Roman" w:hAnsi="Times New Roman" w:eastAsia="方正仿宋简体" w:cs="Times New Roman"/>
          <w:color w:val="auto"/>
          <w:sz w:val="32"/>
          <w:szCs w:val="32"/>
          <w:highlight w:val="none"/>
          <w:lang w:val="en-US" w:eastAsia="zh-CN"/>
        </w:rPr>
        <w:t>59.4</w:t>
      </w:r>
      <w:r>
        <w:rPr>
          <w:rFonts w:hint="default" w:ascii="Times New Roman" w:hAnsi="Times New Roman" w:eastAsia="方正仿宋简体" w:cs="Times New Roman"/>
          <w:color w:val="auto"/>
          <w:sz w:val="32"/>
          <w:szCs w:val="32"/>
          <w:highlight w:val="none"/>
          <w:lang w:val="en-US" w:eastAsia="zh-CN"/>
        </w:rPr>
        <w:t>万辆</w:t>
      </w:r>
      <w:r>
        <w:rPr>
          <w:rFonts w:hint="eastAsia" w:ascii="Times New Roman" w:hAnsi="Times New Roman" w:eastAsia="方正仿宋简体" w:cs="Times New Roman"/>
          <w:color w:val="auto"/>
          <w:sz w:val="32"/>
          <w:szCs w:val="32"/>
          <w:highlight w:val="none"/>
          <w:lang w:val="en-US" w:eastAsia="zh-CN"/>
        </w:rPr>
        <w:t>(包含拖拉机2.72万辆)</w:t>
      </w:r>
      <w:r>
        <w:rPr>
          <w:rFonts w:hint="default" w:ascii="Times New Roman" w:hAnsi="Times New Roman" w:eastAsia="方正仿宋简体" w:cs="Times New Roman"/>
          <w:color w:val="auto"/>
          <w:sz w:val="32"/>
          <w:szCs w:val="32"/>
          <w:highlight w:val="none"/>
        </w:rPr>
        <w:t>，</w:t>
      </w:r>
      <w:r>
        <w:rPr>
          <w:rFonts w:hint="default" w:ascii="Times New Roman" w:hAnsi="Times New Roman" w:eastAsia="方正仿宋简体" w:cs="Times New Roman"/>
          <w:color w:val="auto"/>
          <w:sz w:val="32"/>
          <w:szCs w:val="32"/>
          <w:highlight w:val="none"/>
          <w:u w:val="none"/>
        </w:rPr>
        <w:t>比上年末增加</w:t>
      </w:r>
      <w:r>
        <w:rPr>
          <w:rFonts w:hint="eastAsia" w:ascii="Times New Roman" w:hAnsi="Times New Roman" w:eastAsia="方正仿宋简体" w:cs="Times New Roman"/>
          <w:color w:val="auto"/>
          <w:sz w:val="32"/>
          <w:szCs w:val="32"/>
          <w:highlight w:val="none"/>
          <w:u w:val="none"/>
          <w:lang w:val="en-US" w:eastAsia="zh-CN"/>
        </w:rPr>
        <w:t>4.68</w:t>
      </w:r>
      <w:r>
        <w:rPr>
          <w:rFonts w:hint="default" w:ascii="Times New Roman" w:hAnsi="Times New Roman" w:eastAsia="方正仿宋简体" w:cs="Times New Roman"/>
          <w:color w:val="auto"/>
          <w:sz w:val="32"/>
          <w:szCs w:val="32"/>
          <w:highlight w:val="none"/>
          <w:u w:val="none"/>
        </w:rPr>
        <w:t>万辆</w:t>
      </w:r>
      <w:r>
        <w:rPr>
          <w:rFonts w:hint="eastAsia" w:ascii="Times New Roman" w:hAnsi="Times New Roman" w:eastAsia="方正仿宋简体" w:cs="Times New Roman"/>
          <w:color w:val="auto"/>
          <w:sz w:val="32"/>
          <w:szCs w:val="32"/>
          <w:highlight w:val="none"/>
          <w:u w:val="none"/>
          <w:lang w:eastAsia="zh-CN"/>
        </w:rPr>
        <w:t>。</w:t>
      </w:r>
      <w:r>
        <w:rPr>
          <w:rFonts w:hint="default" w:ascii="Times New Roman" w:hAnsi="Times New Roman" w:eastAsia="方正仿宋简体" w:cs="Times New Roman"/>
          <w:color w:val="auto"/>
          <w:sz w:val="32"/>
          <w:szCs w:val="32"/>
          <w:highlight w:val="none"/>
        </w:rPr>
        <w:t>其中，汽车</w:t>
      </w:r>
      <w:r>
        <w:rPr>
          <w:rFonts w:hint="eastAsia" w:ascii="Times New Roman" w:hAnsi="Times New Roman" w:eastAsia="方正仿宋简体" w:cs="Times New Roman"/>
          <w:color w:val="auto"/>
          <w:sz w:val="32"/>
          <w:szCs w:val="32"/>
          <w:highlight w:val="none"/>
          <w:lang w:val="en-US" w:eastAsia="zh-CN"/>
        </w:rPr>
        <w:t>40.89</w:t>
      </w:r>
      <w:r>
        <w:rPr>
          <w:rFonts w:hint="default" w:ascii="Times New Roman" w:hAnsi="Times New Roman" w:eastAsia="方正仿宋简体" w:cs="Times New Roman"/>
          <w:color w:val="auto"/>
          <w:sz w:val="32"/>
          <w:szCs w:val="32"/>
          <w:highlight w:val="none"/>
          <w:lang w:val="en-US" w:eastAsia="zh-CN"/>
        </w:rPr>
        <w:t>万辆</w:t>
      </w:r>
      <w:r>
        <w:rPr>
          <w:rFonts w:hint="eastAsia" w:ascii="Times New Roman" w:hAnsi="Times New Roman" w:eastAsia="方正仿宋简体" w:cs="Times New Roman"/>
          <w:color w:val="auto"/>
          <w:sz w:val="32"/>
          <w:szCs w:val="32"/>
          <w:highlight w:val="none"/>
          <w:lang w:val="en-US" w:eastAsia="zh-CN"/>
        </w:rPr>
        <w:t>，</w:t>
      </w:r>
      <w:r>
        <w:rPr>
          <w:rFonts w:hint="default" w:ascii="Times New Roman" w:hAnsi="Times New Roman" w:eastAsia="方正仿宋简体" w:cs="Times New Roman"/>
          <w:color w:val="auto"/>
          <w:sz w:val="32"/>
          <w:szCs w:val="32"/>
          <w:highlight w:val="none"/>
        </w:rPr>
        <w:t>增加</w:t>
      </w:r>
      <w:r>
        <w:rPr>
          <w:rFonts w:hint="eastAsia" w:ascii="Times New Roman" w:hAnsi="Times New Roman" w:eastAsia="方正仿宋简体" w:cs="Times New Roman"/>
          <w:color w:val="auto"/>
          <w:sz w:val="32"/>
          <w:szCs w:val="32"/>
          <w:highlight w:val="none"/>
          <w:lang w:val="en-US" w:eastAsia="zh-CN"/>
        </w:rPr>
        <w:t>3.63</w:t>
      </w:r>
      <w:r>
        <w:rPr>
          <w:rFonts w:hint="default" w:ascii="Times New Roman" w:hAnsi="Times New Roman" w:eastAsia="方正仿宋简体" w:cs="Times New Roman"/>
          <w:color w:val="auto"/>
          <w:sz w:val="32"/>
          <w:szCs w:val="32"/>
          <w:highlight w:val="none"/>
        </w:rPr>
        <w:t>万辆；摩托车</w:t>
      </w:r>
      <w:r>
        <w:rPr>
          <w:rFonts w:hint="eastAsia" w:ascii="Times New Roman" w:hAnsi="Times New Roman" w:eastAsia="方正仿宋简体" w:cs="Times New Roman"/>
          <w:color w:val="auto"/>
          <w:sz w:val="32"/>
          <w:szCs w:val="32"/>
          <w:highlight w:val="none"/>
          <w:lang w:val="en-US" w:eastAsia="zh-CN"/>
        </w:rPr>
        <w:t>15.27</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rPr>
        <w:t>，增加</w:t>
      </w:r>
      <w:r>
        <w:rPr>
          <w:rFonts w:hint="eastAsia" w:ascii="Times New Roman" w:hAnsi="Times New Roman" w:eastAsia="方正仿宋简体" w:cs="Times New Roman"/>
          <w:color w:val="auto"/>
          <w:sz w:val="32"/>
          <w:szCs w:val="32"/>
          <w:highlight w:val="none"/>
          <w:lang w:val="en-US" w:eastAsia="zh-CN"/>
        </w:rPr>
        <w:t>1.16</w:t>
      </w:r>
      <w:r>
        <w:rPr>
          <w:rFonts w:hint="default" w:ascii="Times New Roman" w:hAnsi="Times New Roman" w:eastAsia="方正仿宋简体" w:cs="Times New Roman"/>
          <w:color w:val="auto"/>
          <w:sz w:val="32"/>
          <w:szCs w:val="32"/>
          <w:highlight w:val="none"/>
        </w:rPr>
        <w:t>万辆；挂车</w:t>
      </w:r>
      <w:r>
        <w:rPr>
          <w:rFonts w:hint="eastAsia" w:ascii="Times New Roman" w:hAnsi="Times New Roman" w:eastAsia="方正仿宋简体" w:cs="Times New Roman"/>
          <w:color w:val="auto"/>
          <w:sz w:val="32"/>
          <w:szCs w:val="32"/>
          <w:highlight w:val="none"/>
          <w:lang w:val="en-US" w:eastAsia="zh-CN"/>
        </w:rPr>
        <w:t>0.52</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lang w:eastAsia="zh-CN"/>
        </w:rPr>
        <w:t>减少</w:t>
      </w:r>
      <w:r>
        <w:rPr>
          <w:rFonts w:hint="default" w:ascii="Times New Roman" w:hAnsi="Times New Roman" w:eastAsia="方正仿宋简体" w:cs="Times New Roman"/>
          <w:color w:val="auto"/>
          <w:sz w:val="32"/>
          <w:szCs w:val="32"/>
          <w:highlight w:val="none"/>
        </w:rPr>
        <w:t>0.0</w:t>
      </w:r>
      <w:r>
        <w:rPr>
          <w:rFonts w:hint="eastAsia" w:ascii="Times New Roman" w:hAnsi="Times New Roman" w:eastAsia="方正仿宋简体" w:cs="Times New Roman"/>
          <w:color w:val="auto"/>
          <w:sz w:val="32"/>
          <w:szCs w:val="32"/>
          <w:highlight w:val="none"/>
          <w:lang w:val="en-US" w:eastAsia="zh-CN"/>
        </w:rPr>
        <w:t>1</w:t>
      </w:r>
      <w:r>
        <w:rPr>
          <w:rFonts w:hint="default" w:ascii="Times New Roman" w:hAnsi="Times New Roman" w:eastAsia="方正仿宋简体" w:cs="Times New Roman"/>
          <w:color w:val="auto"/>
          <w:sz w:val="32"/>
          <w:szCs w:val="32"/>
          <w:highlight w:val="none"/>
        </w:rPr>
        <w:t>万辆。个人车辆拥有量达到</w:t>
      </w:r>
      <w:r>
        <w:rPr>
          <w:rFonts w:hint="eastAsia" w:ascii="Times New Roman" w:hAnsi="Times New Roman" w:eastAsia="方正仿宋简体" w:cs="Times New Roman"/>
          <w:color w:val="auto"/>
          <w:sz w:val="32"/>
          <w:szCs w:val="32"/>
          <w:highlight w:val="none"/>
          <w:lang w:val="en-US" w:eastAsia="zh-CN"/>
        </w:rPr>
        <w:t>50.97</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rPr>
        <w:t>，增加</w:t>
      </w:r>
      <w:r>
        <w:rPr>
          <w:rFonts w:hint="eastAsia" w:ascii="Times New Roman" w:hAnsi="Times New Roman" w:eastAsia="方正仿宋简体" w:cs="Times New Roman"/>
          <w:color w:val="auto"/>
          <w:sz w:val="32"/>
          <w:szCs w:val="32"/>
          <w:highlight w:val="none"/>
          <w:lang w:val="en-US" w:eastAsia="zh-CN"/>
        </w:rPr>
        <w:t>4.65</w:t>
      </w:r>
      <w:r>
        <w:rPr>
          <w:rFonts w:hint="default" w:ascii="Times New Roman" w:hAnsi="Times New Roman" w:eastAsia="方正仿宋简体" w:cs="Times New Roman"/>
          <w:color w:val="auto"/>
          <w:sz w:val="32"/>
          <w:szCs w:val="32"/>
          <w:highlight w:val="none"/>
        </w:rPr>
        <w:t>万辆。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黑体" w:hAnsi="黑体" w:eastAsia="黑体" w:cs="黑体"/>
          <w:color w:val="auto"/>
          <w:sz w:val="32"/>
          <w:szCs w:val="32"/>
          <w:highlight w:val="none"/>
        </w:rPr>
      </w:pPr>
      <w:r>
        <w:rPr>
          <w:rFonts w:hint="default" w:ascii="Times New Roman" w:hAnsi="Times New Roman" w:eastAsia="方正仿宋简体" w:cs="Times New Roman"/>
          <w:color w:val="auto"/>
          <w:sz w:val="32"/>
          <w:szCs w:val="32"/>
          <w:highlight w:val="none"/>
          <w:lang w:eastAsia="zh-CN"/>
        </w:rPr>
        <w:t>全年邮电业务</w:t>
      </w:r>
      <w:r>
        <w:rPr>
          <w:rFonts w:hint="eastAsia" w:ascii="Times New Roman" w:hAnsi="Times New Roman" w:eastAsia="方正仿宋简体" w:cs="Times New Roman"/>
          <w:color w:val="auto"/>
          <w:sz w:val="32"/>
          <w:szCs w:val="32"/>
          <w:highlight w:val="none"/>
          <w:lang w:eastAsia="zh-CN"/>
        </w:rPr>
        <w:t>收入</w:t>
      </w:r>
      <w:r>
        <w:rPr>
          <w:rFonts w:hint="default" w:ascii="Times New Roman" w:hAnsi="Times New Roman" w:eastAsia="方正仿宋简体" w:cs="Times New Roman"/>
          <w:color w:val="auto"/>
          <w:sz w:val="32"/>
          <w:szCs w:val="32"/>
          <w:highlight w:val="none"/>
          <w:lang w:eastAsia="zh-CN"/>
        </w:rPr>
        <w:t>达</w:t>
      </w:r>
      <w:r>
        <w:rPr>
          <w:rFonts w:hint="eastAsia" w:ascii="Times New Roman" w:hAnsi="Times New Roman" w:eastAsia="方正仿宋简体" w:cs="Times New Roman"/>
          <w:color w:val="auto"/>
          <w:sz w:val="32"/>
          <w:szCs w:val="32"/>
          <w:highlight w:val="none"/>
          <w:lang w:val="en-US" w:eastAsia="zh-CN"/>
        </w:rPr>
        <w:t>24.07</w:t>
      </w:r>
      <w:r>
        <w:rPr>
          <w:rFonts w:hint="default" w:ascii="Times New Roman" w:hAnsi="Times New Roman" w:eastAsia="方正仿宋简体" w:cs="Times New Roman"/>
          <w:color w:val="auto"/>
          <w:sz w:val="32"/>
          <w:szCs w:val="32"/>
          <w:highlight w:val="none"/>
          <w:lang w:eastAsia="zh-CN"/>
        </w:rPr>
        <w:t>亿元，比上年</w:t>
      </w:r>
      <w:r>
        <w:rPr>
          <w:rFonts w:hint="eastAsia" w:ascii="Times New Roman" w:hAnsi="Times New Roman" w:eastAsia="方正仿宋简体" w:cs="Times New Roman"/>
          <w:color w:val="auto"/>
          <w:sz w:val="32"/>
          <w:szCs w:val="32"/>
          <w:highlight w:val="none"/>
          <w:lang w:val="en-US" w:eastAsia="zh-CN"/>
        </w:rPr>
        <w:t>增长6.7</w:t>
      </w:r>
      <w:r>
        <w:rPr>
          <w:rFonts w:hint="default" w:ascii="Times New Roman" w:hAnsi="Times New Roman" w:eastAsia="方正仿宋简体" w:cs="Times New Roman"/>
          <w:color w:val="auto"/>
          <w:sz w:val="32"/>
          <w:szCs w:val="32"/>
          <w:highlight w:val="none"/>
          <w:lang w:eastAsia="zh-CN"/>
        </w:rPr>
        <w:t>%。其中，邮政业务</w:t>
      </w:r>
      <w:r>
        <w:rPr>
          <w:rFonts w:hint="eastAsia" w:ascii="Times New Roman" w:hAnsi="Times New Roman" w:eastAsia="方正仿宋简体" w:cs="Times New Roman"/>
          <w:color w:val="auto"/>
          <w:sz w:val="32"/>
          <w:szCs w:val="32"/>
          <w:highlight w:val="none"/>
          <w:lang w:eastAsia="zh-CN"/>
        </w:rPr>
        <w:t>收入</w:t>
      </w:r>
      <w:r>
        <w:rPr>
          <w:rFonts w:hint="eastAsia" w:ascii="Times New Roman" w:hAnsi="Times New Roman" w:eastAsia="方正仿宋简体" w:cs="Times New Roman"/>
          <w:color w:val="auto"/>
          <w:sz w:val="32"/>
          <w:szCs w:val="32"/>
          <w:highlight w:val="none"/>
          <w:lang w:val="en-US" w:eastAsia="zh-CN"/>
        </w:rPr>
        <w:t>4.96</w:t>
      </w:r>
      <w:r>
        <w:rPr>
          <w:rFonts w:hint="default" w:ascii="Times New Roman" w:hAnsi="Times New Roman" w:eastAsia="方正仿宋简体" w:cs="Times New Roman"/>
          <w:color w:val="auto"/>
          <w:sz w:val="32"/>
          <w:szCs w:val="32"/>
          <w:highlight w:val="none"/>
          <w:lang w:eastAsia="zh-CN"/>
        </w:rPr>
        <w:t>亿元，增长</w:t>
      </w:r>
      <w:r>
        <w:rPr>
          <w:rFonts w:hint="eastAsia" w:ascii="Times New Roman" w:hAnsi="Times New Roman" w:eastAsia="方正仿宋简体" w:cs="Times New Roman"/>
          <w:color w:val="auto"/>
          <w:sz w:val="32"/>
          <w:szCs w:val="32"/>
          <w:highlight w:val="none"/>
          <w:lang w:val="en-US" w:eastAsia="zh-CN"/>
        </w:rPr>
        <w:t>32.3</w:t>
      </w:r>
      <w:r>
        <w:rPr>
          <w:rFonts w:hint="default" w:ascii="Times New Roman" w:hAnsi="Times New Roman" w:eastAsia="方正仿宋简体" w:cs="Times New Roman"/>
          <w:color w:val="auto"/>
          <w:sz w:val="32"/>
          <w:szCs w:val="32"/>
          <w:highlight w:val="none"/>
          <w:lang w:eastAsia="zh-CN"/>
        </w:rPr>
        <w:t>%；电信</w:t>
      </w:r>
      <w:r>
        <w:rPr>
          <w:rFonts w:hint="eastAsia" w:ascii="Times New Roman" w:hAnsi="Times New Roman" w:eastAsia="方正仿宋简体" w:cs="Times New Roman"/>
          <w:color w:val="auto"/>
          <w:sz w:val="32"/>
          <w:szCs w:val="32"/>
          <w:highlight w:val="none"/>
          <w:lang w:eastAsia="zh-CN"/>
        </w:rPr>
        <w:t>业</w:t>
      </w:r>
      <w:r>
        <w:rPr>
          <w:rFonts w:hint="default" w:ascii="Times New Roman" w:hAnsi="Times New Roman" w:eastAsia="方正仿宋简体" w:cs="Times New Roman"/>
          <w:color w:val="auto"/>
          <w:sz w:val="32"/>
          <w:szCs w:val="32"/>
          <w:highlight w:val="none"/>
          <w:lang w:eastAsia="zh-CN"/>
        </w:rPr>
        <w:t>务</w:t>
      </w:r>
      <w:r>
        <w:rPr>
          <w:rFonts w:hint="eastAsia" w:ascii="Times New Roman" w:hAnsi="Times New Roman" w:eastAsia="方正仿宋简体" w:cs="Times New Roman"/>
          <w:color w:val="auto"/>
          <w:sz w:val="32"/>
          <w:szCs w:val="32"/>
          <w:highlight w:val="none"/>
          <w:lang w:eastAsia="zh-CN"/>
        </w:rPr>
        <w:t>收入</w:t>
      </w:r>
      <w:r>
        <w:rPr>
          <w:rFonts w:hint="eastAsia" w:ascii="Times New Roman" w:hAnsi="Times New Roman" w:eastAsia="方正仿宋简体" w:cs="Times New Roman"/>
          <w:color w:val="auto"/>
          <w:sz w:val="32"/>
          <w:szCs w:val="32"/>
          <w:highlight w:val="none"/>
          <w:lang w:val="en-US" w:eastAsia="zh-CN"/>
        </w:rPr>
        <w:t>19.11</w:t>
      </w:r>
      <w:r>
        <w:rPr>
          <w:rFonts w:hint="default" w:ascii="Times New Roman" w:hAnsi="Times New Roman" w:eastAsia="方正仿宋简体" w:cs="Times New Roman"/>
          <w:color w:val="auto"/>
          <w:sz w:val="32"/>
          <w:szCs w:val="32"/>
          <w:highlight w:val="none"/>
          <w:lang w:val="en-US" w:eastAsia="zh-CN"/>
        </w:rPr>
        <w:t>亿元</w:t>
      </w:r>
      <w:r>
        <w:rPr>
          <w:rFonts w:hint="default" w:ascii="Times New Roman" w:hAnsi="Times New Roman" w:eastAsia="方正仿宋简体" w:cs="Times New Roman"/>
          <w:color w:val="auto"/>
          <w:sz w:val="32"/>
          <w:szCs w:val="32"/>
          <w:highlight w:val="none"/>
          <w:lang w:eastAsia="zh-CN"/>
        </w:rPr>
        <w:t>，</w:t>
      </w:r>
      <w:r>
        <w:rPr>
          <w:rFonts w:hint="eastAsia" w:ascii="Times New Roman" w:hAnsi="Times New Roman" w:eastAsia="方正仿宋简体" w:cs="Times New Roman"/>
          <w:color w:val="auto"/>
          <w:sz w:val="32"/>
          <w:szCs w:val="32"/>
          <w:highlight w:val="none"/>
          <w:lang w:val="en-US" w:eastAsia="zh-CN"/>
        </w:rPr>
        <w:t>增长1.5</w:t>
      </w:r>
      <w:r>
        <w:rPr>
          <w:rFonts w:hint="default"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rPr>
        <w:t>快递业务量</w:t>
      </w:r>
      <w:r>
        <w:rPr>
          <w:rFonts w:hint="eastAsia" w:ascii="Times New Roman" w:hAnsi="Times New Roman" w:eastAsia="方正仿宋简体" w:cs="Times New Roman"/>
          <w:color w:val="auto"/>
          <w:sz w:val="32"/>
          <w:szCs w:val="32"/>
          <w:highlight w:val="none"/>
          <w:lang w:val="en-US" w:eastAsia="zh-CN"/>
        </w:rPr>
        <w:t>3951.89</w:t>
      </w:r>
      <w:r>
        <w:rPr>
          <w:rFonts w:hint="default" w:ascii="Times New Roman" w:hAnsi="Times New Roman" w:eastAsia="方正仿宋简体" w:cs="Times New Roman"/>
          <w:color w:val="auto"/>
          <w:sz w:val="32"/>
          <w:szCs w:val="32"/>
          <w:highlight w:val="none"/>
        </w:rPr>
        <w:t>万件，快递业务收入</w:t>
      </w:r>
      <w:r>
        <w:rPr>
          <w:rFonts w:hint="eastAsia" w:ascii="Times New Roman" w:hAnsi="Times New Roman" w:eastAsia="方正仿宋简体" w:cs="Times New Roman"/>
          <w:color w:val="auto"/>
          <w:sz w:val="32"/>
          <w:szCs w:val="32"/>
          <w:highlight w:val="none"/>
          <w:lang w:val="en-US" w:eastAsia="zh-CN"/>
        </w:rPr>
        <w:t>2.87</w:t>
      </w:r>
      <w:r>
        <w:rPr>
          <w:rFonts w:hint="default" w:ascii="Times New Roman" w:hAnsi="Times New Roman" w:eastAsia="方正仿宋简体" w:cs="Times New Roman"/>
          <w:color w:val="auto"/>
          <w:sz w:val="32"/>
          <w:szCs w:val="32"/>
          <w:highlight w:val="none"/>
        </w:rPr>
        <w:t>亿元。</w:t>
      </w:r>
    </w:p>
    <w:p>
      <w:pPr>
        <w:keepNext w:val="0"/>
        <w:keepLines w:val="0"/>
        <w:pageBreakBefore w:val="0"/>
        <w:widowControl w:val="0"/>
        <w:kinsoku/>
        <w:wordWrap/>
        <w:overflowPunct/>
        <w:topLinePunct w:val="0"/>
        <w:autoSpaceDE/>
        <w:autoSpaceDN/>
        <w:bidi w:val="0"/>
        <w:adjustRightInd/>
        <w:snapToGrid/>
        <w:spacing w:line="560" w:lineRule="exact"/>
        <w:ind w:firstLine="653"/>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五、固定资产投资</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color w:val="0000FF"/>
          <w:highlight w:val="yellow"/>
        </w:rPr>
      </w:pPr>
      <w:r>
        <w:rPr>
          <w:rFonts w:hint="default" w:ascii="Times New Roman" w:hAnsi="Times New Roman" w:eastAsia="方正仿宋简体" w:cs="Times New Roman"/>
          <w:color w:val="auto"/>
          <w:sz w:val="32"/>
          <w:szCs w:val="32"/>
          <w:highlight w:val="none"/>
          <w:lang w:val="en-US" w:eastAsia="zh-CN"/>
        </w:rPr>
        <w:t>全年固定资产投资（不含农户）比上年增长</w:t>
      </w:r>
      <w:r>
        <w:rPr>
          <w:rFonts w:hint="eastAsia" w:ascii="Times New Roman" w:hAnsi="Times New Roman" w:eastAsia="方正仿宋简体" w:cs="Times New Roman"/>
          <w:color w:val="auto"/>
          <w:sz w:val="32"/>
          <w:szCs w:val="32"/>
          <w:highlight w:val="none"/>
          <w:lang w:val="en-US" w:eastAsia="zh-CN"/>
        </w:rPr>
        <w:t>9.9</w:t>
      </w:r>
      <w:r>
        <w:rPr>
          <w:rFonts w:hint="default" w:ascii="Times New Roman" w:hAnsi="Times New Roman" w:eastAsia="方正仿宋简体" w:cs="Times New Roman"/>
          <w:color w:val="auto"/>
          <w:sz w:val="32"/>
          <w:szCs w:val="32"/>
          <w:highlight w:val="none"/>
          <w:lang w:val="en-US" w:eastAsia="zh-CN"/>
        </w:rPr>
        <w:t>%。分产业看，第一产业投资</w:t>
      </w:r>
      <w:r>
        <w:rPr>
          <w:rFonts w:hint="eastAsia" w:ascii="Times New Roman" w:hAnsi="Times New Roman" w:eastAsia="方正仿宋简体" w:cs="Times New Roman"/>
          <w:color w:val="auto"/>
          <w:sz w:val="32"/>
          <w:szCs w:val="32"/>
          <w:highlight w:val="none"/>
          <w:lang w:val="en-US" w:eastAsia="zh-CN"/>
        </w:rPr>
        <w:t>增长155.3%</w:t>
      </w:r>
      <w:r>
        <w:rPr>
          <w:rFonts w:hint="default" w:ascii="Times New Roman" w:hAnsi="Times New Roman" w:eastAsia="方正仿宋简体" w:cs="Times New Roman"/>
          <w:color w:val="auto"/>
          <w:sz w:val="32"/>
          <w:szCs w:val="32"/>
          <w:highlight w:val="none"/>
          <w:lang w:val="en-US" w:eastAsia="zh-CN"/>
        </w:rPr>
        <w:t>；第二产业投资</w:t>
      </w:r>
      <w:r>
        <w:rPr>
          <w:rFonts w:hint="eastAsia" w:ascii="Times New Roman" w:hAnsi="Times New Roman" w:eastAsia="方正仿宋简体" w:cs="Times New Roman"/>
          <w:color w:val="auto"/>
          <w:sz w:val="32"/>
          <w:szCs w:val="32"/>
          <w:highlight w:val="none"/>
          <w:lang w:val="en-US" w:eastAsia="zh-CN"/>
        </w:rPr>
        <w:t>下降3.5%</w:t>
      </w:r>
      <w:r>
        <w:rPr>
          <w:rFonts w:hint="default" w:ascii="Times New Roman" w:hAnsi="Times New Roman" w:eastAsia="方正仿宋简体" w:cs="Times New Roman"/>
          <w:color w:val="auto"/>
          <w:sz w:val="32"/>
          <w:szCs w:val="32"/>
          <w:highlight w:val="none"/>
          <w:lang w:val="en-US" w:eastAsia="zh-CN"/>
        </w:rPr>
        <w:t>；第三产业投资</w:t>
      </w:r>
      <w:r>
        <w:rPr>
          <w:rFonts w:hint="eastAsia" w:ascii="Times New Roman" w:hAnsi="Times New Roman" w:eastAsia="方正仿宋简体" w:cs="Times New Roman"/>
          <w:color w:val="auto"/>
          <w:sz w:val="32"/>
          <w:szCs w:val="32"/>
          <w:highlight w:val="none"/>
          <w:lang w:val="en-US" w:eastAsia="zh-CN"/>
        </w:rPr>
        <w:t>增长18.4%</w:t>
      </w:r>
      <w:r>
        <w:rPr>
          <w:rFonts w:hint="default" w:ascii="Times New Roman" w:hAnsi="Times New Roman" w:eastAsia="方正仿宋简体" w:cs="Times New Roman"/>
          <w:color w:val="auto"/>
          <w:sz w:val="32"/>
          <w:szCs w:val="32"/>
          <w:highlight w:val="none"/>
          <w:lang w:val="en-US" w:eastAsia="zh-CN"/>
        </w:rPr>
        <w:t>。分主体看，国有投资</w:t>
      </w:r>
      <w:r>
        <w:rPr>
          <w:rFonts w:hint="eastAsia" w:ascii="Times New Roman" w:hAnsi="Times New Roman" w:eastAsia="方正仿宋简体" w:cs="Times New Roman"/>
          <w:color w:val="auto"/>
          <w:sz w:val="32"/>
          <w:szCs w:val="32"/>
          <w:highlight w:val="none"/>
          <w:lang w:val="en-US" w:eastAsia="zh-CN"/>
        </w:rPr>
        <w:t>增长4.2%</w:t>
      </w:r>
      <w:r>
        <w:rPr>
          <w:rFonts w:hint="default" w:ascii="Times New Roman" w:hAnsi="Times New Roman" w:eastAsia="方正仿宋简体" w:cs="Times New Roman"/>
          <w:color w:val="auto"/>
          <w:sz w:val="32"/>
          <w:szCs w:val="32"/>
          <w:highlight w:val="none"/>
          <w:lang w:val="en-US" w:eastAsia="zh-CN"/>
        </w:rPr>
        <w:t>；民间投资</w:t>
      </w:r>
      <w:r>
        <w:rPr>
          <w:rFonts w:hint="eastAsia" w:ascii="Times New Roman" w:hAnsi="Times New Roman" w:eastAsia="方正仿宋简体" w:cs="Times New Roman"/>
          <w:color w:val="auto"/>
          <w:sz w:val="32"/>
          <w:szCs w:val="32"/>
          <w:highlight w:val="none"/>
          <w:lang w:val="en-US" w:eastAsia="zh-CN"/>
        </w:rPr>
        <w:t>增长20.5%</w:t>
      </w:r>
      <w:r>
        <w:rPr>
          <w:rFonts w:hint="default" w:ascii="Times New Roman" w:hAnsi="Times New Roman" w:eastAsia="方正仿宋简体" w:cs="Times New Roman"/>
          <w:color w:val="auto"/>
          <w:sz w:val="32"/>
          <w:szCs w:val="32"/>
          <w:highlight w:val="none"/>
          <w:lang w:val="en-US" w:eastAsia="zh-CN"/>
        </w:rPr>
        <w:t>。分类型看，建筑安装工程投资</w:t>
      </w:r>
      <w:r>
        <w:rPr>
          <w:rFonts w:hint="eastAsia" w:ascii="Times New Roman" w:hAnsi="Times New Roman" w:eastAsia="方正仿宋简体" w:cs="Times New Roman"/>
          <w:color w:val="auto"/>
          <w:sz w:val="32"/>
          <w:szCs w:val="32"/>
          <w:highlight w:val="none"/>
          <w:lang w:val="en-US" w:eastAsia="zh-CN"/>
        </w:rPr>
        <w:t>增长2.5%</w:t>
      </w:r>
      <w:r>
        <w:rPr>
          <w:rFonts w:hint="default" w:ascii="Times New Roman" w:hAnsi="Times New Roman" w:eastAsia="方正仿宋简体" w:cs="Times New Roman"/>
          <w:color w:val="auto"/>
          <w:sz w:val="32"/>
          <w:szCs w:val="32"/>
          <w:highlight w:val="none"/>
          <w:lang w:val="en-US" w:eastAsia="zh-CN"/>
        </w:rPr>
        <w:t>；设备购置投资</w:t>
      </w:r>
      <w:r>
        <w:rPr>
          <w:rFonts w:hint="eastAsia" w:ascii="Times New Roman" w:hAnsi="Times New Roman" w:eastAsia="方正仿宋简体" w:cs="Times New Roman"/>
          <w:color w:val="auto"/>
          <w:sz w:val="32"/>
          <w:szCs w:val="32"/>
          <w:highlight w:val="none"/>
          <w:lang w:val="en-US" w:eastAsia="zh-CN"/>
        </w:rPr>
        <w:t>增长9.7%</w:t>
      </w:r>
      <w:r>
        <w:rPr>
          <w:rFonts w:hint="default" w:ascii="Times New Roman" w:hAnsi="Times New Roman" w:eastAsia="方正仿宋简体" w:cs="Times New Roman"/>
          <w:color w:val="auto"/>
          <w:sz w:val="32"/>
          <w:szCs w:val="32"/>
          <w:highlight w:val="none"/>
          <w:lang w:val="en-US" w:eastAsia="zh-CN"/>
        </w:rPr>
        <w:t>；其他费用投资</w:t>
      </w:r>
      <w:r>
        <w:rPr>
          <w:rFonts w:hint="eastAsia" w:ascii="Times New Roman" w:hAnsi="Times New Roman" w:eastAsia="方正仿宋简体" w:cs="Times New Roman"/>
          <w:color w:val="auto"/>
          <w:sz w:val="32"/>
          <w:szCs w:val="32"/>
          <w:highlight w:val="none"/>
          <w:lang w:val="en-US" w:eastAsia="zh-CN"/>
        </w:rPr>
        <w:t>增长91.6%</w:t>
      </w:r>
      <w:r>
        <w:rPr>
          <w:rFonts w:hint="default" w:ascii="Times New Roman" w:hAnsi="Times New Roman" w:eastAsia="方正仿宋简体" w:cs="Times New Roman"/>
          <w:color w:val="auto"/>
          <w:sz w:val="32"/>
          <w:szCs w:val="32"/>
          <w:highlight w:val="none"/>
          <w:lang w:val="en-US" w:eastAsia="zh-CN"/>
        </w:rPr>
        <w:t>；基础设施投资</w:t>
      </w:r>
      <w:r>
        <w:rPr>
          <w:rFonts w:hint="eastAsia" w:ascii="Times New Roman" w:hAnsi="Times New Roman" w:eastAsia="方正仿宋简体" w:cs="Times New Roman"/>
          <w:color w:val="auto"/>
          <w:sz w:val="32"/>
          <w:szCs w:val="32"/>
          <w:highlight w:val="none"/>
          <w:lang w:val="en-US" w:eastAsia="zh-CN"/>
        </w:rPr>
        <w:t>下降2.2</w:t>
      </w:r>
      <w:r>
        <w:rPr>
          <w:rFonts w:hint="default" w:ascii="Times New Roman" w:hAnsi="Times New Roman" w:eastAsia="方正仿宋简体" w:cs="Times New Roman"/>
          <w:color w:val="auto"/>
          <w:sz w:val="32"/>
          <w:szCs w:val="32"/>
          <w:highlight w:val="none"/>
          <w:lang w:val="en-US" w:eastAsia="zh-CN"/>
        </w:rPr>
        <w:t>%</w:t>
      </w:r>
      <w:r>
        <w:rPr>
          <w:rFonts w:hint="eastAsia" w:ascii="Times New Roman" w:hAnsi="Times New Roman" w:eastAsia="方正仿宋简体" w:cs="Times New Roman"/>
          <w:color w:val="auto"/>
          <w:sz w:val="32"/>
          <w:szCs w:val="32"/>
          <w:highlight w:val="none"/>
          <w:lang w:val="en-US" w:eastAsia="zh-CN"/>
        </w:rPr>
        <w:t>。</w:t>
      </w:r>
    </w:p>
    <w:p>
      <w:pPr>
        <w:rPr>
          <w:color w:val="0000FF"/>
          <w:highlight w:val="yellow"/>
        </w:rPr>
      </w:pPr>
    </w:p>
    <w:tbl>
      <w:tblPr>
        <w:tblStyle w:val="9"/>
        <w:tblpPr w:leftFromText="180" w:rightFromText="180" w:vertAnchor="text" w:horzAnchor="page" w:tblpX="1801" w:tblpY="79"/>
        <w:tblOverlap w:val="never"/>
        <w:tblW w:w="8304" w:type="dxa"/>
        <w:tblInd w:w="0" w:type="dxa"/>
        <w:shd w:val="clear" w:color="auto" w:fill="auto"/>
        <w:tblLayout w:type="fixed"/>
        <w:tblCellMar>
          <w:top w:w="0" w:type="dxa"/>
          <w:left w:w="0" w:type="dxa"/>
          <w:bottom w:w="0" w:type="dxa"/>
          <w:right w:w="0" w:type="dxa"/>
        </w:tblCellMar>
      </w:tblPr>
      <w:tblGrid>
        <w:gridCol w:w="2310"/>
        <w:gridCol w:w="1844"/>
        <w:gridCol w:w="2300"/>
        <w:gridCol w:w="1850"/>
      </w:tblGrid>
      <w:tr>
        <w:tblPrEx>
          <w:shd w:val="clear" w:color="auto" w:fill="auto"/>
          <w:tblLayout w:type="fixed"/>
          <w:tblCellMar>
            <w:top w:w="0" w:type="dxa"/>
            <w:left w:w="0" w:type="dxa"/>
            <w:bottom w:w="0" w:type="dxa"/>
            <w:right w:w="0" w:type="dxa"/>
          </w:tblCellMar>
        </w:tblPrEx>
        <w:trPr>
          <w:trHeight w:val="599" w:hRule="atLeast"/>
        </w:trPr>
        <w:tc>
          <w:tcPr>
            <w:tcW w:w="8304" w:type="dxa"/>
            <w:gridSpan w:val="4"/>
            <w:tcBorders>
              <w:top w:val="nil"/>
              <w:left w:val="nil"/>
              <w:bottom w:val="nil"/>
              <w:right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highlight w:val="none"/>
                <w:u w:val="none"/>
              </w:rPr>
            </w:pPr>
            <w:r>
              <w:rPr>
                <w:rFonts w:hint="eastAsia" w:ascii="方正小标宋简体" w:hAnsi="方正小标宋简体" w:eastAsia="方正小标宋简体" w:cs="方正小标宋简体"/>
                <w:i w:val="0"/>
                <w:color w:val="auto"/>
                <w:kern w:val="0"/>
                <w:sz w:val="28"/>
                <w:szCs w:val="28"/>
                <w:highlight w:val="none"/>
                <w:u w:val="none"/>
                <w:lang w:val="en-US" w:eastAsia="zh-CN" w:bidi="ar"/>
              </w:rPr>
              <w:t>2025年分行业固定资产投资（不含农户）增速</w:t>
            </w:r>
          </w:p>
        </w:tc>
      </w:tr>
      <w:tr>
        <w:tblPrEx>
          <w:shd w:val="clear" w:color="auto" w:fill="auto"/>
          <w:tblLayout w:type="fixed"/>
          <w:tblCellMar>
            <w:top w:w="0" w:type="dxa"/>
            <w:left w:w="0" w:type="dxa"/>
            <w:bottom w:w="0" w:type="dxa"/>
            <w:right w:w="0" w:type="dxa"/>
          </w:tblCellMar>
        </w:tblPrEx>
        <w:trPr>
          <w:cantSplit/>
          <w:trHeight w:val="227" w:hRule="atLeast"/>
        </w:trPr>
        <w:tc>
          <w:tcPr>
            <w:tcW w:w="23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行 业</w:t>
            </w:r>
          </w:p>
        </w:tc>
        <w:tc>
          <w:tcPr>
            <w:tcW w:w="184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比上年增长</w:t>
            </w:r>
            <w:r>
              <w:rPr>
                <w:rFonts w:hint="eastAsia" w:ascii="Times New Roman" w:hAnsi="Times New Roman" w:eastAsia="宋体" w:cs="Times New Roman"/>
                <w:b/>
                <w:bCs/>
                <w:i w:val="0"/>
                <w:color w:val="000000"/>
                <w:kern w:val="0"/>
                <w:sz w:val="24"/>
                <w:szCs w:val="24"/>
                <w:highlight w:val="none"/>
                <w:u w:val="none"/>
                <w:lang w:val="en-US" w:eastAsia="zh-CN" w:bidi="ar"/>
              </w:rPr>
              <w:t>（%）</w:t>
            </w:r>
          </w:p>
        </w:tc>
        <w:tc>
          <w:tcPr>
            <w:tcW w:w="23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行 业</w:t>
            </w:r>
          </w:p>
        </w:tc>
        <w:tc>
          <w:tcPr>
            <w:tcW w:w="185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比上年增长</w:t>
            </w:r>
            <w:r>
              <w:rPr>
                <w:rFonts w:hint="eastAsia" w:ascii="Times New Roman" w:hAnsi="Times New Roman" w:eastAsia="宋体" w:cs="Times New Roman"/>
                <w:b/>
                <w:bCs/>
                <w:i w:val="0"/>
                <w:color w:val="000000"/>
                <w:kern w:val="0"/>
                <w:sz w:val="24"/>
                <w:szCs w:val="24"/>
                <w:highlight w:val="none"/>
                <w:u w:val="none"/>
                <w:lang w:val="en-US" w:eastAsia="zh-CN" w:bidi="ar"/>
              </w:rPr>
              <w:t>（%）</w:t>
            </w:r>
          </w:p>
        </w:tc>
      </w:tr>
      <w:tr>
        <w:tblPrEx>
          <w:shd w:val="clear" w:color="auto" w:fill="auto"/>
          <w:tblLayout w:type="fixed"/>
          <w:tblCellMar>
            <w:top w:w="0" w:type="dxa"/>
            <w:left w:w="0" w:type="dxa"/>
            <w:bottom w:w="0" w:type="dxa"/>
            <w:right w:w="0" w:type="dxa"/>
          </w:tblCellMar>
        </w:tblPrEx>
        <w:trPr>
          <w:cantSplit/>
          <w:trHeight w:val="454" w:hRule="exac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b/>
                <w:bCs/>
                <w:i w:val="0"/>
                <w:color w:val="0000FF"/>
                <w:sz w:val="20"/>
                <w:szCs w:val="20"/>
                <w:highlight w:val="none"/>
                <w:u w:val="none"/>
              </w:rPr>
            </w:pPr>
            <w:r>
              <w:rPr>
                <w:rFonts w:hint="eastAsia" w:ascii="宋体" w:hAnsi="宋体" w:eastAsia="宋体" w:cs="宋体"/>
                <w:b/>
                <w:bCs/>
                <w:i w:val="0"/>
                <w:color w:val="000000"/>
                <w:kern w:val="0"/>
                <w:sz w:val="20"/>
                <w:szCs w:val="20"/>
                <w:highlight w:val="none"/>
                <w:u w:val="none"/>
                <w:lang w:val="en-US" w:eastAsia="zh-CN" w:bidi="ar"/>
              </w:rPr>
              <w:t>总 计</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lang w:val="en-US"/>
              </w:rPr>
            </w:pPr>
            <w:r>
              <w:rPr>
                <w:rFonts w:hint="eastAsia" w:ascii="Times New Roman" w:hAnsi="Times New Roman" w:eastAsia="宋体" w:cs="Times New Roman"/>
                <w:i w:val="0"/>
                <w:color w:val="000000"/>
                <w:kern w:val="0"/>
                <w:sz w:val="24"/>
                <w:szCs w:val="24"/>
                <w:highlight w:val="none"/>
                <w:u w:val="none"/>
                <w:lang w:val="en-US" w:eastAsia="zh-CN" w:bidi="ar"/>
              </w:rPr>
              <w:t>9.9</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b/>
                <w:bCs/>
                <w:i w:val="0"/>
                <w:color w:val="0000FF"/>
                <w:sz w:val="20"/>
                <w:szCs w:val="20"/>
                <w:highlight w:val="none"/>
                <w:u w:val="none"/>
              </w:rPr>
            </w:pPr>
            <w:r>
              <w:rPr>
                <w:rStyle w:val="13"/>
                <w:b/>
                <w:bCs/>
                <w:sz w:val="18"/>
                <w:szCs w:val="18"/>
                <w:highlight w:val="none"/>
                <w:lang w:val="en-US" w:eastAsia="zh-CN" w:bidi="ar"/>
              </w:rPr>
              <w:t>信息传输、软件和信息技术服务业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100.7</w:t>
            </w:r>
          </w:p>
        </w:tc>
      </w:tr>
      <w:tr>
        <w:tblPrEx>
          <w:tblLayout w:type="fixed"/>
          <w:tblCellMar>
            <w:top w:w="0" w:type="dxa"/>
            <w:left w:w="0" w:type="dxa"/>
            <w:bottom w:w="0" w:type="dxa"/>
            <w:right w:w="0" w:type="dxa"/>
          </w:tblCellMar>
        </w:tblPrEx>
        <w:trPr>
          <w:cantSplit/>
          <w:trHeight w:val="454" w:hRule="exac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0"/>
                <w:szCs w:val="20"/>
                <w:highlight w:val="none"/>
                <w:u w:val="none"/>
              </w:rPr>
            </w:pPr>
            <w:r>
              <w:rPr>
                <w:rStyle w:val="13"/>
                <w:b/>
                <w:bCs/>
                <w:sz w:val="20"/>
                <w:szCs w:val="20"/>
                <w:highlight w:val="none"/>
                <w:lang w:val="en-US" w:eastAsia="zh-CN" w:bidi="ar"/>
              </w:rPr>
              <w:t>采矿业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83.7</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0"/>
                <w:szCs w:val="20"/>
                <w:highlight w:val="none"/>
                <w:u w:val="none"/>
              </w:rPr>
            </w:pPr>
            <w:r>
              <w:rPr>
                <w:rStyle w:val="13"/>
                <w:b/>
                <w:bCs/>
                <w:sz w:val="20"/>
                <w:szCs w:val="20"/>
                <w:highlight w:val="none"/>
                <w:lang w:val="en-US" w:eastAsia="zh-CN" w:bidi="ar"/>
              </w:rPr>
              <w:t>房地产业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-22.3</w:t>
            </w:r>
          </w:p>
        </w:tc>
      </w:tr>
      <w:tr>
        <w:tblPrEx>
          <w:tblLayout w:type="fixed"/>
          <w:tblCellMar>
            <w:top w:w="0" w:type="dxa"/>
            <w:left w:w="0" w:type="dxa"/>
            <w:bottom w:w="0" w:type="dxa"/>
            <w:right w:w="0" w:type="dxa"/>
          </w:tblCellMar>
        </w:tblPrEx>
        <w:trPr>
          <w:cantSplit/>
          <w:trHeight w:val="454" w:hRule="exac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0"/>
                <w:szCs w:val="20"/>
                <w:highlight w:val="none"/>
                <w:u w:val="none"/>
              </w:rPr>
            </w:pPr>
            <w:r>
              <w:rPr>
                <w:rStyle w:val="13"/>
                <w:b/>
                <w:bCs/>
                <w:sz w:val="20"/>
                <w:szCs w:val="20"/>
                <w:highlight w:val="none"/>
                <w:lang w:val="en-US" w:eastAsia="zh-CN" w:bidi="ar"/>
              </w:rPr>
              <w:t>制造业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-25.7</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0"/>
                <w:szCs w:val="20"/>
                <w:highlight w:val="none"/>
                <w:u w:val="none"/>
              </w:rPr>
            </w:pPr>
            <w:r>
              <w:rPr>
                <w:rStyle w:val="13"/>
                <w:b/>
                <w:bCs/>
                <w:sz w:val="20"/>
                <w:szCs w:val="20"/>
                <w:highlight w:val="none"/>
                <w:lang w:val="en-US" w:eastAsia="zh-CN" w:bidi="ar"/>
              </w:rPr>
              <w:t>科学研究和技术服务业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-83.3</w:t>
            </w:r>
          </w:p>
        </w:tc>
      </w:tr>
      <w:tr>
        <w:tblPrEx>
          <w:tblLayout w:type="fixed"/>
          <w:tblCellMar>
            <w:top w:w="0" w:type="dxa"/>
            <w:left w:w="0" w:type="dxa"/>
            <w:bottom w:w="0" w:type="dxa"/>
            <w:right w:w="0" w:type="dxa"/>
          </w:tblCellMar>
        </w:tblPrEx>
        <w:trPr>
          <w:cantSplit/>
          <w:trHeight w:val="454" w:hRule="exac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b/>
                <w:bCs/>
                <w:i w:val="0"/>
                <w:color w:val="0000FF"/>
                <w:sz w:val="20"/>
                <w:szCs w:val="20"/>
                <w:highlight w:val="none"/>
                <w:u w:val="none"/>
              </w:rPr>
            </w:pPr>
            <w:r>
              <w:rPr>
                <w:rStyle w:val="13"/>
                <w:b/>
                <w:bCs/>
                <w:sz w:val="18"/>
                <w:szCs w:val="18"/>
                <w:highlight w:val="none"/>
                <w:lang w:val="en-US" w:eastAsia="zh-CN" w:bidi="ar"/>
              </w:rPr>
              <w:t>电力、燃气及水的生产和供应业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-14.6</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b/>
                <w:bCs/>
                <w:i w:val="0"/>
                <w:color w:val="0000FF"/>
                <w:sz w:val="20"/>
                <w:szCs w:val="20"/>
                <w:highlight w:val="none"/>
                <w:u w:val="none"/>
              </w:rPr>
            </w:pPr>
            <w:r>
              <w:rPr>
                <w:rStyle w:val="13"/>
                <w:b/>
                <w:bCs/>
                <w:sz w:val="18"/>
                <w:szCs w:val="18"/>
                <w:highlight w:val="none"/>
                <w:lang w:val="en-US" w:eastAsia="zh-CN" w:bidi="ar"/>
              </w:rPr>
              <w:t>水利、环境和公共设施管理业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-6.2</w:t>
            </w:r>
          </w:p>
        </w:tc>
      </w:tr>
      <w:tr>
        <w:tblPrEx>
          <w:shd w:val="clear" w:color="auto" w:fill="auto"/>
          <w:tblLayout w:type="fixed"/>
          <w:tblCellMar>
            <w:top w:w="0" w:type="dxa"/>
            <w:left w:w="0" w:type="dxa"/>
            <w:bottom w:w="0" w:type="dxa"/>
            <w:right w:w="0" w:type="dxa"/>
          </w:tblCellMar>
        </w:tblPrEx>
        <w:trPr>
          <w:cantSplit/>
          <w:trHeight w:val="454" w:hRule="exac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批发和零售业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-5.3</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教</w:t>
            </w:r>
            <w:r>
              <w:rPr>
                <w:rStyle w:val="11"/>
                <w:rFonts w:eastAsia="宋体"/>
                <w:b/>
                <w:bCs/>
                <w:sz w:val="21"/>
                <w:szCs w:val="21"/>
                <w:highlight w:val="none"/>
                <w:lang w:val="en-US" w:eastAsia="zh-CN" w:bidi="ar"/>
              </w:rPr>
              <w:t xml:space="preserve">  </w:t>
            </w:r>
            <w:r>
              <w:rPr>
                <w:rStyle w:val="13"/>
                <w:b/>
                <w:bCs/>
                <w:sz w:val="21"/>
                <w:szCs w:val="21"/>
                <w:highlight w:val="none"/>
                <w:lang w:val="en-US" w:eastAsia="zh-CN" w:bidi="ar"/>
              </w:rPr>
              <w:t>育</w:t>
            </w:r>
          </w:p>
        </w:tc>
        <w:tc>
          <w:tcPr>
            <w:tcW w:w="185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33.4</w:t>
            </w:r>
          </w:p>
        </w:tc>
      </w:tr>
      <w:tr>
        <w:tblPrEx>
          <w:tblLayout w:type="fixed"/>
          <w:tblCellMar>
            <w:top w:w="0" w:type="dxa"/>
            <w:left w:w="0" w:type="dxa"/>
            <w:bottom w:w="0" w:type="dxa"/>
            <w:right w:w="0" w:type="dxa"/>
          </w:tblCellMar>
        </w:tblPrEx>
        <w:trPr>
          <w:cantSplit/>
          <w:trHeight w:val="454" w:hRule="exac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0"/>
                <w:szCs w:val="20"/>
                <w:highlight w:val="none"/>
                <w:lang w:val="en-US" w:eastAsia="zh-CN" w:bidi="ar"/>
              </w:rPr>
              <w:t>交通运输、仓储和邮政业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130.3</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卫生和社会工作</w:t>
            </w:r>
          </w:p>
        </w:tc>
        <w:tc>
          <w:tcPr>
            <w:tcW w:w="185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47.9</w:t>
            </w:r>
          </w:p>
        </w:tc>
      </w:tr>
      <w:tr>
        <w:tblPrEx>
          <w:tblLayout w:type="fixed"/>
          <w:tblCellMar>
            <w:top w:w="0" w:type="dxa"/>
            <w:left w:w="0" w:type="dxa"/>
            <w:bottom w:w="0" w:type="dxa"/>
            <w:right w:w="0" w:type="dxa"/>
          </w:tblCellMar>
        </w:tblPrEx>
        <w:trPr>
          <w:cantSplit/>
          <w:trHeight w:val="454" w:hRule="exac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住宿和餐饮业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lang w:val="en-US"/>
              </w:rPr>
            </w:pPr>
            <w:r>
              <w:rPr>
                <w:rFonts w:hint="eastAsia" w:ascii="Times New Roman" w:hAnsi="Times New Roman" w:eastAsia="宋体" w:cs="Times New Roman"/>
                <w:i w:val="0"/>
                <w:color w:val="000000"/>
                <w:kern w:val="0"/>
                <w:sz w:val="24"/>
                <w:szCs w:val="24"/>
                <w:highlight w:val="none"/>
                <w:u w:val="none"/>
                <w:lang w:val="en-US" w:eastAsia="zh-CN" w:bidi="ar"/>
              </w:rPr>
              <w:t>-32.0</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文化、体育和娱乐业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28.3</w:t>
            </w:r>
          </w:p>
        </w:tc>
      </w:tr>
    </w:tbl>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六、国内外贸易</w:t>
      </w:r>
    </w:p>
    <w:p>
      <w:pPr>
        <w:ind w:firstLine="640" w:firstLineChars="200"/>
        <w:rPr>
          <w:rFonts w:hint="eastAsia" w:ascii="黑体" w:hAnsi="黑体" w:eastAsia="黑体" w:cs="黑体"/>
          <w:color w:val="auto"/>
          <w:sz w:val="32"/>
          <w:szCs w:val="32"/>
          <w:highlight w:val="none"/>
        </w:rPr>
      </w:pPr>
      <w:r>
        <w:rPr>
          <w:rFonts w:hint="default" w:ascii="Times New Roman" w:hAnsi="Times New Roman" w:eastAsia="方正仿宋简体" w:cs="Times New Roman"/>
          <w:color w:val="auto"/>
          <w:sz w:val="32"/>
          <w:szCs w:val="32"/>
          <w:highlight w:val="none"/>
        </w:rPr>
        <w:t>全年社会消费品零售总额比上年增长4.4%。全年限额以上单位商品零售额中，粮油、食品类增长</w:t>
      </w:r>
      <w:r>
        <w:rPr>
          <w:rFonts w:hint="eastAsia" w:ascii="Times New Roman" w:hAnsi="Times New Roman" w:eastAsia="方正仿宋简体" w:cs="Times New Roman"/>
          <w:color w:val="auto"/>
          <w:sz w:val="32"/>
          <w:szCs w:val="32"/>
          <w:highlight w:val="none"/>
          <w:lang w:val="en-US" w:eastAsia="zh-CN"/>
        </w:rPr>
        <w:t>42.1</w:t>
      </w:r>
      <w:r>
        <w:rPr>
          <w:rFonts w:hint="default" w:ascii="Times New Roman" w:hAnsi="Times New Roman" w:eastAsia="方正仿宋简体" w:cs="Times New Roman"/>
          <w:color w:val="auto"/>
          <w:sz w:val="32"/>
          <w:szCs w:val="32"/>
          <w:highlight w:val="none"/>
        </w:rPr>
        <w:t>%；饮料类增长</w:t>
      </w:r>
      <w:r>
        <w:rPr>
          <w:rFonts w:hint="eastAsia" w:ascii="Times New Roman" w:hAnsi="Times New Roman" w:eastAsia="方正仿宋简体" w:cs="Times New Roman"/>
          <w:color w:val="auto"/>
          <w:sz w:val="32"/>
          <w:szCs w:val="32"/>
          <w:highlight w:val="none"/>
          <w:lang w:val="en-US" w:eastAsia="zh-CN"/>
        </w:rPr>
        <w:t>35.4</w:t>
      </w:r>
      <w:r>
        <w:rPr>
          <w:rFonts w:hint="default" w:ascii="Times New Roman" w:hAnsi="Times New Roman" w:eastAsia="方正仿宋简体" w:cs="Times New Roman"/>
          <w:color w:val="auto"/>
          <w:sz w:val="32"/>
          <w:szCs w:val="32"/>
          <w:highlight w:val="none"/>
        </w:rPr>
        <w:t>%；日用品类增长</w:t>
      </w:r>
      <w:r>
        <w:rPr>
          <w:rFonts w:hint="eastAsia" w:ascii="Times New Roman" w:hAnsi="Times New Roman" w:eastAsia="方正仿宋简体" w:cs="Times New Roman"/>
          <w:color w:val="auto"/>
          <w:sz w:val="32"/>
          <w:szCs w:val="32"/>
          <w:highlight w:val="none"/>
          <w:lang w:val="en-US" w:eastAsia="zh-CN"/>
        </w:rPr>
        <w:t>80.1</w:t>
      </w:r>
      <w:r>
        <w:rPr>
          <w:rFonts w:hint="default" w:ascii="Times New Roman" w:hAnsi="Times New Roman" w:eastAsia="方正仿宋简体" w:cs="Times New Roman"/>
          <w:color w:val="auto"/>
          <w:sz w:val="32"/>
          <w:szCs w:val="32"/>
          <w:highlight w:val="none"/>
        </w:rPr>
        <w:t>%；服装类、鞋帽、针纺织品类增长</w:t>
      </w:r>
      <w:r>
        <w:rPr>
          <w:rFonts w:hint="eastAsia" w:ascii="Times New Roman" w:hAnsi="Times New Roman" w:eastAsia="方正仿宋简体" w:cs="Times New Roman"/>
          <w:color w:val="auto"/>
          <w:sz w:val="32"/>
          <w:szCs w:val="32"/>
          <w:highlight w:val="none"/>
          <w:lang w:val="en-US" w:eastAsia="zh-CN"/>
        </w:rPr>
        <w:t>102.9</w:t>
      </w:r>
      <w:r>
        <w:rPr>
          <w:rFonts w:hint="default" w:ascii="Times New Roman" w:hAnsi="Times New Roman" w:eastAsia="方正仿宋简体" w:cs="Times New Roman"/>
          <w:color w:val="auto"/>
          <w:sz w:val="32"/>
          <w:szCs w:val="32"/>
          <w:highlight w:val="none"/>
        </w:rPr>
        <w:t>%；</w:t>
      </w:r>
      <w:r>
        <w:rPr>
          <w:rFonts w:hint="eastAsia" w:ascii="Times New Roman" w:hAnsi="Times New Roman" w:eastAsia="方正仿宋简体" w:cs="Times New Roman"/>
          <w:color w:val="auto"/>
          <w:sz w:val="32"/>
          <w:szCs w:val="32"/>
          <w:highlight w:val="none"/>
          <w:lang w:eastAsia="zh-CN"/>
        </w:rPr>
        <w:t>通讯器材类</w:t>
      </w:r>
      <w:r>
        <w:rPr>
          <w:rFonts w:hint="default" w:ascii="Times New Roman" w:hAnsi="Times New Roman" w:eastAsia="方正仿宋简体" w:cs="Times New Roman"/>
          <w:color w:val="auto"/>
          <w:sz w:val="32"/>
          <w:szCs w:val="32"/>
          <w:highlight w:val="none"/>
        </w:rPr>
        <w:t>增长</w:t>
      </w:r>
      <w:r>
        <w:rPr>
          <w:rFonts w:hint="eastAsia" w:ascii="Times New Roman" w:hAnsi="Times New Roman" w:eastAsia="方正仿宋简体" w:cs="Times New Roman"/>
          <w:color w:val="auto"/>
          <w:sz w:val="32"/>
          <w:szCs w:val="32"/>
          <w:highlight w:val="none"/>
          <w:lang w:val="en-US" w:eastAsia="zh-CN"/>
        </w:rPr>
        <w:t>101.6</w:t>
      </w:r>
      <w:r>
        <w:rPr>
          <w:rFonts w:hint="default" w:ascii="Times New Roman" w:hAnsi="Times New Roman" w:eastAsia="方正仿宋简体" w:cs="Times New Roman"/>
          <w:color w:val="auto"/>
          <w:sz w:val="32"/>
          <w:szCs w:val="32"/>
          <w:highlight w:val="none"/>
        </w:rPr>
        <w:t>%</w:t>
      </w:r>
      <w:r>
        <w:rPr>
          <w:rFonts w:hint="eastAsia"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rPr>
        <w:t>书报杂志类增长</w:t>
      </w:r>
      <w:r>
        <w:rPr>
          <w:rFonts w:hint="eastAsia" w:ascii="Times New Roman" w:hAnsi="Times New Roman" w:eastAsia="方正仿宋简体" w:cs="Times New Roman"/>
          <w:color w:val="auto"/>
          <w:sz w:val="32"/>
          <w:szCs w:val="32"/>
          <w:highlight w:val="none"/>
          <w:lang w:val="en-US" w:eastAsia="zh-CN"/>
        </w:rPr>
        <w:t>15.2</w:t>
      </w:r>
      <w:r>
        <w:rPr>
          <w:rFonts w:hint="default" w:ascii="Times New Roman" w:hAnsi="Times New Roman" w:eastAsia="方正仿宋简体" w:cs="Times New Roman"/>
          <w:color w:val="auto"/>
          <w:sz w:val="32"/>
          <w:szCs w:val="32"/>
          <w:highlight w:val="none"/>
        </w:rPr>
        <w:t>%；化妆品类增长</w:t>
      </w:r>
      <w:r>
        <w:rPr>
          <w:rFonts w:hint="eastAsia" w:ascii="Times New Roman" w:hAnsi="Times New Roman" w:eastAsia="方正仿宋简体" w:cs="Times New Roman"/>
          <w:color w:val="auto"/>
          <w:sz w:val="32"/>
          <w:szCs w:val="32"/>
          <w:highlight w:val="none"/>
          <w:lang w:val="en-US" w:eastAsia="zh-CN"/>
        </w:rPr>
        <w:t>7.6</w:t>
      </w:r>
      <w:r>
        <w:rPr>
          <w:rFonts w:hint="default" w:ascii="Times New Roman" w:hAnsi="Times New Roman" w:eastAsia="方正仿宋简体" w:cs="Times New Roman"/>
          <w:color w:val="auto"/>
          <w:sz w:val="32"/>
          <w:szCs w:val="32"/>
          <w:highlight w:val="none"/>
        </w:rPr>
        <w:t>%；石油及制品类增长</w:t>
      </w:r>
      <w:r>
        <w:rPr>
          <w:rFonts w:hint="eastAsia" w:ascii="Times New Roman" w:hAnsi="Times New Roman" w:eastAsia="方正仿宋简体" w:cs="Times New Roman"/>
          <w:color w:val="auto"/>
          <w:sz w:val="32"/>
          <w:szCs w:val="32"/>
          <w:highlight w:val="none"/>
          <w:lang w:val="en-US" w:eastAsia="zh-CN"/>
        </w:rPr>
        <w:t>6.2</w:t>
      </w:r>
      <w:r>
        <w:rPr>
          <w:rFonts w:hint="default" w:ascii="Times New Roman" w:hAnsi="Times New Roman" w:eastAsia="方正仿宋简体" w:cs="Times New Roman"/>
          <w:color w:val="auto"/>
          <w:sz w:val="32"/>
          <w:szCs w:val="32"/>
          <w:highlight w:val="none"/>
        </w:rPr>
        <w:t>%；中西药品类下降18.</w:t>
      </w:r>
      <w:r>
        <w:rPr>
          <w:rFonts w:hint="eastAsia" w:ascii="Times New Roman" w:hAnsi="Times New Roman" w:eastAsia="方正仿宋简体" w:cs="Times New Roman"/>
          <w:color w:val="auto"/>
          <w:sz w:val="32"/>
          <w:szCs w:val="32"/>
          <w:highlight w:val="none"/>
          <w:lang w:val="en-US" w:eastAsia="zh-CN"/>
        </w:rPr>
        <w:t>6</w:t>
      </w:r>
      <w:r>
        <w:rPr>
          <w:rFonts w:hint="default" w:ascii="Times New Roman" w:hAnsi="Times New Roman" w:eastAsia="方正仿宋简体" w:cs="Times New Roman"/>
          <w:color w:val="auto"/>
          <w:sz w:val="32"/>
          <w:szCs w:val="32"/>
          <w:highlight w:val="none"/>
        </w:rPr>
        <w:t>%；建筑及装潢材料类下降</w:t>
      </w:r>
      <w:r>
        <w:rPr>
          <w:rFonts w:hint="eastAsia" w:ascii="Times New Roman" w:hAnsi="Times New Roman" w:eastAsia="方正仿宋简体" w:cs="Times New Roman"/>
          <w:color w:val="auto"/>
          <w:sz w:val="32"/>
          <w:szCs w:val="32"/>
          <w:highlight w:val="none"/>
          <w:lang w:val="en-US" w:eastAsia="zh-CN"/>
        </w:rPr>
        <w:t>60.6</w:t>
      </w:r>
      <w:r>
        <w:rPr>
          <w:rFonts w:hint="default" w:ascii="Times New Roman" w:hAnsi="Times New Roman" w:eastAsia="方正仿宋简体" w:cs="Times New Roman"/>
          <w:color w:val="auto"/>
          <w:sz w:val="32"/>
          <w:szCs w:val="32"/>
          <w:highlight w:val="none"/>
        </w:rPr>
        <w:t>%；</w:t>
      </w:r>
      <w:r>
        <w:rPr>
          <w:rFonts w:hint="eastAsia" w:ascii="Times New Roman" w:hAnsi="Times New Roman" w:eastAsia="方正仿宋简体" w:cs="Times New Roman"/>
          <w:color w:val="auto"/>
          <w:sz w:val="32"/>
          <w:szCs w:val="32"/>
          <w:highlight w:val="none"/>
          <w:lang w:eastAsia="zh-CN"/>
        </w:rPr>
        <w:t>家具类</w:t>
      </w:r>
      <w:r>
        <w:rPr>
          <w:rFonts w:hint="default" w:ascii="Times New Roman" w:hAnsi="Times New Roman" w:eastAsia="方正仿宋简体" w:cs="Times New Roman"/>
          <w:color w:val="auto"/>
          <w:sz w:val="32"/>
          <w:szCs w:val="32"/>
          <w:highlight w:val="none"/>
        </w:rPr>
        <w:t>下降</w:t>
      </w:r>
      <w:r>
        <w:rPr>
          <w:rFonts w:hint="eastAsia" w:ascii="Times New Roman" w:hAnsi="Times New Roman" w:eastAsia="方正仿宋简体" w:cs="Times New Roman"/>
          <w:color w:val="auto"/>
          <w:sz w:val="32"/>
          <w:szCs w:val="32"/>
          <w:highlight w:val="none"/>
          <w:lang w:val="en-US" w:eastAsia="zh-CN"/>
        </w:rPr>
        <w:t>95.7</w:t>
      </w:r>
      <w:r>
        <w:rPr>
          <w:rFonts w:hint="default" w:ascii="Times New Roman" w:hAnsi="Times New Roman" w:eastAsia="方正仿宋简体" w:cs="Times New Roman"/>
          <w:color w:val="auto"/>
          <w:sz w:val="32"/>
          <w:szCs w:val="32"/>
          <w:highlight w:val="none"/>
        </w:rPr>
        <w:t>%</w:t>
      </w:r>
      <w:r>
        <w:rPr>
          <w:rFonts w:hint="eastAsia"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rPr>
        <w:t>家用电器和音像器材类下降</w:t>
      </w:r>
      <w:r>
        <w:rPr>
          <w:rFonts w:hint="eastAsia" w:ascii="Times New Roman" w:hAnsi="Times New Roman" w:eastAsia="方正仿宋简体" w:cs="Times New Roman"/>
          <w:color w:val="auto"/>
          <w:sz w:val="32"/>
          <w:szCs w:val="32"/>
          <w:highlight w:val="none"/>
          <w:lang w:val="en-US" w:eastAsia="zh-CN"/>
        </w:rPr>
        <w:t>18.3</w:t>
      </w:r>
      <w:r>
        <w:rPr>
          <w:rFonts w:hint="default" w:ascii="Times New Roman" w:hAnsi="Times New Roman" w:eastAsia="方正仿宋简体" w:cs="Times New Roman"/>
          <w:color w:val="auto"/>
          <w:sz w:val="32"/>
          <w:szCs w:val="32"/>
          <w:highlight w:val="none"/>
        </w:rPr>
        <w:t>%；煤炭及制品类下降</w:t>
      </w:r>
      <w:r>
        <w:rPr>
          <w:rFonts w:hint="eastAsia" w:ascii="Times New Roman" w:hAnsi="Times New Roman" w:eastAsia="方正仿宋简体" w:cs="Times New Roman"/>
          <w:color w:val="auto"/>
          <w:sz w:val="32"/>
          <w:szCs w:val="32"/>
          <w:highlight w:val="none"/>
          <w:lang w:val="en-US" w:eastAsia="zh-CN"/>
        </w:rPr>
        <w:t>79.1</w:t>
      </w:r>
      <w:r>
        <w:rPr>
          <w:rFonts w:hint="default" w:ascii="Times New Roman" w:hAnsi="Times New Roman" w:eastAsia="方正仿宋简体" w:cs="Times New Roman"/>
          <w:color w:val="auto"/>
          <w:sz w:val="32"/>
          <w:szCs w:val="32"/>
          <w:highlight w:val="none"/>
        </w:rPr>
        <w:t>%；汽车类下降</w:t>
      </w:r>
      <w:r>
        <w:rPr>
          <w:rFonts w:hint="eastAsia" w:ascii="Times New Roman" w:hAnsi="Times New Roman" w:eastAsia="方正仿宋简体" w:cs="Times New Roman"/>
          <w:color w:val="auto"/>
          <w:sz w:val="32"/>
          <w:szCs w:val="32"/>
          <w:highlight w:val="none"/>
          <w:lang w:val="en-US" w:eastAsia="zh-CN"/>
        </w:rPr>
        <w:t>13.9</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七、财政金融</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方正仿宋简体" w:cs="Times New Roman"/>
          <w:color w:val="auto"/>
          <w:sz w:val="32"/>
          <w:szCs w:val="32"/>
          <w:highlight w:val="yellow"/>
        </w:rPr>
      </w:pPr>
      <w:r>
        <w:rPr>
          <w:rFonts w:hint="default" w:ascii="Times New Roman" w:hAnsi="Times New Roman" w:eastAsia="方正仿宋简体" w:cs="Times New Roman"/>
          <w:color w:val="auto"/>
          <w:sz w:val="32"/>
          <w:szCs w:val="32"/>
          <w:highlight w:val="none"/>
        </w:rPr>
        <w:t>全年全地区</w:t>
      </w:r>
      <w:r>
        <w:rPr>
          <w:rFonts w:hint="default" w:ascii="Times New Roman" w:hAnsi="Times New Roman" w:eastAsia="方正仿宋简体" w:cs="Times New Roman"/>
          <w:color w:val="auto"/>
          <w:sz w:val="32"/>
          <w:szCs w:val="32"/>
          <w:highlight w:val="none"/>
          <w:lang w:eastAsia="zh-CN"/>
        </w:rPr>
        <w:t>一般公共财政预算收入</w:t>
      </w:r>
      <w:r>
        <w:rPr>
          <w:rFonts w:hint="default" w:ascii="Times New Roman" w:hAnsi="Times New Roman" w:eastAsia="方正仿宋简体" w:cs="Times New Roman"/>
          <w:color w:val="auto"/>
          <w:sz w:val="32"/>
          <w:szCs w:val="32"/>
          <w:highlight w:val="none"/>
          <w:lang w:val="en-US" w:eastAsia="zh-CN"/>
        </w:rPr>
        <w:t>比上年同期增长</w:t>
      </w:r>
      <w:r>
        <w:rPr>
          <w:rFonts w:hint="eastAsia" w:ascii="Times New Roman" w:hAnsi="Times New Roman" w:eastAsia="方正仿宋简体" w:cs="Times New Roman"/>
          <w:color w:val="auto"/>
          <w:sz w:val="32"/>
          <w:szCs w:val="32"/>
          <w:highlight w:val="none"/>
          <w:lang w:val="en-US" w:eastAsia="zh-CN"/>
        </w:rPr>
        <w:t>12.0</w:t>
      </w:r>
      <w:r>
        <w:rPr>
          <w:rFonts w:hint="default" w:ascii="Times New Roman" w:hAnsi="Times New Roman" w:eastAsia="方正仿宋简体" w:cs="Times New Roman"/>
          <w:color w:val="auto"/>
          <w:sz w:val="32"/>
          <w:szCs w:val="32"/>
          <w:highlight w:val="none"/>
          <w:lang w:val="en-US" w:eastAsia="zh-CN"/>
        </w:rPr>
        <w:t>%。其中，</w:t>
      </w:r>
      <w:r>
        <w:rPr>
          <w:rFonts w:hint="default" w:ascii="Times New Roman" w:hAnsi="Times New Roman" w:eastAsia="方正仿宋简体" w:cs="Times New Roman"/>
          <w:b w:val="0"/>
          <w:bCs w:val="0"/>
          <w:color w:val="auto"/>
          <w:sz w:val="32"/>
          <w:szCs w:val="32"/>
          <w:highlight w:val="none"/>
          <w:lang w:val="en-US" w:eastAsia="zh-CN"/>
        </w:rPr>
        <w:t>税收收入增长</w:t>
      </w:r>
      <w:r>
        <w:rPr>
          <w:rFonts w:hint="eastAsia" w:ascii="Times New Roman" w:hAnsi="Times New Roman" w:eastAsia="方正仿宋简体" w:cs="Times New Roman"/>
          <w:b w:val="0"/>
          <w:bCs w:val="0"/>
          <w:color w:val="auto"/>
          <w:sz w:val="32"/>
          <w:szCs w:val="32"/>
          <w:highlight w:val="none"/>
          <w:lang w:val="en-US" w:eastAsia="zh-CN"/>
        </w:rPr>
        <w:t>14.4</w:t>
      </w:r>
      <w:r>
        <w:rPr>
          <w:rFonts w:hint="default" w:ascii="Times New Roman" w:hAnsi="Times New Roman" w:eastAsia="方正仿宋简体" w:cs="Times New Roman"/>
          <w:b w:val="0"/>
          <w:bCs w:val="0"/>
          <w:color w:val="auto"/>
          <w:sz w:val="32"/>
          <w:szCs w:val="32"/>
          <w:highlight w:val="none"/>
          <w:lang w:val="en-US" w:eastAsia="zh-CN"/>
        </w:rPr>
        <w:t>%；非税收入增长</w:t>
      </w:r>
      <w:r>
        <w:rPr>
          <w:rFonts w:hint="eastAsia" w:ascii="Times New Roman" w:hAnsi="Times New Roman" w:eastAsia="方正仿宋简体" w:cs="Times New Roman"/>
          <w:b w:val="0"/>
          <w:bCs w:val="0"/>
          <w:color w:val="auto"/>
          <w:sz w:val="32"/>
          <w:szCs w:val="32"/>
          <w:highlight w:val="none"/>
          <w:lang w:val="en-US" w:eastAsia="zh-CN"/>
        </w:rPr>
        <w:t>10.0</w:t>
      </w:r>
      <w:r>
        <w:rPr>
          <w:rFonts w:hint="default" w:ascii="Times New Roman" w:hAnsi="Times New Roman" w:eastAsia="方正仿宋简体" w:cs="Times New Roman"/>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lang w:val="en-US" w:eastAsia="zh-CN"/>
        </w:rPr>
      </w:pPr>
      <w:r>
        <w:rPr>
          <w:rFonts w:hint="default" w:ascii="Times New Roman" w:hAnsi="Times New Roman" w:eastAsia="方正仿宋简体" w:cs="Times New Roman"/>
          <w:color w:val="auto"/>
          <w:sz w:val="32"/>
          <w:szCs w:val="32"/>
          <w:highlight w:val="none"/>
        </w:rPr>
        <w:t>一般公共财政预算支出</w:t>
      </w:r>
      <w:r>
        <w:rPr>
          <w:rFonts w:hint="default" w:ascii="Times New Roman" w:hAnsi="Times New Roman" w:eastAsia="方正仿宋简体" w:cs="Times New Roman"/>
          <w:color w:val="auto"/>
          <w:sz w:val="32"/>
          <w:szCs w:val="32"/>
          <w:highlight w:val="none"/>
          <w:lang w:eastAsia="zh-CN"/>
        </w:rPr>
        <w:t>比上年</w:t>
      </w:r>
      <w:r>
        <w:rPr>
          <w:rFonts w:hint="eastAsia" w:ascii="Times New Roman" w:hAnsi="Times New Roman" w:eastAsia="方正仿宋简体" w:cs="Times New Roman"/>
          <w:color w:val="auto"/>
          <w:sz w:val="32"/>
          <w:szCs w:val="32"/>
          <w:highlight w:val="none"/>
          <w:lang w:val="en-US" w:eastAsia="zh-CN"/>
        </w:rPr>
        <w:t>下降1.4</w:t>
      </w:r>
      <w:r>
        <w:rPr>
          <w:rFonts w:hint="default" w:ascii="Times New Roman" w:hAnsi="Times New Roman" w:eastAsia="方正仿宋简体" w:cs="Times New Roman"/>
          <w:color w:val="auto"/>
          <w:sz w:val="32"/>
          <w:szCs w:val="32"/>
          <w:highlight w:val="none"/>
        </w:rPr>
        <w:t>%。财政自给率由上年的</w:t>
      </w:r>
      <w:r>
        <w:rPr>
          <w:rFonts w:hint="eastAsia" w:ascii="Times New Roman" w:hAnsi="Times New Roman" w:eastAsia="方正仿宋简体" w:cs="Times New Roman"/>
          <w:color w:val="auto"/>
          <w:sz w:val="32"/>
          <w:szCs w:val="32"/>
          <w:highlight w:val="none"/>
          <w:lang w:val="en-US" w:eastAsia="zh-CN"/>
        </w:rPr>
        <w:t>12.38</w:t>
      </w:r>
      <w:r>
        <w:rPr>
          <w:rFonts w:hint="default" w:ascii="Times New Roman" w:hAnsi="Times New Roman" w:eastAsia="方正仿宋简体" w:cs="Times New Roman"/>
          <w:color w:val="auto"/>
          <w:sz w:val="32"/>
          <w:szCs w:val="32"/>
          <w:highlight w:val="none"/>
        </w:rPr>
        <w:t>%升至</w:t>
      </w:r>
      <w:r>
        <w:rPr>
          <w:rFonts w:hint="eastAsia" w:ascii="Times New Roman" w:hAnsi="Times New Roman" w:eastAsia="方正仿宋简体" w:cs="Times New Roman"/>
          <w:color w:val="auto"/>
          <w:sz w:val="32"/>
          <w:szCs w:val="32"/>
          <w:highlight w:val="none"/>
          <w:lang w:val="en-US" w:eastAsia="zh-CN"/>
        </w:rPr>
        <w:t>14.07</w:t>
      </w:r>
      <w:r>
        <w:rPr>
          <w:rFonts w:hint="default" w:ascii="Times New Roman" w:hAnsi="Times New Roman" w:eastAsia="方正仿宋简体" w:cs="Times New Roman"/>
          <w:color w:val="auto"/>
          <w:sz w:val="32"/>
          <w:szCs w:val="32"/>
          <w:highlight w:val="none"/>
        </w:rPr>
        <w:t>%，增长</w:t>
      </w:r>
      <w:r>
        <w:rPr>
          <w:rFonts w:hint="eastAsia" w:ascii="Times New Roman" w:hAnsi="Times New Roman" w:eastAsia="方正仿宋简体" w:cs="Times New Roman"/>
          <w:color w:val="auto"/>
          <w:sz w:val="32"/>
          <w:szCs w:val="32"/>
          <w:highlight w:val="none"/>
          <w:lang w:val="en-US" w:eastAsia="zh-CN"/>
        </w:rPr>
        <w:t>1.69</w:t>
      </w:r>
      <w:r>
        <w:rPr>
          <w:rFonts w:hint="default" w:ascii="Times New Roman" w:hAnsi="Times New Roman" w:eastAsia="方正仿宋简体" w:cs="Times New Roman"/>
          <w:color w:val="auto"/>
          <w:sz w:val="32"/>
          <w:szCs w:val="32"/>
          <w:highlight w:val="none"/>
        </w:rPr>
        <w:t>个百分点。</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方正仿宋简体" w:cs="Times New Roman"/>
          <w:color w:val="auto"/>
          <w:sz w:val="32"/>
          <w:szCs w:val="32"/>
        </w:rPr>
      </w:pPr>
      <w:r>
        <w:rPr>
          <w:rFonts w:hint="eastAsia" w:ascii="Times New Roman" w:hAnsi="Times New Roman" w:eastAsia="方正仿宋简体" w:cs="Times New Roman"/>
          <w:color w:val="auto"/>
          <w:sz w:val="32"/>
          <w:szCs w:val="32"/>
          <w:lang w:val="en-US" w:eastAsia="zh-CN"/>
        </w:rPr>
        <w:t>全年全地区</w:t>
      </w:r>
      <w:r>
        <w:rPr>
          <w:rFonts w:hint="default" w:ascii="Times New Roman" w:hAnsi="Times New Roman" w:eastAsia="方正仿宋简体" w:cs="Times New Roman"/>
          <w:color w:val="auto"/>
          <w:sz w:val="32"/>
          <w:szCs w:val="32"/>
        </w:rPr>
        <w:t>金融机构人民币各项存款余额同比</w:t>
      </w:r>
      <w:r>
        <w:rPr>
          <w:rFonts w:hint="eastAsia" w:ascii="Times New Roman" w:hAnsi="Times New Roman" w:eastAsia="方正仿宋简体" w:cs="Times New Roman"/>
          <w:color w:val="auto"/>
          <w:sz w:val="32"/>
          <w:szCs w:val="32"/>
          <w:lang w:val="en-US" w:eastAsia="zh-CN"/>
        </w:rPr>
        <w:t>增长18.7</w:t>
      </w:r>
      <w:r>
        <w:rPr>
          <w:rFonts w:hint="default" w:ascii="Times New Roman" w:hAnsi="Times New Roman" w:eastAsia="方正仿宋简体" w:cs="Times New Roman"/>
          <w:color w:val="auto"/>
          <w:sz w:val="32"/>
          <w:szCs w:val="32"/>
        </w:rPr>
        <w:t>%。其中，住户存款余额增长</w:t>
      </w:r>
      <w:r>
        <w:rPr>
          <w:rFonts w:hint="eastAsia" w:ascii="Times New Roman" w:hAnsi="Times New Roman" w:eastAsia="方正仿宋简体" w:cs="Times New Roman"/>
          <w:color w:val="auto"/>
          <w:sz w:val="32"/>
          <w:szCs w:val="32"/>
          <w:lang w:val="en-US" w:eastAsia="zh-CN"/>
        </w:rPr>
        <w:t>11.9</w:t>
      </w:r>
      <w:r>
        <w:rPr>
          <w:rFonts w:hint="default" w:ascii="Times New Roman" w:hAnsi="Times New Roman" w:eastAsia="方正仿宋简体" w:cs="Times New Roman"/>
          <w:color w:val="auto"/>
          <w:sz w:val="32"/>
          <w:szCs w:val="32"/>
        </w:rPr>
        <w:t>%；非金融企业存款余额</w:t>
      </w:r>
      <w:r>
        <w:rPr>
          <w:rFonts w:hint="eastAsia" w:ascii="Times New Roman" w:hAnsi="Times New Roman" w:eastAsia="方正仿宋简体" w:cs="Times New Roman"/>
          <w:color w:val="auto"/>
          <w:sz w:val="32"/>
          <w:szCs w:val="32"/>
          <w:lang w:val="en-US" w:eastAsia="zh-CN"/>
        </w:rPr>
        <w:t>增长18.3</w:t>
      </w:r>
      <w:r>
        <w:rPr>
          <w:rFonts w:hint="default" w:ascii="Times New Roman" w:hAnsi="Times New Roman" w:eastAsia="方正仿宋简体" w:cs="Times New Roman"/>
          <w:color w:val="auto"/>
          <w:sz w:val="32"/>
          <w:szCs w:val="32"/>
        </w:rPr>
        <w:t>%；政府存款余额</w:t>
      </w:r>
      <w:r>
        <w:rPr>
          <w:rFonts w:hint="eastAsia" w:ascii="Times New Roman" w:hAnsi="Times New Roman" w:eastAsia="方正仿宋简体" w:cs="Times New Roman"/>
          <w:color w:val="auto"/>
          <w:sz w:val="32"/>
          <w:szCs w:val="32"/>
          <w:lang w:val="en-US" w:eastAsia="zh-CN"/>
        </w:rPr>
        <w:t>增长24.2</w:t>
      </w:r>
      <w:r>
        <w:rPr>
          <w:rFonts w:hint="default" w:ascii="Times New Roman" w:hAnsi="Times New Roman" w:eastAsia="方正仿宋简体" w:cs="Times New Roman"/>
          <w:color w:val="auto"/>
          <w:sz w:val="32"/>
          <w:szCs w:val="32"/>
        </w:rPr>
        <w:t>%；非银机构存款余额</w:t>
      </w:r>
      <w:r>
        <w:rPr>
          <w:rFonts w:hint="eastAsia" w:ascii="Times New Roman" w:hAnsi="Times New Roman" w:eastAsia="方正仿宋简体" w:cs="Times New Roman"/>
          <w:color w:val="auto"/>
          <w:sz w:val="32"/>
          <w:szCs w:val="32"/>
          <w:lang w:val="en-US" w:eastAsia="zh-CN"/>
        </w:rPr>
        <w:t>增长13831.2</w:t>
      </w:r>
      <w:r>
        <w:rPr>
          <w:rFonts w:hint="default" w:ascii="Times New Roman" w:hAnsi="Times New Roman" w:eastAsia="方正仿宋简体" w:cs="Times New Roman"/>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rPr>
      </w:pPr>
      <w:r>
        <w:rPr>
          <w:rFonts w:hint="default" w:ascii="Times New Roman" w:hAnsi="Times New Roman" w:eastAsia="方正仿宋简体" w:cs="Times New Roman"/>
          <w:color w:val="auto"/>
          <w:sz w:val="32"/>
          <w:szCs w:val="32"/>
        </w:rPr>
        <w:t>金融机构各项贷款余额同比增长</w:t>
      </w:r>
      <w:r>
        <w:rPr>
          <w:rFonts w:hint="eastAsia" w:ascii="Times New Roman" w:hAnsi="Times New Roman" w:eastAsia="方正仿宋简体" w:cs="Times New Roman"/>
          <w:color w:val="auto"/>
          <w:sz w:val="32"/>
          <w:szCs w:val="32"/>
          <w:lang w:val="en-US" w:eastAsia="zh-CN"/>
        </w:rPr>
        <w:t>22.5</w:t>
      </w:r>
      <w:r>
        <w:rPr>
          <w:rFonts w:hint="default" w:ascii="Times New Roman" w:hAnsi="Times New Roman" w:eastAsia="方正仿宋简体" w:cs="Times New Roman"/>
          <w:color w:val="auto"/>
          <w:sz w:val="32"/>
          <w:szCs w:val="32"/>
        </w:rPr>
        <w:t>%。其中，住户贷款余额增长</w:t>
      </w:r>
      <w:r>
        <w:rPr>
          <w:rFonts w:hint="eastAsia" w:ascii="Times New Roman" w:hAnsi="Times New Roman" w:eastAsia="方正仿宋简体" w:cs="Times New Roman"/>
          <w:color w:val="auto"/>
          <w:sz w:val="32"/>
          <w:szCs w:val="32"/>
          <w:lang w:val="en-US" w:eastAsia="zh-CN"/>
        </w:rPr>
        <w:t>18.6</w:t>
      </w:r>
      <w:r>
        <w:rPr>
          <w:rFonts w:hint="default" w:ascii="Times New Roman" w:hAnsi="Times New Roman" w:eastAsia="方正仿宋简体" w:cs="Times New Roman"/>
          <w:color w:val="auto"/>
          <w:sz w:val="32"/>
          <w:szCs w:val="32"/>
        </w:rPr>
        <w:t>%；企业及机关团体贷款余额增长</w:t>
      </w:r>
      <w:r>
        <w:rPr>
          <w:rFonts w:hint="eastAsia" w:ascii="Times New Roman" w:hAnsi="Times New Roman" w:eastAsia="方正仿宋简体" w:cs="Times New Roman"/>
          <w:color w:val="auto"/>
          <w:sz w:val="32"/>
          <w:szCs w:val="32"/>
          <w:lang w:val="en-US" w:eastAsia="zh-CN"/>
        </w:rPr>
        <w:t>25.0</w:t>
      </w:r>
      <w:r>
        <w:rPr>
          <w:rFonts w:hint="default" w:ascii="Times New Roman" w:hAnsi="Times New Roman" w:eastAsia="方正仿宋简体" w:cs="Times New Roman"/>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303F1"/>
          <w:sz w:val="32"/>
          <w:szCs w:val="32"/>
          <w:highlight w:val="none"/>
        </w:rPr>
      </w:pP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全年</w:t>
      </w:r>
      <w:r>
        <w:rPr>
          <w:rFonts w:hint="default"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地区8家</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保险</w:t>
      </w:r>
      <w:r>
        <w:rPr>
          <w:rFonts w:hint="default"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机构</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累计实现</w:t>
      </w:r>
      <w:r>
        <w:rPr>
          <w:rFonts w:hint="default"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原保险</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保费收入比上年</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增长10.8</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%。其中，财险</w:t>
      </w:r>
      <w:r>
        <w:rPr>
          <w:rFonts w:hint="default" w:ascii="Times New Roman" w:hAnsi="Times New Roman" w:eastAsia="方正仿宋简体" w:cs="Times New Roman"/>
          <w:color w:val="000000" w:themeColor="text1"/>
          <w:sz w:val="32"/>
          <w:szCs w:val="32"/>
          <w:highlight w:val="none"/>
          <w:lang w:eastAsia="zh-CN"/>
          <w14:textFill>
            <w14:solidFill>
              <w14:schemeClr w14:val="tx1"/>
            </w14:solidFill>
          </w14:textFill>
        </w:rPr>
        <w:t>原保险</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保费收入</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同比增长10.9</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%；人身险</w:t>
      </w:r>
      <w:r>
        <w:rPr>
          <w:rFonts w:hint="default" w:ascii="Times New Roman" w:hAnsi="Times New Roman" w:eastAsia="方正仿宋简体" w:cs="Times New Roman"/>
          <w:color w:val="000000" w:themeColor="text1"/>
          <w:sz w:val="32"/>
          <w:szCs w:val="32"/>
          <w:highlight w:val="none"/>
          <w:lang w:eastAsia="zh-CN"/>
          <w14:textFill>
            <w14:solidFill>
              <w14:schemeClr w14:val="tx1"/>
            </w14:solidFill>
          </w14:textFill>
        </w:rPr>
        <w:t>原保险</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保费收入</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增长10.5</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00" w:themeColor="text1"/>
          <w:sz w:val="32"/>
          <w:szCs w:val="32"/>
          <w:highlight w:val="none"/>
          <w14:textFill>
            <w14:solidFill>
              <w14:schemeClr w14:val="tx1"/>
            </w14:solidFill>
          </w14:textFill>
        </w:rPr>
      </w:pPr>
      <w:r>
        <w:rPr>
          <w:rFonts w:hint="default"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全年各类理赔及给付支出</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比上年</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增长5.4</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%。其中，财险赔付金额</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增长1.5</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%；人身险赔付金额</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增长10.9</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八、</w:t>
      </w:r>
      <w:r>
        <w:rPr>
          <w:rFonts w:hint="default" w:ascii="Times New Roman" w:hAnsi="Times New Roman" w:eastAsia="黑体" w:cs="Times New Roman"/>
          <w:color w:val="auto"/>
          <w:sz w:val="32"/>
          <w:szCs w:val="32"/>
          <w:highlight w:val="none"/>
          <w:lang w:eastAsia="zh-CN"/>
        </w:rPr>
        <w:t>居民收入</w:t>
      </w:r>
      <w:r>
        <w:rPr>
          <w:rFonts w:hint="default" w:ascii="Times New Roman" w:hAnsi="Times New Roman" w:eastAsia="黑体" w:cs="Times New Roman"/>
          <w:color w:val="auto"/>
          <w:sz w:val="32"/>
          <w:szCs w:val="32"/>
          <w:highlight w:val="none"/>
        </w:rPr>
        <w:t>和社会保障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rPr>
        <w:t>全年</w:t>
      </w:r>
      <w:r>
        <w:rPr>
          <w:rFonts w:hint="default" w:ascii="Times New Roman" w:hAnsi="Times New Roman" w:eastAsia="方正仿宋简体" w:cs="Times New Roman"/>
          <w:color w:val="auto"/>
          <w:sz w:val="32"/>
          <w:szCs w:val="32"/>
          <w:highlight w:val="none"/>
          <w:lang w:eastAsia="zh-CN"/>
        </w:rPr>
        <w:t>全体居民人均可支配收入</w:t>
      </w:r>
      <w:r>
        <w:rPr>
          <w:rFonts w:hint="default" w:ascii="Times New Roman" w:hAnsi="Times New Roman" w:eastAsia="方正仿宋简体" w:cs="Times New Roman"/>
          <w:b w:val="0"/>
          <w:i w:val="0"/>
          <w:caps w:val="0"/>
          <w:color w:val="auto"/>
          <w:spacing w:val="0"/>
          <w:kern w:val="0"/>
          <w:sz w:val="32"/>
          <w:szCs w:val="32"/>
          <w:highlight w:val="none"/>
          <w:shd w:val="clear" w:fill="FFFFFF"/>
          <w:lang w:val="en-US" w:eastAsia="zh-CN" w:bidi="ar"/>
        </w:rPr>
        <w:t>比上年增长</w:t>
      </w:r>
      <w:r>
        <w:rPr>
          <w:rFonts w:hint="eastAsia" w:ascii="Times New Roman" w:hAnsi="Times New Roman" w:eastAsia="方正仿宋简体" w:cs="Times New Roman"/>
          <w:b w:val="0"/>
          <w:i w:val="0"/>
          <w:caps w:val="0"/>
          <w:color w:val="auto"/>
          <w:spacing w:val="0"/>
          <w:kern w:val="0"/>
          <w:sz w:val="32"/>
          <w:szCs w:val="32"/>
          <w:highlight w:val="none"/>
          <w:shd w:val="clear" w:fill="FFFFFF"/>
          <w:lang w:val="en-US" w:eastAsia="zh-CN" w:bidi="ar"/>
        </w:rPr>
        <w:t>6.7</w:t>
      </w:r>
      <w:r>
        <w:rPr>
          <w:rFonts w:hint="default" w:ascii="Times New Roman" w:hAnsi="Times New Roman" w:eastAsia="方正仿宋简体" w:cs="Times New Roman"/>
          <w:b w:val="0"/>
          <w:i w:val="0"/>
          <w:caps w:val="0"/>
          <w:color w:val="auto"/>
          <w:spacing w:val="0"/>
          <w:kern w:val="0"/>
          <w:sz w:val="32"/>
          <w:szCs w:val="32"/>
          <w:highlight w:val="none"/>
          <w:shd w:val="clear" w:fill="FFFFFF"/>
          <w:lang w:val="en-US" w:eastAsia="zh-CN" w:bidi="ar"/>
        </w:rPr>
        <w:t>%。其中，</w:t>
      </w:r>
      <w:r>
        <w:rPr>
          <w:rFonts w:hint="default" w:ascii="Times New Roman" w:hAnsi="Times New Roman" w:eastAsia="方正仿宋简体" w:cs="Times New Roman"/>
          <w:color w:val="auto"/>
          <w:sz w:val="32"/>
          <w:szCs w:val="32"/>
          <w:highlight w:val="none"/>
        </w:rPr>
        <w:t>城镇居民人均可支配收入增长</w:t>
      </w:r>
      <w:r>
        <w:rPr>
          <w:rFonts w:hint="default" w:ascii="Times New Roman" w:hAnsi="Times New Roman" w:eastAsia="方正仿宋简体" w:cs="Times New Roman"/>
          <w:color w:val="auto"/>
          <w:sz w:val="32"/>
          <w:szCs w:val="32"/>
          <w:highlight w:val="none"/>
          <w:lang w:val="en-US" w:eastAsia="zh-CN"/>
        </w:rPr>
        <w:t>4.6</w:t>
      </w:r>
      <w:r>
        <w:rPr>
          <w:rFonts w:hint="default" w:ascii="Times New Roman" w:hAnsi="Times New Roman" w:eastAsia="方正仿宋简体" w:cs="Times New Roman"/>
          <w:color w:val="auto"/>
          <w:sz w:val="32"/>
          <w:szCs w:val="32"/>
          <w:highlight w:val="none"/>
        </w:rPr>
        <w:t>%；农村居民人均可支配收入增长</w:t>
      </w:r>
      <w:r>
        <w:rPr>
          <w:rFonts w:hint="eastAsia" w:ascii="Times New Roman" w:hAnsi="Times New Roman" w:eastAsia="方正仿宋简体" w:cs="Times New Roman"/>
          <w:color w:val="auto"/>
          <w:sz w:val="32"/>
          <w:szCs w:val="32"/>
          <w:highlight w:val="none"/>
          <w:lang w:val="en-US" w:eastAsia="zh-CN"/>
        </w:rPr>
        <w:t>7.5</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Times New Roman" w:hAnsi="Times New Roman" w:eastAsia="方正仿宋简体" w:cs="Times New Roman"/>
          <w:color w:val="0000FF"/>
          <w:sz w:val="32"/>
          <w:szCs w:val="32"/>
          <w:highlight w:val="yellow"/>
          <w:lang w:eastAsia="zh-CN"/>
        </w:rPr>
      </w:pPr>
      <w:r>
        <w:rPr>
          <w:rFonts w:hint="default" w:ascii="Times New Roman" w:hAnsi="Times New Roman" w:eastAsia="方正仿宋简体" w:cs="Times New Roman"/>
          <w:color w:val="auto"/>
          <w:sz w:val="32"/>
          <w:szCs w:val="32"/>
          <w:highlight w:val="none"/>
        </w:rPr>
        <w:t>年末保险累计参保</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人数比上年增长</w:t>
      </w:r>
      <w:r>
        <w:rPr>
          <w:rFonts w:hint="eastAsia" w:ascii="Times New Roman" w:hAnsi="Times New Roman" w:eastAsia="方正仿宋简体" w:cs="Times New Roman"/>
          <w:color w:val="auto"/>
          <w:sz w:val="32"/>
          <w:szCs w:val="32"/>
          <w:highlight w:val="none"/>
          <w:lang w:val="en-US" w:eastAsia="zh-CN"/>
        </w:rPr>
        <w:t>1.3</w:t>
      </w:r>
      <w:r>
        <w:rPr>
          <w:rFonts w:hint="default" w:ascii="Times New Roman" w:hAnsi="Times New Roman" w:eastAsia="方正仿宋简体" w:cs="Times New Roman"/>
          <w:color w:val="auto"/>
          <w:sz w:val="32"/>
          <w:szCs w:val="32"/>
          <w:highlight w:val="none"/>
        </w:rPr>
        <w:t>%。其中，参加基本养老保险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1.5%</w:t>
      </w:r>
      <w:r>
        <w:rPr>
          <w:rFonts w:hint="default" w:ascii="Times New Roman" w:hAnsi="Times New Roman" w:eastAsia="方正仿宋简体" w:cs="Times New Roman"/>
          <w:color w:val="auto"/>
          <w:sz w:val="32"/>
          <w:szCs w:val="32"/>
          <w:highlight w:val="none"/>
        </w:rPr>
        <w:t>；参加基本医疗保险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0.5%</w:t>
      </w:r>
      <w:r>
        <w:rPr>
          <w:rFonts w:hint="default" w:ascii="Times New Roman" w:hAnsi="Times New Roman" w:eastAsia="方正仿宋简体" w:cs="Times New Roman"/>
          <w:color w:val="auto"/>
          <w:sz w:val="32"/>
          <w:szCs w:val="32"/>
          <w:highlight w:val="none"/>
        </w:rPr>
        <w:t>；</w:t>
      </w:r>
      <w:r>
        <w:rPr>
          <w:rFonts w:hint="default" w:ascii="Times New Roman" w:hAnsi="Times New Roman" w:eastAsia="方正仿宋简体" w:cs="Times New Roman"/>
          <w:color w:val="auto"/>
          <w:sz w:val="32"/>
          <w:szCs w:val="32"/>
          <w:highlight w:val="none"/>
          <w:lang w:eastAsia="zh-CN"/>
        </w:rPr>
        <w:t>参加</w:t>
      </w:r>
      <w:r>
        <w:rPr>
          <w:rFonts w:hint="default" w:ascii="Times New Roman" w:hAnsi="Times New Roman" w:eastAsia="方正仿宋简体" w:cs="Times New Roman"/>
          <w:color w:val="auto"/>
          <w:sz w:val="32"/>
          <w:szCs w:val="32"/>
          <w:highlight w:val="none"/>
        </w:rPr>
        <w:t>失业保险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w:t>
      </w:r>
      <w:r>
        <w:rPr>
          <w:rFonts w:hint="eastAsia" w:ascii="Times New Roman" w:hAnsi="Times New Roman" w:eastAsia="方正仿宋简体" w:cs="Times New Roman"/>
          <w:color w:val="auto"/>
          <w:sz w:val="32"/>
          <w:szCs w:val="32"/>
          <w:highlight w:val="none"/>
          <w:lang w:val="en-US" w:eastAsia="zh-CN"/>
        </w:rPr>
        <w:t>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9.9%</w:t>
      </w:r>
      <w:r>
        <w:rPr>
          <w:rFonts w:hint="default" w:ascii="Times New Roman" w:hAnsi="Times New Roman" w:eastAsia="方正仿宋简体" w:cs="Times New Roman"/>
          <w:color w:val="auto"/>
          <w:sz w:val="32"/>
          <w:szCs w:val="32"/>
          <w:highlight w:val="none"/>
        </w:rPr>
        <w:t>；</w:t>
      </w:r>
      <w:r>
        <w:rPr>
          <w:rFonts w:hint="default" w:ascii="Times New Roman" w:hAnsi="Times New Roman" w:eastAsia="方正仿宋简体" w:cs="Times New Roman"/>
          <w:color w:val="auto"/>
          <w:sz w:val="32"/>
          <w:szCs w:val="32"/>
          <w:highlight w:val="none"/>
          <w:lang w:eastAsia="zh-CN"/>
        </w:rPr>
        <w:t>参加</w:t>
      </w:r>
      <w:r>
        <w:rPr>
          <w:rFonts w:hint="default" w:ascii="Times New Roman" w:hAnsi="Times New Roman" w:eastAsia="方正仿宋简体" w:cs="Times New Roman"/>
          <w:color w:val="auto"/>
          <w:sz w:val="32"/>
          <w:szCs w:val="32"/>
          <w:highlight w:val="none"/>
        </w:rPr>
        <w:t>工伤保险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3.5%</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九、科学技术和教育</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yellow"/>
        </w:rPr>
      </w:pPr>
      <w:r>
        <w:rPr>
          <w:rFonts w:hint="default" w:ascii="Times New Roman" w:hAnsi="Times New Roman" w:eastAsia="方正仿宋简体" w:cs="Times New Roman"/>
          <w:color w:val="auto"/>
          <w:sz w:val="32"/>
          <w:szCs w:val="32"/>
          <w:highlight w:val="none"/>
        </w:rPr>
        <w:t>全年申报立项自治区、地区各类科技计划项目</w:t>
      </w:r>
      <w:r>
        <w:rPr>
          <w:rFonts w:hint="eastAsia" w:ascii="Times New Roman" w:hAnsi="Times New Roman" w:eastAsia="方正仿宋简体" w:cs="Times New Roman"/>
          <w:color w:val="auto"/>
          <w:sz w:val="32"/>
          <w:szCs w:val="32"/>
          <w:highlight w:val="none"/>
          <w:lang w:val="en-US" w:eastAsia="zh-CN"/>
        </w:rPr>
        <w:t>155</w:t>
      </w:r>
      <w:r>
        <w:rPr>
          <w:rFonts w:hint="default" w:ascii="Times New Roman" w:hAnsi="Times New Roman" w:eastAsia="方正仿宋简体" w:cs="Times New Roman"/>
          <w:color w:val="auto"/>
          <w:sz w:val="32"/>
          <w:szCs w:val="32"/>
          <w:highlight w:val="none"/>
        </w:rPr>
        <w:t>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rPr>
      </w:pPr>
      <w:r>
        <w:rPr>
          <w:rFonts w:hint="default" w:ascii="Times New Roman" w:hAnsi="Times New Roman" w:eastAsia="方正仿宋简体" w:cs="Times New Roman"/>
          <w:color w:val="auto"/>
          <w:sz w:val="32"/>
          <w:szCs w:val="32"/>
          <w:highlight w:val="none"/>
          <w:lang w:eastAsia="zh-CN"/>
        </w:rPr>
        <w:t>全年</w:t>
      </w:r>
      <w:r>
        <w:rPr>
          <w:rFonts w:hint="default" w:ascii="Times New Roman" w:hAnsi="Times New Roman" w:eastAsia="方正仿宋简体" w:cs="Times New Roman"/>
          <w:color w:val="auto"/>
          <w:sz w:val="32"/>
          <w:szCs w:val="32"/>
          <w:highlight w:val="none"/>
        </w:rPr>
        <w:t>完成技术合同登记</w:t>
      </w:r>
      <w:r>
        <w:rPr>
          <w:rFonts w:hint="eastAsia" w:ascii="Times New Roman" w:hAnsi="Times New Roman" w:eastAsia="方正仿宋简体" w:cs="Times New Roman"/>
          <w:color w:val="auto"/>
          <w:sz w:val="32"/>
          <w:szCs w:val="32"/>
          <w:highlight w:val="none"/>
          <w:lang w:val="en-US" w:eastAsia="zh-CN"/>
        </w:rPr>
        <w:t>50</w:t>
      </w:r>
      <w:r>
        <w:rPr>
          <w:rFonts w:hint="default" w:ascii="Times New Roman" w:hAnsi="Times New Roman" w:eastAsia="方正仿宋简体" w:cs="Times New Roman"/>
          <w:color w:val="auto"/>
          <w:sz w:val="32"/>
          <w:szCs w:val="32"/>
          <w:highlight w:val="none"/>
        </w:rPr>
        <w:t>项</w:t>
      </w:r>
      <w:r>
        <w:rPr>
          <w:rFonts w:hint="default"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rPr>
        <w:t>新认定高新技术企业</w:t>
      </w:r>
      <w:r>
        <w:rPr>
          <w:rFonts w:hint="eastAsia" w:ascii="Times New Roman" w:hAnsi="Times New Roman" w:eastAsia="方正仿宋简体" w:cs="Times New Roman"/>
          <w:color w:val="auto"/>
          <w:sz w:val="32"/>
          <w:szCs w:val="32"/>
          <w:highlight w:val="none"/>
          <w:lang w:val="en-US" w:eastAsia="zh-CN"/>
        </w:rPr>
        <w:t>29</w:t>
      </w:r>
      <w:r>
        <w:rPr>
          <w:rFonts w:hint="default" w:ascii="Times New Roman" w:hAnsi="Times New Roman" w:eastAsia="方正仿宋简体" w:cs="Times New Roman"/>
          <w:color w:val="auto"/>
          <w:sz w:val="32"/>
          <w:szCs w:val="32"/>
          <w:highlight w:val="none"/>
        </w:rPr>
        <w:t>家，科技型中小企业</w:t>
      </w:r>
      <w:r>
        <w:rPr>
          <w:rFonts w:hint="eastAsia" w:ascii="Times New Roman" w:hAnsi="Times New Roman" w:eastAsia="方正仿宋简体" w:cs="Times New Roman"/>
          <w:color w:val="auto"/>
          <w:sz w:val="32"/>
          <w:szCs w:val="32"/>
          <w:highlight w:val="none"/>
          <w:lang w:val="en-US" w:eastAsia="zh-CN"/>
        </w:rPr>
        <w:t>103</w:t>
      </w:r>
      <w:r>
        <w:rPr>
          <w:rFonts w:hint="default" w:ascii="Times New Roman" w:hAnsi="Times New Roman" w:eastAsia="方正仿宋简体" w:cs="Times New Roman"/>
          <w:color w:val="auto"/>
          <w:sz w:val="32"/>
          <w:szCs w:val="32"/>
          <w:highlight w:val="none"/>
        </w:rPr>
        <w:t>家</w:t>
      </w:r>
      <w:r>
        <w:rPr>
          <w:rFonts w:hint="default" w:ascii="Times New Roman" w:hAnsi="Times New Roman" w:eastAsia="方正仿宋简体" w:cs="Times New Roman"/>
          <w:color w:val="auto"/>
          <w:sz w:val="32"/>
          <w:szCs w:val="32"/>
          <w:highlight w:val="none"/>
          <w:lang w:eastAsia="zh-CN"/>
        </w:rPr>
        <w:t>，现有效高</w:t>
      </w:r>
      <w:r>
        <w:rPr>
          <w:rFonts w:hint="eastAsia" w:ascii="Times New Roman" w:hAnsi="Times New Roman" w:eastAsia="方正仿宋简体" w:cs="Times New Roman"/>
          <w:color w:val="auto"/>
          <w:sz w:val="32"/>
          <w:szCs w:val="32"/>
          <w:highlight w:val="none"/>
          <w:lang w:val="en-US" w:eastAsia="zh-CN"/>
        </w:rPr>
        <w:t>新</w:t>
      </w:r>
      <w:r>
        <w:rPr>
          <w:rFonts w:hint="default" w:ascii="Times New Roman" w:hAnsi="Times New Roman" w:eastAsia="方正仿宋简体" w:cs="Times New Roman"/>
          <w:color w:val="auto"/>
          <w:sz w:val="32"/>
          <w:szCs w:val="32"/>
          <w:highlight w:val="none"/>
          <w:lang w:eastAsia="zh-CN"/>
        </w:rPr>
        <w:t>技术企业</w:t>
      </w:r>
      <w:r>
        <w:rPr>
          <w:rFonts w:hint="eastAsia" w:ascii="Times New Roman" w:hAnsi="Times New Roman" w:eastAsia="方正仿宋简体" w:cs="Times New Roman"/>
          <w:color w:val="auto"/>
          <w:sz w:val="32"/>
          <w:szCs w:val="32"/>
          <w:highlight w:val="none"/>
          <w:lang w:val="en-US" w:eastAsia="zh-CN"/>
        </w:rPr>
        <w:t>66</w:t>
      </w:r>
      <w:r>
        <w:rPr>
          <w:rFonts w:hint="default" w:ascii="Times New Roman" w:hAnsi="Times New Roman" w:eastAsia="方正仿宋简体" w:cs="Times New Roman"/>
          <w:color w:val="auto"/>
          <w:sz w:val="32"/>
          <w:szCs w:val="32"/>
          <w:highlight w:val="none"/>
          <w:lang w:val="en-US" w:eastAsia="zh-CN"/>
        </w:rPr>
        <w:t>家</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FF"/>
          <w:sz w:val="32"/>
          <w:szCs w:val="32"/>
          <w:highlight w:val="none"/>
        </w:rPr>
      </w:pPr>
      <w:r>
        <w:rPr>
          <w:rFonts w:hint="default" w:ascii="Times New Roman" w:hAnsi="Times New Roman" w:eastAsia="方正仿宋简体" w:cs="Times New Roman"/>
          <w:color w:val="auto"/>
          <w:sz w:val="32"/>
          <w:szCs w:val="32"/>
          <w:highlight w:val="none"/>
          <w:lang w:eastAsia="zh-CN"/>
        </w:rPr>
        <w:t>全</w:t>
      </w:r>
      <w:r>
        <w:rPr>
          <w:rFonts w:hint="default" w:ascii="Times New Roman" w:hAnsi="Times New Roman" w:eastAsia="方正仿宋简体" w:cs="Times New Roman"/>
          <w:color w:val="auto"/>
          <w:sz w:val="32"/>
          <w:szCs w:val="32"/>
          <w:highlight w:val="none"/>
        </w:rPr>
        <w:t>年全地区共有各级各类学校</w:t>
      </w:r>
      <w:r>
        <w:rPr>
          <w:rFonts w:hint="eastAsia" w:ascii="Times New Roman" w:hAnsi="Times New Roman" w:eastAsia="方正仿宋简体" w:cs="Times New Roman"/>
          <w:color w:val="auto"/>
          <w:sz w:val="32"/>
          <w:szCs w:val="32"/>
          <w:highlight w:val="none"/>
          <w:lang w:val="en-US" w:eastAsia="zh-CN"/>
        </w:rPr>
        <w:t>1492</w:t>
      </w:r>
      <w:r>
        <w:rPr>
          <w:rFonts w:hint="default" w:ascii="Times New Roman" w:hAnsi="Times New Roman" w:eastAsia="方正仿宋简体" w:cs="Times New Roman"/>
          <w:color w:val="auto"/>
          <w:sz w:val="32"/>
          <w:szCs w:val="32"/>
          <w:highlight w:val="none"/>
        </w:rPr>
        <w:t>所。</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00" w:themeColor="text1"/>
          <w:sz w:val="32"/>
          <w:szCs w:val="32"/>
          <w:highlight w:val="none"/>
          <w14:textFill>
            <w14:solidFill>
              <w14:schemeClr w14:val="tx1"/>
            </w14:solidFill>
          </w14:textFill>
        </w:rPr>
      </w:pPr>
      <w:r>
        <w:rPr>
          <w:rFonts w:hint="default" w:ascii="Times New Roman" w:hAnsi="Times New Roman" w:eastAsia="黑体" w:cs="Times New Roman"/>
          <w:color w:val="000000" w:themeColor="text1"/>
          <w:sz w:val="32"/>
          <w:szCs w:val="32"/>
          <w:highlight w:val="none"/>
          <w14:textFill>
            <w14:solidFill>
              <w14:schemeClr w14:val="tx1"/>
            </w14:solidFill>
          </w14:textFill>
        </w:rPr>
        <w:t>十、文化旅游、卫生健康和体育</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FF"/>
          <w:sz w:val="32"/>
          <w:szCs w:val="32"/>
          <w:highlight w:val="none"/>
          <w:u w:val="none"/>
        </w:rPr>
      </w:pPr>
      <w:r>
        <w:rPr>
          <w:rFonts w:hint="default" w:ascii="Times New Roman" w:hAnsi="Times New Roman" w:eastAsia="方正仿宋简体" w:cs="Times New Roman"/>
          <w:color w:val="auto"/>
          <w:sz w:val="32"/>
          <w:szCs w:val="32"/>
          <w:highlight w:val="none"/>
          <w:u w:val="none"/>
          <w:lang w:val="en-US" w:eastAsia="zh-CN"/>
        </w:rPr>
        <w:t>全年全地区文化和旅游系统共有艺术</w:t>
      </w:r>
      <w:r>
        <w:rPr>
          <w:rFonts w:hint="eastAsia" w:ascii="Times New Roman" w:hAnsi="Times New Roman" w:eastAsia="方正仿宋简体" w:cs="Times New Roman"/>
          <w:color w:val="auto"/>
          <w:sz w:val="32"/>
          <w:szCs w:val="32"/>
          <w:highlight w:val="none"/>
          <w:u w:val="none"/>
          <w:lang w:val="en-US" w:eastAsia="zh-CN"/>
        </w:rPr>
        <w:t>专业</w:t>
      </w:r>
      <w:r>
        <w:rPr>
          <w:rFonts w:hint="default" w:ascii="Times New Roman" w:hAnsi="Times New Roman" w:eastAsia="方正仿宋简体" w:cs="Times New Roman"/>
          <w:color w:val="auto"/>
          <w:sz w:val="32"/>
          <w:szCs w:val="32"/>
          <w:highlight w:val="none"/>
          <w:u w:val="none"/>
          <w:lang w:val="en-US" w:eastAsia="zh-CN"/>
        </w:rPr>
        <w:t>表演团体 9个，演出场次</w:t>
      </w:r>
      <w:r>
        <w:rPr>
          <w:rFonts w:hint="eastAsia" w:ascii="Times New Roman" w:hAnsi="Times New Roman" w:eastAsia="方正仿宋简体" w:cs="Times New Roman"/>
          <w:color w:val="auto"/>
          <w:sz w:val="32"/>
          <w:szCs w:val="32"/>
          <w:highlight w:val="none"/>
          <w:u w:val="none"/>
          <w:lang w:val="en-US" w:eastAsia="zh-CN"/>
        </w:rPr>
        <w:t>3324</w:t>
      </w:r>
      <w:r>
        <w:rPr>
          <w:rFonts w:hint="default" w:ascii="Times New Roman" w:hAnsi="Times New Roman" w:eastAsia="方正仿宋简体" w:cs="Times New Roman"/>
          <w:color w:val="auto"/>
          <w:sz w:val="32"/>
          <w:szCs w:val="32"/>
          <w:highlight w:val="none"/>
          <w:u w:val="none"/>
          <w:lang w:val="en-US" w:eastAsia="zh-CN"/>
        </w:rPr>
        <w:t>次；博物馆</w:t>
      </w:r>
      <w:r>
        <w:rPr>
          <w:rFonts w:hint="eastAsia" w:ascii="Times New Roman" w:hAnsi="Times New Roman" w:eastAsia="方正仿宋简体" w:cs="Times New Roman"/>
          <w:color w:val="auto"/>
          <w:sz w:val="32"/>
          <w:szCs w:val="32"/>
          <w:highlight w:val="none"/>
          <w:u w:val="none"/>
          <w:lang w:val="en-US" w:eastAsia="zh-CN"/>
        </w:rPr>
        <w:t>5</w:t>
      </w:r>
      <w:r>
        <w:rPr>
          <w:rFonts w:hint="default" w:ascii="Times New Roman" w:hAnsi="Times New Roman" w:eastAsia="方正仿宋简体" w:cs="Times New Roman"/>
          <w:color w:val="auto"/>
          <w:sz w:val="32"/>
          <w:szCs w:val="32"/>
          <w:highlight w:val="none"/>
          <w:u w:val="none"/>
          <w:lang w:val="en-US" w:eastAsia="zh-CN"/>
        </w:rPr>
        <w:t>个、文化馆9个 、文化站9</w:t>
      </w:r>
      <w:r>
        <w:rPr>
          <w:rFonts w:hint="eastAsia" w:ascii="Times New Roman" w:hAnsi="Times New Roman" w:eastAsia="方正仿宋简体" w:cs="Times New Roman"/>
          <w:color w:val="auto"/>
          <w:sz w:val="32"/>
          <w:szCs w:val="32"/>
          <w:highlight w:val="none"/>
          <w:u w:val="none"/>
          <w:lang w:val="en-US" w:eastAsia="zh-CN"/>
        </w:rPr>
        <w:t>6</w:t>
      </w:r>
      <w:r>
        <w:rPr>
          <w:rFonts w:hint="default" w:ascii="Times New Roman" w:hAnsi="Times New Roman" w:eastAsia="方正仿宋简体" w:cs="Times New Roman"/>
          <w:color w:val="auto"/>
          <w:sz w:val="32"/>
          <w:szCs w:val="32"/>
          <w:highlight w:val="none"/>
          <w:u w:val="none"/>
          <w:lang w:val="en-US" w:eastAsia="zh-CN"/>
        </w:rPr>
        <w:t>个；图书馆9个，总藏书量</w:t>
      </w:r>
      <w:r>
        <w:rPr>
          <w:rFonts w:hint="eastAsia" w:ascii="Times New Roman" w:hAnsi="Times New Roman" w:eastAsia="方正仿宋简体" w:cs="Times New Roman"/>
          <w:color w:val="auto"/>
          <w:sz w:val="32"/>
          <w:szCs w:val="32"/>
          <w:highlight w:val="none"/>
          <w:u w:val="none"/>
          <w:lang w:val="en-US" w:eastAsia="zh-CN"/>
        </w:rPr>
        <w:t>90.0065</w:t>
      </w:r>
      <w:r>
        <w:rPr>
          <w:rFonts w:hint="default" w:ascii="Times New Roman" w:hAnsi="Times New Roman" w:eastAsia="方正仿宋简体" w:cs="Times New Roman"/>
          <w:color w:val="auto"/>
          <w:sz w:val="32"/>
          <w:szCs w:val="32"/>
          <w:highlight w:val="none"/>
          <w:u w:val="none"/>
          <w:lang w:val="en-US" w:eastAsia="zh-CN"/>
        </w:rPr>
        <w:t>万册。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全年《和田日报》总出版量</w:t>
      </w:r>
      <w:r>
        <w:rPr>
          <w:rFonts w:hint="eastAsia" w:ascii="Times New Roman" w:hAnsi="Times New Roman" w:eastAsia="方正仿宋简体" w:cs="Times New Roman"/>
          <w:color w:val="auto"/>
          <w:sz w:val="32"/>
          <w:szCs w:val="32"/>
          <w:highlight w:val="none"/>
          <w:lang w:val="en-US" w:eastAsia="zh-CN"/>
        </w:rPr>
        <w:t>1617</w:t>
      </w:r>
      <w:r>
        <w:rPr>
          <w:rFonts w:hint="default" w:ascii="Times New Roman" w:hAnsi="Times New Roman" w:eastAsia="方正仿宋简体" w:cs="Times New Roman"/>
          <w:color w:val="auto"/>
          <w:sz w:val="32"/>
          <w:szCs w:val="32"/>
          <w:highlight w:val="none"/>
          <w:lang w:val="en-US" w:eastAsia="zh-CN"/>
        </w:rPr>
        <w:t>万份。《和田日报》实际出版期数</w:t>
      </w:r>
      <w:r>
        <w:rPr>
          <w:rFonts w:hint="eastAsia" w:ascii="Times New Roman" w:hAnsi="Times New Roman" w:eastAsia="方正仿宋简体" w:cs="Times New Roman"/>
          <w:color w:val="auto"/>
          <w:sz w:val="32"/>
          <w:szCs w:val="32"/>
          <w:highlight w:val="none"/>
          <w:lang w:val="en-US" w:eastAsia="zh-CN"/>
        </w:rPr>
        <w:t>494</w:t>
      </w:r>
      <w:r>
        <w:rPr>
          <w:rFonts w:hint="default" w:ascii="Times New Roman" w:hAnsi="Times New Roman" w:eastAsia="方正仿宋简体" w:cs="Times New Roman"/>
          <w:color w:val="auto"/>
          <w:sz w:val="32"/>
          <w:szCs w:val="32"/>
          <w:highlight w:val="none"/>
          <w:lang w:val="en-US" w:eastAsia="zh-CN"/>
        </w:rPr>
        <w:t>期。</w:t>
      </w:r>
    </w:p>
    <w:p>
      <w:pPr>
        <w:keepNext w:val="0"/>
        <w:keepLines w:val="0"/>
        <w:pageBreakBefore w:val="0"/>
        <w:widowControl w:val="0"/>
        <w:kinsoku/>
        <w:wordWrap/>
        <w:overflowPunct/>
        <w:topLinePunct w:val="0"/>
        <w:autoSpaceDE/>
        <w:autoSpaceDN/>
        <w:bidi w:val="0"/>
        <w:adjustRightInd/>
        <w:snapToGrid/>
        <w:spacing w:line="560" w:lineRule="exact"/>
        <w:ind w:firstLine="616" w:firstLineChars="200"/>
        <w:textAlignment w:val="auto"/>
        <w:rPr>
          <w:rFonts w:hint="default" w:ascii="Times New Roman" w:hAnsi="Times New Roman" w:eastAsia="方正仿宋简体" w:cs="Times New Roman"/>
          <w:color w:val="0000FF"/>
          <w:sz w:val="32"/>
          <w:szCs w:val="32"/>
          <w:highlight w:val="none"/>
          <w:lang w:eastAsia="zh-CN"/>
        </w:rPr>
      </w:pPr>
      <w:r>
        <w:rPr>
          <w:rFonts w:hint="default" w:ascii="Times New Roman" w:hAnsi="Times New Roman" w:eastAsia="方正仿宋_GBK" w:cs="Times New Roman"/>
          <w:color w:val="auto"/>
          <w:spacing w:val="-6"/>
          <w:sz w:val="32"/>
          <w:szCs w:val="32"/>
          <w:highlight w:val="none"/>
          <w:lang w:val="en-US" w:eastAsia="zh-CN"/>
        </w:rPr>
        <w:t>全年全地区累计接待</w:t>
      </w:r>
      <w:r>
        <w:rPr>
          <w:rFonts w:hint="eastAsia" w:ascii="Times New Roman" w:hAnsi="Times New Roman" w:eastAsia="方正仿宋_GBK" w:cs="Times New Roman"/>
          <w:color w:val="auto"/>
          <w:spacing w:val="-6"/>
          <w:sz w:val="32"/>
          <w:szCs w:val="32"/>
          <w:highlight w:val="none"/>
          <w:lang w:val="en-US" w:eastAsia="zh-CN"/>
        </w:rPr>
        <w:t>国内外</w:t>
      </w:r>
      <w:r>
        <w:rPr>
          <w:rFonts w:hint="default" w:ascii="Times New Roman" w:hAnsi="Times New Roman" w:eastAsia="方正仿宋_GBK" w:cs="Times New Roman"/>
          <w:color w:val="auto"/>
          <w:spacing w:val="-6"/>
          <w:sz w:val="32"/>
          <w:szCs w:val="32"/>
          <w:highlight w:val="none"/>
          <w:lang w:val="en-US" w:eastAsia="zh-CN"/>
        </w:rPr>
        <w:t>游客</w:t>
      </w:r>
      <w:r>
        <w:rPr>
          <w:rFonts w:hint="eastAsia" w:ascii="Times New Roman" w:hAnsi="Times New Roman" w:eastAsia="方正仿宋_GBK" w:cs="Times New Roman"/>
          <w:color w:val="auto"/>
          <w:spacing w:val="-6"/>
          <w:sz w:val="32"/>
          <w:szCs w:val="32"/>
          <w:highlight w:val="none"/>
          <w:lang w:val="en-US" w:eastAsia="zh-CN"/>
        </w:rPr>
        <w:t>3855.61</w:t>
      </w:r>
      <w:r>
        <w:rPr>
          <w:rFonts w:hint="default" w:ascii="Times New Roman" w:hAnsi="Times New Roman" w:eastAsia="方正仿宋_GBK" w:cs="Times New Roman"/>
          <w:color w:val="auto"/>
          <w:spacing w:val="-6"/>
          <w:sz w:val="32"/>
          <w:szCs w:val="32"/>
          <w:highlight w:val="none"/>
          <w:lang w:val="en-US" w:eastAsia="zh-CN"/>
        </w:rPr>
        <w:t>万人次，同比增长</w:t>
      </w:r>
      <w:r>
        <w:rPr>
          <w:rFonts w:hint="eastAsia" w:ascii="Times New Roman" w:hAnsi="Times New Roman" w:eastAsia="方正仿宋_GBK" w:cs="Times New Roman"/>
          <w:color w:val="auto"/>
          <w:spacing w:val="-6"/>
          <w:sz w:val="32"/>
          <w:szCs w:val="32"/>
          <w:highlight w:val="none"/>
          <w:lang w:val="en-US" w:eastAsia="zh-CN"/>
        </w:rPr>
        <w:t>28.4</w:t>
      </w:r>
      <w:r>
        <w:rPr>
          <w:rFonts w:hint="default" w:ascii="Times New Roman" w:hAnsi="Times New Roman" w:eastAsia="方正仿宋_GBK" w:cs="Times New Roman"/>
          <w:color w:val="auto"/>
          <w:spacing w:val="-6"/>
          <w:sz w:val="32"/>
          <w:szCs w:val="32"/>
          <w:highlight w:val="none"/>
          <w:lang w:val="en-US" w:eastAsia="zh-CN"/>
        </w:rPr>
        <w:t>%。</w:t>
      </w:r>
      <w:r>
        <w:rPr>
          <w:rFonts w:hint="eastAsia" w:ascii="Times New Roman" w:hAnsi="Times New Roman" w:eastAsia="方正仿宋_GBK" w:cs="Times New Roman"/>
          <w:color w:val="auto"/>
          <w:spacing w:val="-6"/>
          <w:sz w:val="32"/>
          <w:szCs w:val="32"/>
          <w:highlight w:val="none"/>
          <w:lang w:val="en-US" w:eastAsia="zh-CN"/>
        </w:rPr>
        <w:t>累计游客花费</w:t>
      </w:r>
      <w:r>
        <w:rPr>
          <w:rFonts w:hint="default" w:ascii="Times New Roman" w:hAnsi="Times New Roman" w:eastAsia="方正仿宋_GBK" w:cs="Times New Roman"/>
          <w:color w:val="auto"/>
          <w:spacing w:val="-6"/>
          <w:sz w:val="32"/>
          <w:szCs w:val="32"/>
          <w:highlight w:val="none"/>
          <w:lang w:val="en-US" w:eastAsia="zh-CN"/>
        </w:rPr>
        <w:t>同比增长</w:t>
      </w:r>
      <w:r>
        <w:rPr>
          <w:rFonts w:hint="eastAsia" w:ascii="Times New Roman" w:hAnsi="Times New Roman" w:eastAsia="方正仿宋_GBK" w:cs="Times New Roman"/>
          <w:color w:val="auto"/>
          <w:spacing w:val="-6"/>
          <w:sz w:val="32"/>
          <w:szCs w:val="32"/>
          <w:highlight w:val="none"/>
          <w:lang w:val="en-US" w:eastAsia="zh-CN"/>
        </w:rPr>
        <w:t>28.2</w:t>
      </w:r>
      <w:r>
        <w:rPr>
          <w:rFonts w:hint="default" w:ascii="Times New Roman" w:hAnsi="Times New Roman" w:eastAsia="方正仿宋_GBK" w:cs="Times New Roman"/>
          <w:color w:val="auto"/>
          <w:spacing w:val="-6"/>
          <w:sz w:val="32"/>
          <w:szCs w:val="32"/>
          <w:highlight w:val="none"/>
          <w:lang w:val="en-US" w:eastAsia="zh-CN"/>
        </w:rPr>
        <w:t>%。</w:t>
      </w:r>
      <w:r>
        <w:rPr>
          <w:rFonts w:hint="default" w:ascii="Times New Roman" w:hAnsi="Times New Roman" w:eastAsia="方正仿宋简体" w:cs="Times New Roman"/>
          <w:color w:val="auto"/>
          <w:sz w:val="32"/>
          <w:szCs w:val="32"/>
          <w:highlight w:val="none"/>
          <w:lang w:val="en-US" w:eastAsia="zh-CN"/>
        </w:rPr>
        <w:t>全</w:t>
      </w:r>
      <w:r>
        <w:rPr>
          <w:rFonts w:hint="default" w:ascii="Times New Roman" w:hAnsi="Times New Roman" w:eastAsia="方正仿宋简体" w:cs="Times New Roman"/>
          <w:color w:val="auto"/>
          <w:sz w:val="32"/>
          <w:szCs w:val="32"/>
          <w:highlight w:val="none"/>
        </w:rPr>
        <w:t>地区</w:t>
      </w:r>
      <w:r>
        <w:rPr>
          <w:rFonts w:hint="default" w:ascii="Times New Roman" w:hAnsi="Times New Roman" w:eastAsia="方正仿宋简体" w:cs="Times New Roman"/>
          <w:color w:val="auto"/>
          <w:sz w:val="32"/>
          <w:szCs w:val="32"/>
          <w:highlight w:val="none"/>
          <w:lang w:eastAsia="zh-CN"/>
        </w:rPr>
        <w:t>共有</w:t>
      </w:r>
      <w:r>
        <w:rPr>
          <w:rFonts w:hint="default" w:ascii="Times New Roman" w:hAnsi="Times New Roman" w:eastAsia="方正仿宋简体" w:cs="Times New Roman"/>
          <w:color w:val="auto"/>
          <w:sz w:val="32"/>
          <w:szCs w:val="32"/>
          <w:highlight w:val="none"/>
          <w:lang w:val="en-US" w:eastAsia="zh-CN"/>
        </w:rPr>
        <w:t>A级景区</w:t>
      </w:r>
      <w:r>
        <w:rPr>
          <w:rFonts w:hint="eastAsia" w:ascii="Times New Roman" w:hAnsi="Times New Roman" w:eastAsia="方正仿宋简体" w:cs="Times New Roman"/>
          <w:color w:val="auto"/>
          <w:sz w:val="32"/>
          <w:szCs w:val="32"/>
          <w:highlight w:val="none"/>
          <w:lang w:val="en-US" w:eastAsia="zh-CN"/>
        </w:rPr>
        <w:t>59</w:t>
      </w:r>
      <w:r>
        <w:rPr>
          <w:rFonts w:hint="default" w:ascii="Times New Roman" w:hAnsi="Times New Roman" w:eastAsia="方正仿宋简体" w:cs="Times New Roman"/>
          <w:color w:val="auto"/>
          <w:sz w:val="32"/>
          <w:szCs w:val="32"/>
          <w:highlight w:val="none"/>
          <w:lang w:val="en-US" w:eastAsia="zh-CN"/>
        </w:rPr>
        <w:t>个，其中，</w:t>
      </w:r>
      <w:r>
        <w:rPr>
          <w:rFonts w:hint="default" w:ascii="Times New Roman" w:hAnsi="Times New Roman" w:eastAsia="方正仿宋简体" w:cs="Times New Roman"/>
          <w:color w:val="auto"/>
          <w:sz w:val="32"/>
          <w:szCs w:val="32"/>
          <w:highlight w:val="none"/>
        </w:rPr>
        <w:t>4A级景区</w:t>
      </w:r>
      <w:r>
        <w:rPr>
          <w:rFonts w:hint="default" w:ascii="Times New Roman" w:hAnsi="Times New Roman" w:eastAsia="方正仿宋简体" w:cs="Times New Roman"/>
          <w:color w:val="auto"/>
          <w:sz w:val="32"/>
          <w:szCs w:val="32"/>
          <w:highlight w:val="none"/>
          <w:lang w:val="en-US" w:eastAsia="zh-CN"/>
        </w:rPr>
        <w:t>1</w:t>
      </w:r>
      <w:r>
        <w:rPr>
          <w:rFonts w:hint="eastAsia" w:ascii="Times New Roman" w:hAnsi="Times New Roman" w:eastAsia="方正仿宋简体" w:cs="Times New Roman"/>
          <w:color w:val="auto"/>
          <w:sz w:val="32"/>
          <w:szCs w:val="32"/>
          <w:highlight w:val="none"/>
          <w:lang w:val="en-US" w:eastAsia="zh-CN"/>
        </w:rPr>
        <w:t>2</w:t>
      </w:r>
      <w:r>
        <w:rPr>
          <w:rFonts w:hint="default" w:ascii="Times New Roman" w:hAnsi="Times New Roman" w:eastAsia="方正仿宋简体" w:cs="Times New Roman"/>
          <w:color w:val="auto"/>
          <w:sz w:val="32"/>
          <w:szCs w:val="32"/>
          <w:highlight w:val="none"/>
        </w:rPr>
        <w:t>家，3A</w:t>
      </w:r>
      <w:r>
        <w:rPr>
          <w:rFonts w:hint="default" w:ascii="Times New Roman" w:hAnsi="Times New Roman" w:eastAsia="方正仿宋简体" w:cs="Times New Roman"/>
          <w:color w:val="auto"/>
          <w:sz w:val="32"/>
          <w:szCs w:val="32"/>
          <w:highlight w:val="none"/>
          <w:lang w:eastAsia="zh-CN"/>
        </w:rPr>
        <w:t>级景区</w:t>
      </w:r>
      <w:r>
        <w:rPr>
          <w:rFonts w:hint="eastAsia" w:ascii="Times New Roman" w:hAnsi="Times New Roman" w:eastAsia="方正仿宋简体" w:cs="Times New Roman"/>
          <w:color w:val="auto"/>
          <w:sz w:val="32"/>
          <w:szCs w:val="32"/>
          <w:highlight w:val="none"/>
          <w:lang w:val="en-US" w:eastAsia="zh-CN"/>
        </w:rPr>
        <w:t>34</w:t>
      </w:r>
      <w:r>
        <w:rPr>
          <w:rFonts w:hint="default" w:ascii="Times New Roman" w:hAnsi="Times New Roman" w:eastAsia="方正仿宋简体" w:cs="Times New Roman"/>
          <w:color w:val="auto"/>
          <w:sz w:val="32"/>
          <w:szCs w:val="32"/>
          <w:highlight w:val="none"/>
          <w:lang w:val="en-US" w:eastAsia="zh-CN"/>
        </w:rPr>
        <w:t>家，2A级</w:t>
      </w:r>
      <w:r>
        <w:rPr>
          <w:rFonts w:hint="default" w:ascii="Times New Roman" w:hAnsi="Times New Roman" w:eastAsia="方正仿宋简体" w:cs="Times New Roman"/>
          <w:color w:val="auto"/>
          <w:sz w:val="32"/>
          <w:szCs w:val="32"/>
          <w:highlight w:val="none"/>
        </w:rPr>
        <w:t>景区</w:t>
      </w:r>
      <w:r>
        <w:rPr>
          <w:rFonts w:hint="default" w:ascii="Times New Roman" w:hAnsi="Times New Roman" w:eastAsia="方正仿宋简体" w:cs="Times New Roman"/>
          <w:color w:val="auto"/>
          <w:sz w:val="32"/>
          <w:szCs w:val="32"/>
          <w:highlight w:val="none"/>
          <w:lang w:val="en-US" w:eastAsia="zh-CN"/>
        </w:rPr>
        <w:t>1</w:t>
      </w:r>
      <w:r>
        <w:rPr>
          <w:rFonts w:hint="eastAsia" w:ascii="Times New Roman" w:hAnsi="Times New Roman" w:eastAsia="方正仿宋简体" w:cs="Times New Roman"/>
          <w:color w:val="auto"/>
          <w:sz w:val="32"/>
          <w:szCs w:val="32"/>
          <w:highlight w:val="none"/>
          <w:lang w:val="en-US" w:eastAsia="zh-CN"/>
        </w:rPr>
        <w:t>3</w:t>
      </w:r>
      <w:r>
        <w:rPr>
          <w:rFonts w:hint="default" w:ascii="Times New Roman" w:hAnsi="Times New Roman" w:eastAsia="方正仿宋简体" w:cs="Times New Roman"/>
          <w:color w:val="auto"/>
          <w:sz w:val="32"/>
          <w:szCs w:val="32"/>
          <w:highlight w:val="none"/>
        </w:rPr>
        <w:t>家</w:t>
      </w:r>
      <w:r>
        <w:rPr>
          <w:rFonts w:hint="default" w:ascii="Times New Roman" w:hAnsi="Times New Roman" w:eastAsia="方正仿宋简体" w:cs="Times New Roman"/>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lang w:val="en-US" w:eastAsia="zh-CN"/>
        </w:rPr>
        <w:t>全年</w:t>
      </w:r>
      <w:r>
        <w:rPr>
          <w:rFonts w:hint="eastAsia" w:ascii="Times New Roman" w:hAnsi="Times New Roman" w:eastAsia="方正仿宋简体" w:cs="Times New Roman"/>
          <w:color w:val="auto"/>
          <w:sz w:val="32"/>
          <w:szCs w:val="32"/>
          <w:highlight w:val="none"/>
          <w:lang w:val="en-US" w:eastAsia="zh-CN"/>
        </w:rPr>
        <w:t>全</w:t>
      </w:r>
      <w:r>
        <w:rPr>
          <w:rFonts w:hint="default" w:ascii="Times New Roman" w:hAnsi="Times New Roman" w:eastAsia="方正仿宋简体" w:cs="Times New Roman"/>
          <w:color w:val="auto"/>
          <w:sz w:val="32"/>
          <w:szCs w:val="32"/>
          <w:highlight w:val="none"/>
          <w:lang w:val="en-US" w:eastAsia="zh-CN"/>
        </w:rPr>
        <w:t>地区共有医疗卫生机构</w:t>
      </w:r>
      <w:r>
        <w:rPr>
          <w:rFonts w:hint="eastAsia" w:ascii="Times New Roman" w:hAnsi="Times New Roman" w:eastAsia="方正仿宋简体" w:cs="Times New Roman"/>
          <w:color w:val="auto"/>
          <w:sz w:val="32"/>
          <w:szCs w:val="32"/>
          <w:highlight w:val="none"/>
          <w:lang w:val="en-US" w:eastAsia="zh-CN"/>
        </w:rPr>
        <w:t>2307</w:t>
      </w:r>
      <w:r>
        <w:rPr>
          <w:rFonts w:hint="default" w:ascii="Times New Roman" w:hAnsi="Times New Roman" w:eastAsia="方正仿宋简体" w:cs="Times New Roman"/>
          <w:color w:val="auto"/>
          <w:sz w:val="32"/>
          <w:szCs w:val="32"/>
          <w:highlight w:val="none"/>
          <w:lang w:val="en-US" w:eastAsia="zh-CN"/>
        </w:rPr>
        <w:t>所。年末</w:t>
      </w:r>
      <w:r>
        <w:rPr>
          <w:rFonts w:hint="eastAsia" w:ascii="Times New Roman" w:hAnsi="Times New Roman" w:eastAsia="方正仿宋简体" w:cs="Times New Roman"/>
          <w:color w:val="auto"/>
          <w:sz w:val="32"/>
          <w:szCs w:val="32"/>
          <w:highlight w:val="none"/>
          <w:lang w:val="en-US" w:eastAsia="zh-CN"/>
        </w:rPr>
        <w:t>全地区</w:t>
      </w:r>
      <w:r>
        <w:rPr>
          <w:rFonts w:hint="default" w:ascii="Times New Roman" w:hAnsi="Times New Roman" w:eastAsia="方正仿宋简体" w:cs="Times New Roman"/>
          <w:color w:val="auto"/>
          <w:sz w:val="32"/>
          <w:szCs w:val="32"/>
          <w:highlight w:val="none"/>
          <w:lang w:val="en-US" w:eastAsia="zh-CN"/>
        </w:rPr>
        <w:t>共有体育场</w:t>
      </w:r>
      <w:r>
        <w:rPr>
          <w:rFonts w:hint="eastAsia" w:ascii="Times New Roman" w:hAnsi="Times New Roman" w:eastAsia="方正仿宋简体" w:cs="Times New Roman"/>
          <w:color w:val="auto"/>
          <w:sz w:val="32"/>
          <w:szCs w:val="32"/>
          <w:highlight w:val="none"/>
          <w:lang w:val="en-US" w:eastAsia="zh-CN"/>
        </w:rPr>
        <w:t>馆</w:t>
      </w:r>
      <w:r>
        <w:rPr>
          <w:rFonts w:hint="eastAsia" w:ascii="Times New Roman" w:hAnsi="Times New Roman" w:eastAsia="仿宋_GB2312" w:cs="Times New Roman"/>
          <w:color w:val="auto"/>
          <w:sz w:val="32"/>
          <w:szCs w:val="32"/>
          <w:highlight w:val="none"/>
          <w:lang w:val="en-US" w:eastAsia="zh-CN"/>
        </w:rPr>
        <w:t>14</w:t>
      </w:r>
      <w:r>
        <w:rPr>
          <w:rFonts w:hint="default" w:ascii="Times New Roman" w:hAnsi="Times New Roman" w:eastAsia="方正仿宋简体" w:cs="Times New Roman"/>
          <w:color w:val="auto"/>
          <w:sz w:val="32"/>
          <w:szCs w:val="32"/>
          <w:highlight w:val="none"/>
          <w:lang w:val="en-US" w:eastAsia="zh-CN"/>
        </w:rPr>
        <w:t>个。</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黑体" w:cs="Times New Roman"/>
          <w:color w:val="000000" w:themeColor="text1"/>
          <w:sz w:val="32"/>
          <w:szCs w:val="32"/>
          <w:highlight w:val="none"/>
          <w14:textFill>
            <w14:solidFill>
              <w14:schemeClr w14:val="tx1"/>
            </w14:solidFill>
          </w14:textFill>
        </w:rPr>
        <w:t>十一、环境</w:t>
      </w:r>
      <w:r>
        <w:rPr>
          <w:rFonts w:hint="default" w:ascii="Times New Roman" w:hAnsi="Times New Roman" w:eastAsia="黑体" w:cs="Times New Roman"/>
          <w:color w:val="000000" w:themeColor="text1"/>
          <w:sz w:val="32"/>
          <w:szCs w:val="32"/>
          <w:highlight w:val="none"/>
          <w:lang w:eastAsia="zh-CN"/>
          <w14:textFill>
            <w14:solidFill>
              <w14:schemeClr w14:val="tx1"/>
            </w14:solidFill>
          </w14:textFill>
        </w:rPr>
        <w:t>、能源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vertAlign w:val="baseline"/>
          <w:lang w:val="en-US" w:eastAsia="zh-CN"/>
        </w:rPr>
      </w:pPr>
      <w:r>
        <w:rPr>
          <w:rFonts w:hint="default" w:ascii="Times New Roman" w:hAnsi="Times New Roman" w:eastAsia="方正仿宋简体" w:cs="Times New Roman"/>
          <w:color w:val="auto"/>
          <w:sz w:val="32"/>
          <w:szCs w:val="32"/>
          <w:highlight w:val="none"/>
        </w:rPr>
        <w:t>全年和田市城区环境空气有效监测天数为36</w:t>
      </w:r>
      <w:r>
        <w:rPr>
          <w:rFonts w:hint="eastAsia" w:ascii="Times New Roman" w:hAnsi="Times New Roman" w:eastAsia="方正仿宋简体" w:cs="Times New Roman"/>
          <w:color w:val="auto"/>
          <w:sz w:val="32"/>
          <w:szCs w:val="32"/>
          <w:highlight w:val="none"/>
          <w:lang w:val="en-US" w:eastAsia="zh-CN"/>
        </w:rPr>
        <w:t>5</w:t>
      </w:r>
      <w:r>
        <w:rPr>
          <w:rFonts w:hint="default" w:ascii="Times New Roman" w:hAnsi="Times New Roman" w:eastAsia="方正仿宋简体" w:cs="Times New Roman"/>
          <w:color w:val="auto"/>
          <w:sz w:val="32"/>
          <w:szCs w:val="32"/>
          <w:highlight w:val="none"/>
        </w:rPr>
        <w:t>天</w:t>
      </w:r>
      <w:r>
        <w:rPr>
          <w:rFonts w:hint="eastAsia" w:ascii="Times New Roman" w:hAnsi="Times New Roman" w:eastAsia="方正仿宋简体" w:cs="Times New Roman"/>
          <w:color w:val="auto"/>
          <w:sz w:val="32"/>
          <w:szCs w:val="32"/>
          <w:highlight w:val="none"/>
          <w:lang w:eastAsia="zh-CN"/>
        </w:rPr>
        <w:t>，</w:t>
      </w:r>
      <w:r>
        <w:rPr>
          <w:rFonts w:hint="eastAsia" w:ascii="Times New Roman" w:hAnsi="Times New Roman" w:eastAsia="方正仿宋简体" w:cs="Times New Roman"/>
          <w:color w:val="auto"/>
          <w:sz w:val="32"/>
          <w:szCs w:val="32"/>
          <w:highlight w:val="none"/>
          <w:vertAlign w:val="baseline"/>
          <w:lang w:val="en-US" w:eastAsia="zh-CN"/>
        </w:rPr>
        <w:t>一氧化碳（CO）和臭氧（O</w:t>
      </w:r>
      <w:r>
        <w:rPr>
          <w:rFonts w:hint="eastAsia" w:ascii="Times New Roman" w:hAnsi="Times New Roman" w:eastAsia="方正仿宋简体" w:cs="Times New Roman"/>
          <w:color w:val="auto"/>
          <w:sz w:val="32"/>
          <w:szCs w:val="32"/>
          <w:highlight w:val="none"/>
          <w:vertAlign w:val="subscript"/>
          <w:lang w:val="en-US" w:eastAsia="zh-CN"/>
        </w:rPr>
        <w:t>3</w:t>
      </w:r>
      <w:r>
        <w:rPr>
          <w:rFonts w:hint="eastAsia" w:ascii="Times New Roman" w:hAnsi="Times New Roman" w:eastAsia="方正仿宋简体" w:cs="Times New Roman"/>
          <w:color w:val="auto"/>
          <w:sz w:val="32"/>
          <w:szCs w:val="32"/>
          <w:highlight w:val="none"/>
          <w:vertAlign w:val="baseline"/>
          <w:lang w:val="en-US" w:eastAsia="zh-CN"/>
        </w:rPr>
        <w:t>）平均浓度达到国家二级标准限值。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简体" w:cs="Times New Roman"/>
          <w:color w:val="FF0000"/>
          <w:sz w:val="32"/>
          <w:szCs w:val="32"/>
          <w:highlight w:val="none"/>
          <w:lang w:eastAsia="zh-CN"/>
        </w:rPr>
      </w:pPr>
      <w:r>
        <w:rPr>
          <w:rFonts w:hint="default" w:ascii="Times New Roman" w:hAnsi="Times New Roman" w:eastAsia="方正仿宋简体" w:cs="Times New Roman"/>
          <w:color w:val="auto"/>
          <w:sz w:val="32"/>
          <w:szCs w:val="32"/>
          <w:highlight w:val="none"/>
        </w:rPr>
        <w:t>全年总用水量</w:t>
      </w:r>
      <w:r>
        <w:rPr>
          <w:rFonts w:hint="eastAsia" w:ascii="Times New Roman" w:hAnsi="Times New Roman" w:eastAsia="方正仿宋简体" w:cs="Times New Roman"/>
          <w:color w:val="auto"/>
          <w:sz w:val="32"/>
          <w:szCs w:val="32"/>
          <w:highlight w:val="none"/>
          <w:lang w:val="en-US" w:eastAsia="zh-CN"/>
        </w:rPr>
        <w:t>53.96</w:t>
      </w:r>
      <w:r>
        <w:rPr>
          <w:rFonts w:hint="default" w:ascii="Times New Roman" w:hAnsi="Times New Roman" w:eastAsia="方正仿宋简体" w:cs="Times New Roman"/>
          <w:color w:val="auto"/>
          <w:sz w:val="32"/>
          <w:szCs w:val="32"/>
          <w:highlight w:val="none"/>
        </w:rPr>
        <w:t>亿立方米</w:t>
      </w:r>
      <w:r>
        <w:rPr>
          <w:rFonts w:hint="eastAsia" w:ascii="Times New Roman" w:hAnsi="Times New Roman" w:eastAsia="方正仿宋简体" w:cs="Times New Roman"/>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rPr>
        <w:t>全年完成人工造林面积</w:t>
      </w:r>
      <w:r>
        <w:rPr>
          <w:rFonts w:hint="eastAsia" w:ascii="Times New Roman" w:hAnsi="Times New Roman" w:eastAsia="方正仿宋简体" w:cs="Times New Roman"/>
          <w:color w:val="auto"/>
          <w:sz w:val="32"/>
          <w:szCs w:val="32"/>
          <w:highlight w:val="none"/>
          <w:lang w:val="en-US" w:eastAsia="zh-CN"/>
        </w:rPr>
        <w:t>47.07</w:t>
      </w:r>
      <w:r>
        <w:rPr>
          <w:rFonts w:hint="default" w:ascii="Times New Roman" w:hAnsi="Times New Roman" w:eastAsia="方正仿宋简体" w:cs="Times New Roman"/>
          <w:color w:val="auto"/>
          <w:sz w:val="32"/>
          <w:szCs w:val="32"/>
          <w:highlight w:val="none"/>
        </w:rPr>
        <w:t>万亩。国家级湿地公园4个</w:t>
      </w:r>
      <w:r>
        <w:rPr>
          <w:rFonts w:hint="eastAsia" w:ascii="Times New Roman" w:hAnsi="Times New Roman" w:eastAsia="方正仿宋简体" w:cs="Times New Roman"/>
          <w:color w:val="auto"/>
          <w:sz w:val="32"/>
          <w:szCs w:val="32"/>
          <w:highlight w:val="none"/>
          <w:lang w:eastAsia="zh-CN"/>
        </w:rPr>
        <w:t>；</w:t>
      </w:r>
      <w:r>
        <w:rPr>
          <w:rFonts w:hint="eastAsia" w:ascii="Times New Roman" w:hAnsi="Times New Roman" w:eastAsia="方正仿宋简体" w:cs="Times New Roman"/>
          <w:color w:val="auto"/>
          <w:sz w:val="32"/>
          <w:szCs w:val="32"/>
          <w:highlight w:val="none"/>
          <w:lang w:val="en-US" w:eastAsia="zh-CN"/>
        </w:rPr>
        <w:t>国家级</w:t>
      </w:r>
      <w:r>
        <w:rPr>
          <w:rFonts w:hint="default" w:ascii="Times New Roman" w:hAnsi="Times New Roman" w:eastAsia="方正仿宋简体" w:cs="Times New Roman"/>
          <w:color w:val="auto"/>
          <w:sz w:val="32"/>
          <w:szCs w:val="32"/>
          <w:highlight w:val="none"/>
        </w:rPr>
        <w:t>沙漠公园1个</w:t>
      </w:r>
      <w:r>
        <w:rPr>
          <w:rFonts w:hint="eastAsia" w:ascii="Times New Roman" w:hAnsi="Times New Roman" w:eastAsia="方正仿宋简体" w:cs="Times New Roman"/>
          <w:color w:val="auto"/>
          <w:sz w:val="32"/>
          <w:szCs w:val="32"/>
          <w:highlight w:val="none"/>
          <w:lang w:eastAsia="zh-CN"/>
        </w:rPr>
        <w:t>；</w:t>
      </w:r>
      <w:r>
        <w:rPr>
          <w:rFonts w:hint="eastAsia" w:ascii="Times New Roman" w:hAnsi="Times New Roman" w:eastAsia="方正仿宋简体" w:cs="Times New Roman"/>
          <w:color w:val="auto"/>
          <w:sz w:val="32"/>
          <w:szCs w:val="32"/>
          <w:highlight w:val="none"/>
          <w:lang w:val="en-US" w:eastAsia="zh-CN"/>
        </w:rPr>
        <w:t>地州级自然保护区1个。</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eastAsia" w:ascii="Times New Roman" w:hAnsi="Times New Roman" w:eastAsia="方正仿宋简体" w:cs="Times New Roman"/>
          <w:color w:val="auto"/>
          <w:sz w:val="32"/>
          <w:szCs w:val="32"/>
          <w:highlight w:val="none"/>
        </w:rPr>
        <w:t>全年规模以上工业综合能源消费量比上年增长</w:t>
      </w:r>
      <w:r>
        <w:rPr>
          <w:rFonts w:hint="eastAsia" w:ascii="Times New Roman" w:hAnsi="Times New Roman" w:eastAsia="方正仿宋简体" w:cs="Times New Roman"/>
          <w:color w:val="auto"/>
          <w:sz w:val="32"/>
          <w:szCs w:val="32"/>
          <w:highlight w:val="none"/>
          <w:lang w:val="en-US" w:eastAsia="zh-CN"/>
        </w:rPr>
        <w:t>80.7</w:t>
      </w:r>
      <w:r>
        <w:rPr>
          <w:rFonts w:hint="eastAsia" w:ascii="Times New Roman" w:hAnsi="Times New Roman" w:eastAsia="方正仿宋简体" w:cs="Times New Roman"/>
          <w:color w:val="auto"/>
          <w:sz w:val="32"/>
          <w:szCs w:val="32"/>
          <w:highlight w:val="none"/>
        </w:rPr>
        <w:t>%。全社会用电增长26.2%。</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十二、民营经济</w:t>
      </w:r>
      <w:r>
        <w:rPr>
          <w:rFonts w:hint="default" w:ascii="Times New Roman" w:hAnsi="Times New Roman" w:eastAsia="黑体" w:cs="Times New Roman"/>
          <w:color w:val="auto"/>
          <w:sz w:val="32"/>
          <w:szCs w:val="32"/>
          <w:highlight w:val="none"/>
          <w:lang w:eastAsia="zh-CN"/>
        </w:rPr>
        <w:t>和</w:t>
      </w:r>
      <w:r>
        <w:rPr>
          <w:rFonts w:hint="default" w:ascii="Times New Roman" w:hAnsi="Times New Roman" w:eastAsia="黑体" w:cs="Times New Roman"/>
          <w:color w:val="auto"/>
          <w:sz w:val="32"/>
          <w:szCs w:val="32"/>
          <w:highlight w:val="none"/>
        </w:rPr>
        <w:t>招商引资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00" w:themeColor="text1"/>
          <w:sz w:val="32"/>
          <w:szCs w:val="32"/>
          <w:highlight w:val="none"/>
          <w14:textFill>
            <w14:solidFill>
              <w14:schemeClr w14:val="tx1"/>
            </w14:solidFill>
          </w14:textFill>
        </w:rPr>
      </w:pPr>
      <w:r>
        <w:rPr>
          <w:rFonts w:hint="default" w:ascii="Times New Roman" w:hAnsi="Times New Roman" w:eastAsia="方正仿宋简体" w:cs="Times New Roman"/>
          <w:color w:val="auto"/>
          <w:sz w:val="32"/>
          <w:szCs w:val="32"/>
          <w:highlight w:val="none"/>
        </w:rPr>
        <w:t>年末全地区市场主体总数</w:t>
      </w:r>
      <w:r>
        <w:rPr>
          <w:rFonts w:hint="eastAsia" w:ascii="Times New Roman" w:hAnsi="Times New Roman" w:eastAsia="方正仿宋简体" w:cs="Times New Roman"/>
          <w:color w:val="auto"/>
          <w:sz w:val="32"/>
          <w:szCs w:val="32"/>
          <w:highlight w:val="none"/>
          <w:lang w:val="en-US" w:eastAsia="zh-CN"/>
        </w:rPr>
        <w:t>22.4</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4</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万户，</w:t>
      </w:r>
      <w:r>
        <w:rPr>
          <w:rFonts w:hint="default" w:ascii="Times New Roman" w:hAnsi="Times New Roman" w:eastAsia="方正仿宋简体" w:cs="Times New Roman"/>
          <w:color w:val="000000" w:themeColor="text1"/>
          <w:sz w:val="32"/>
          <w:szCs w:val="32"/>
          <w:highlight w:val="none"/>
          <w:lang w:eastAsia="zh-CN"/>
          <w14:textFill>
            <w14:solidFill>
              <w14:schemeClr w14:val="tx1"/>
            </w14:solidFill>
          </w14:textFill>
        </w:rPr>
        <w:t>比上年</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增长</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4.3</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%。其中，内资企业</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3.41</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万户，增长</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12.2</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%；外资企业</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71</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户，增长</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7.6</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%；个体工商户</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18.66</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万户，增长</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3.3</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%；农民专业合作社0.</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36</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万户，</w:t>
      </w:r>
      <w:r>
        <w:rPr>
          <w:rFonts w:hint="eastAsia" w:ascii="Times New Roman" w:hAnsi="Times New Roman" w:eastAsia="方正仿宋简体" w:cs="Times New Roman"/>
          <w:color w:val="000000" w:themeColor="text1"/>
          <w:sz w:val="32"/>
          <w:szCs w:val="32"/>
          <w:highlight w:val="none"/>
          <w:lang w:val="en-US" w:eastAsia="zh-CN"/>
          <w14:textFill>
            <w14:solidFill>
              <w14:schemeClr w14:val="tx1"/>
            </w14:solidFill>
          </w14:textFill>
        </w:rPr>
        <w:t>下降6.4</w:t>
      </w:r>
      <w:r>
        <w:rPr>
          <w:rFonts w:hint="default" w:ascii="Times New Roman" w:hAnsi="Times New Roman" w:eastAsia="方正仿宋简体" w:cs="Times New Roman"/>
          <w:color w:val="000000" w:themeColor="text1"/>
          <w:sz w:val="32"/>
          <w:szCs w:val="32"/>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sz w:val="32"/>
          <w:szCs w:val="32"/>
          <w:highlight w:val="none"/>
        </w:rPr>
      </w:pPr>
      <w:r>
        <w:rPr>
          <w:rFonts w:hint="default" w:ascii="Times New Roman" w:hAnsi="Times New Roman" w:eastAsia="方正仿宋简体" w:cs="Times New Roman"/>
          <w:color w:val="auto"/>
          <w:sz w:val="32"/>
          <w:szCs w:val="32"/>
          <w:highlight w:val="none"/>
        </w:rPr>
        <w:t>全地区招商引资（新/续）项目</w:t>
      </w:r>
      <w:r>
        <w:rPr>
          <w:rFonts w:hint="eastAsia" w:ascii="Times New Roman" w:hAnsi="Times New Roman" w:eastAsia="方正仿宋简体" w:cs="Times New Roman"/>
          <w:color w:val="auto"/>
          <w:sz w:val="32"/>
          <w:szCs w:val="32"/>
          <w:highlight w:val="none"/>
          <w:lang w:val="en-US" w:eastAsia="zh-CN"/>
        </w:rPr>
        <w:t>529</w:t>
      </w:r>
      <w:r>
        <w:rPr>
          <w:rFonts w:hint="default" w:ascii="Times New Roman" w:hAnsi="Times New Roman" w:eastAsia="方正仿宋简体" w:cs="Times New Roman"/>
          <w:color w:val="auto"/>
          <w:sz w:val="32"/>
          <w:szCs w:val="32"/>
          <w:highlight w:val="none"/>
        </w:rPr>
        <w:t>个。</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十三、对口援助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color w:val="auto"/>
        </w:rPr>
      </w:pPr>
      <w:r>
        <w:rPr>
          <w:rFonts w:hint="default" w:ascii="Times New Roman" w:hAnsi="Times New Roman" w:eastAsia="方正仿宋简体" w:cs="Times New Roman"/>
          <w:color w:val="auto"/>
          <w:sz w:val="32"/>
          <w:szCs w:val="32"/>
          <w:highlight w:val="none"/>
        </w:rPr>
        <w:t>全年北京市、天津市、安徽省共实施援疆项目</w:t>
      </w:r>
      <w:r>
        <w:rPr>
          <w:rFonts w:hint="eastAsia" w:ascii="Times New Roman" w:hAnsi="Times New Roman" w:eastAsia="方正仿宋简体" w:cs="Times New Roman"/>
          <w:color w:val="auto"/>
          <w:sz w:val="32"/>
          <w:szCs w:val="32"/>
          <w:highlight w:val="none"/>
          <w:lang w:val="en-US" w:eastAsia="zh-CN"/>
        </w:rPr>
        <w:t>303</w:t>
      </w:r>
      <w:r>
        <w:rPr>
          <w:rFonts w:hint="default" w:ascii="Times New Roman" w:hAnsi="Times New Roman" w:eastAsia="方正仿宋简体" w:cs="Times New Roman"/>
          <w:color w:val="auto"/>
          <w:sz w:val="32"/>
          <w:szCs w:val="32"/>
          <w:highlight w:val="none"/>
        </w:rPr>
        <w:t>个。</w:t>
      </w:r>
    </w:p>
    <w:p>
      <w:pPr>
        <w:keepNext w:val="0"/>
        <w:keepLines w:val="0"/>
        <w:pageBreakBefore w:val="0"/>
        <w:widowControl w:val="0"/>
        <w:shd w:val="clear"/>
        <w:kinsoku/>
        <w:wordWrap/>
        <w:overflowPunct/>
        <w:topLinePunct w:val="0"/>
        <w:autoSpaceDE/>
        <w:autoSpaceDN/>
        <w:bidi w:val="0"/>
        <w:adjustRightInd/>
        <w:snapToGrid/>
        <w:spacing w:line="560" w:lineRule="exact"/>
        <w:textAlignment w:val="auto"/>
        <w:rPr>
          <w:rFonts w:hint="eastAsia" w:ascii="黑体" w:hAnsi="黑体" w:eastAsia="黑体" w:cs="黑体"/>
          <w:b w:val="0"/>
          <w:bCs w:val="0"/>
          <w:color w:val="auto"/>
          <w:sz w:val="32"/>
          <w:szCs w:val="32"/>
          <w:highlight w:val="none"/>
        </w:rPr>
      </w:pPr>
    </w:p>
    <w:p>
      <w:pPr>
        <w:rPr>
          <w:rFonts w:hint="eastAsia" w:ascii="黑体" w:hAnsi="黑体" w:eastAsia="黑体" w:cs="黑体"/>
          <w:b w:val="0"/>
          <w:bCs w:val="0"/>
          <w:color w:val="auto"/>
          <w:sz w:val="32"/>
          <w:szCs w:val="32"/>
          <w:highlight w:val="none"/>
        </w:rPr>
      </w:pPr>
      <w:r>
        <w:rPr>
          <w:rFonts w:hint="eastAsia" w:ascii="黑体" w:hAnsi="黑体" w:eastAsia="黑体" w:cs="黑体"/>
          <w:b w:val="0"/>
          <w:bCs w:val="0"/>
          <w:color w:val="auto"/>
          <w:sz w:val="32"/>
          <w:szCs w:val="32"/>
          <w:highlight w:val="none"/>
        </w:rPr>
        <w:br w:type="page"/>
      </w:r>
    </w:p>
    <w:p>
      <w:pPr>
        <w:keepNext w:val="0"/>
        <w:keepLines w:val="0"/>
        <w:pageBreakBefore w:val="0"/>
        <w:widowControl w:val="0"/>
        <w:shd w:val="clear"/>
        <w:kinsoku/>
        <w:wordWrap/>
        <w:overflowPunct/>
        <w:topLinePunct w:val="0"/>
        <w:autoSpaceDE/>
        <w:autoSpaceDN/>
        <w:bidi w:val="0"/>
        <w:adjustRightInd/>
        <w:snapToGrid/>
        <w:spacing w:line="560" w:lineRule="exact"/>
        <w:ind w:firstLine="320" w:firstLineChars="100"/>
        <w:textAlignment w:val="auto"/>
        <w:rPr>
          <w:rFonts w:hint="eastAsia" w:ascii="黑体" w:hAnsi="黑体" w:eastAsia="黑体" w:cs="黑体"/>
          <w:b w:val="0"/>
          <w:bCs w:val="0"/>
          <w:color w:val="auto"/>
          <w:sz w:val="32"/>
          <w:szCs w:val="32"/>
          <w:highlight w:val="none"/>
        </w:rPr>
      </w:pPr>
      <w:r>
        <w:rPr>
          <w:rFonts w:hint="eastAsia" w:ascii="黑体" w:hAnsi="黑体" w:eastAsia="黑体" w:cs="黑体"/>
          <w:b w:val="0"/>
          <w:bCs w:val="0"/>
          <w:color w:val="auto"/>
          <w:sz w:val="32"/>
          <w:szCs w:val="32"/>
          <w:highlight w:val="none"/>
        </w:rPr>
        <w:t>注释：</w:t>
      </w:r>
    </w:p>
    <w:p>
      <w:pPr>
        <w:pStyle w:val="10"/>
        <w:numPr>
          <w:ilvl w:val="0"/>
          <w:numId w:val="2"/>
        </w:numPr>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本公报中各项数据均为初步统计数</w:t>
      </w:r>
      <w:r>
        <w:rPr>
          <w:rFonts w:hint="eastAsia" w:ascii="Tahoma" w:hAnsi="Tahoma" w:eastAsia="宋体" w:cs="Times New Roman"/>
          <w:color w:val="auto"/>
          <w:sz w:val="23"/>
          <w:highlight w:val="none"/>
          <w:lang w:eastAsia="zh-CN"/>
        </w:rPr>
        <w:t>。</w:t>
      </w:r>
      <w:r>
        <w:rPr>
          <w:rFonts w:hint="eastAsia" w:ascii="Tahoma" w:hAnsi="Tahoma" w:eastAsia="宋体" w:cs="Times New Roman"/>
          <w:color w:val="auto"/>
          <w:sz w:val="23"/>
          <w:highlight w:val="none"/>
          <w:lang w:val="en-US" w:eastAsia="zh-CN"/>
        </w:rPr>
        <w:t>部分数据因四舍五入的原因，存在总计和分项合计不等的情况。</w:t>
      </w:r>
      <w:r>
        <w:rPr>
          <w:rFonts w:hint="eastAsia" w:ascii="Tahoma" w:hAnsi="Tahoma" w:eastAsia="宋体" w:cs="Times New Roman"/>
          <w:color w:val="auto"/>
          <w:sz w:val="23"/>
          <w:highlight w:val="none"/>
        </w:rPr>
        <w:t>正式数据以出版的《</w:t>
      </w:r>
      <w:r>
        <w:rPr>
          <w:rFonts w:hint="eastAsia" w:ascii="Tahoma" w:hAnsi="Tahoma" w:eastAsia="宋体" w:cs="Times New Roman"/>
          <w:color w:val="auto"/>
          <w:sz w:val="23"/>
          <w:highlight w:val="none"/>
          <w:lang w:val="en-US" w:eastAsia="zh-CN"/>
        </w:rPr>
        <w:t>2026年</w:t>
      </w:r>
      <w:r>
        <w:rPr>
          <w:rFonts w:hint="eastAsia" w:ascii="Tahoma" w:hAnsi="Tahoma" w:eastAsia="宋体" w:cs="Times New Roman"/>
          <w:color w:val="auto"/>
          <w:sz w:val="23"/>
          <w:highlight w:val="none"/>
        </w:rPr>
        <w:t>和田统计年鉴》为准。</w:t>
      </w:r>
    </w:p>
    <w:p>
      <w:pPr>
        <w:pStyle w:val="10"/>
        <w:numPr>
          <w:ilvl w:val="0"/>
          <w:numId w:val="0"/>
        </w:numPr>
        <w:shd w:val="clear" w:color="auto"/>
        <w:spacing w:before="0" w:beforeAutospacing="0" w:after="0" w:afterAutospacing="0" w:line="320" w:lineRule="exact"/>
        <w:ind w:firstLine="460" w:firstLineChars="200"/>
        <w:jc w:val="both"/>
        <w:rPr>
          <w:rFonts w:hint="default" w:ascii="Tahoma" w:hAnsi="Tahoma" w:eastAsia="宋体" w:cs="Times New Roman"/>
          <w:color w:val="auto"/>
          <w:sz w:val="23"/>
          <w:highlight w:val="none"/>
          <w:lang w:val="en-US" w:eastAsia="zh-CN"/>
        </w:rPr>
      </w:pPr>
      <w:r>
        <w:rPr>
          <w:rFonts w:hint="eastAsia" w:ascii="Tahoma" w:hAnsi="Tahoma" w:eastAsia="宋体" w:cs="Times New Roman"/>
          <w:color w:val="auto"/>
          <w:sz w:val="23"/>
          <w:highlight w:val="none"/>
        </w:rPr>
        <w:t>[2] 公报中地区生产总值</w:t>
      </w:r>
      <w:r>
        <w:rPr>
          <w:rFonts w:hint="eastAsia" w:ascii="Tahoma" w:hAnsi="Tahoma" w:eastAsia="宋体" w:cs="Times New Roman"/>
          <w:color w:val="auto"/>
          <w:sz w:val="23"/>
          <w:highlight w:val="none"/>
          <w:lang w:eastAsia="zh-CN"/>
        </w:rPr>
        <w:t>、</w:t>
      </w:r>
      <w:r>
        <w:rPr>
          <w:rFonts w:hint="eastAsia" w:ascii="Tahoma" w:hAnsi="Tahoma" w:eastAsia="宋体" w:cs="Times New Roman"/>
          <w:color w:val="auto"/>
          <w:sz w:val="23"/>
          <w:highlight w:val="none"/>
          <w:lang w:val="en-US" w:eastAsia="zh-CN"/>
        </w:rPr>
        <w:t>三次产业及相关行业增加值绝对数按现价计算，</w:t>
      </w:r>
      <w:r>
        <w:rPr>
          <w:rFonts w:hint="eastAsia" w:ascii="Tahoma" w:hAnsi="Tahoma" w:eastAsia="宋体" w:cs="Times New Roman"/>
          <w:color w:val="auto"/>
          <w:sz w:val="23"/>
          <w:highlight w:val="none"/>
        </w:rPr>
        <w:t>增长速度按可比价格计算。</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[3]</w:t>
      </w:r>
      <w:r>
        <w:rPr>
          <w:rFonts w:hint="eastAsia" w:ascii="Tahoma" w:hAnsi="Tahoma" w:eastAsia="宋体" w:cs="Times New Roman"/>
          <w:color w:val="auto"/>
          <w:sz w:val="23"/>
          <w:highlight w:val="none"/>
          <w:lang w:val="en-US" w:eastAsia="zh-CN"/>
        </w:rPr>
        <w:t xml:space="preserve"> </w:t>
      </w:r>
      <w:r>
        <w:rPr>
          <w:rFonts w:hint="eastAsia" w:ascii="Tahoma" w:hAnsi="Tahoma" w:eastAsia="宋体" w:cs="Times New Roman"/>
          <w:color w:val="auto"/>
          <w:sz w:val="23"/>
          <w:highlight w:val="none"/>
        </w:rPr>
        <w:t>为规范指标名称，将往年公报中的出游人数、旅游人数、旅游者统一为游客。</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w:t>
      </w:r>
      <w:r>
        <w:rPr>
          <w:rFonts w:hint="eastAsia" w:ascii="Tahoma" w:hAnsi="Tahoma" w:eastAsia="宋体" w:cs="Times New Roman"/>
          <w:color w:val="auto"/>
          <w:sz w:val="23"/>
          <w:highlight w:val="none"/>
          <w:lang w:val="en-US" w:eastAsia="zh-CN"/>
        </w:rPr>
        <w:t>4</w:t>
      </w:r>
      <w:r>
        <w:rPr>
          <w:rFonts w:hint="eastAsia" w:ascii="Tahoma" w:hAnsi="Tahoma" w:eastAsia="宋体" w:cs="Times New Roman"/>
          <w:color w:val="auto"/>
          <w:sz w:val="23"/>
          <w:highlight w:val="none"/>
        </w:rPr>
        <w:t>] 自2013年</w:t>
      </w:r>
      <w:r>
        <w:rPr>
          <w:rFonts w:hint="eastAsia" w:ascii="Tahoma" w:hAnsi="Tahoma" w:eastAsia="宋体" w:cs="Times New Roman"/>
          <w:color w:val="auto"/>
          <w:sz w:val="23"/>
          <w:highlight w:val="none"/>
          <w:lang w:eastAsia="zh-CN"/>
        </w:rPr>
        <w:t>起</w:t>
      </w:r>
      <w:r>
        <w:rPr>
          <w:rFonts w:hint="eastAsia" w:ascii="Tahoma" w:hAnsi="Tahoma" w:eastAsia="宋体" w:cs="Times New Roman"/>
          <w:color w:val="auto"/>
          <w:sz w:val="23"/>
          <w:highlight w:val="none"/>
        </w:rPr>
        <w:t>，基础设施行业范围调整为以下行业：铁路运输业，道路运输业，城市公共交通业，航空运输业，水上运输业，管道运输业，邮政业，电信、广播电视和卫星传输服务业，互联网和相关服务业，水利管理业，环境管理业，市政公共设施管理业。</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w:t>
      </w:r>
      <w:r>
        <w:rPr>
          <w:rFonts w:hint="eastAsia" w:ascii="Tahoma" w:hAnsi="Tahoma" w:eastAsia="宋体" w:cs="Times New Roman"/>
          <w:color w:val="auto"/>
          <w:sz w:val="23"/>
          <w:highlight w:val="none"/>
          <w:lang w:val="en-US" w:eastAsia="zh-CN"/>
        </w:rPr>
        <w:t>5</w:t>
      </w:r>
      <w:r>
        <w:rPr>
          <w:rFonts w:hint="eastAsia" w:ascii="Tahoma" w:hAnsi="Tahoma" w:eastAsia="宋体" w:cs="Times New Roman"/>
          <w:color w:val="auto"/>
          <w:sz w:val="23"/>
          <w:highlight w:val="none"/>
        </w:rPr>
        <w:t>] 原保险保费收入是指保险企业确认的原保险合同保费收入。</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w:t>
      </w:r>
      <w:r>
        <w:rPr>
          <w:rFonts w:hint="eastAsia" w:ascii="Tahoma" w:hAnsi="Tahoma" w:eastAsia="宋体" w:cs="Times New Roman"/>
          <w:color w:val="auto"/>
          <w:sz w:val="23"/>
          <w:highlight w:val="none"/>
          <w:lang w:val="en-US" w:eastAsia="zh-CN"/>
        </w:rPr>
        <w:t>6</w:t>
      </w:r>
      <w:r>
        <w:rPr>
          <w:rFonts w:hint="eastAsia" w:ascii="Tahoma" w:hAnsi="Tahoma" w:eastAsia="宋体" w:cs="Times New Roman"/>
          <w:color w:val="auto"/>
          <w:sz w:val="23"/>
          <w:highlight w:val="none"/>
        </w:rPr>
        <w:t>] 按照国家统计局的统一部署，2012年12月起实施了城乡一体化住户调查改革，统一了城乡居民收入名称、分类和统计标准，在此基础上，计算了城乡可比的新口径全地区居民人均可支配收入。最终数据由国家统计局新疆调查总队和自治区统计局联合测算反馈。</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资料来源：本公报中主要经济指标数据来源于地区统计局；粮食产量、畜牧产量、各种价格指数来自于国家统计局和田调查队；农业机械总动力、农用拖拉机、农用运输车数据来自于农业农村局；灌溉面积、节水面积数据来自地区水利局；进出口数据来自和田海关；民营企业、个体工商户数据来自地区市场监督管理局；招商到位资金数据来自地区商务局；公路客货运量及公路线路年末营业里程数据来自地区交通运输局；机场客、货运吞吐量来自新疆（机场）集团有限公司和田机场；</w:t>
      </w:r>
      <w:r>
        <w:rPr>
          <w:rFonts w:hint="eastAsia" w:ascii="Tahoma" w:hAnsi="Tahoma" w:eastAsia="宋体" w:cs="Times New Roman"/>
          <w:color w:val="auto"/>
          <w:sz w:val="23"/>
          <w:highlight w:val="none"/>
          <w:lang w:val="en-US" w:eastAsia="zh-CN"/>
        </w:rPr>
        <w:t>火车</w:t>
      </w:r>
      <w:r>
        <w:rPr>
          <w:rFonts w:hint="eastAsia" w:ascii="Tahoma" w:hAnsi="Tahoma" w:eastAsia="宋体" w:cs="Times New Roman"/>
          <w:color w:val="auto"/>
          <w:sz w:val="23"/>
          <w:highlight w:val="none"/>
        </w:rPr>
        <w:t>客、货运吞吐量来自</w:t>
      </w:r>
      <w:r>
        <w:rPr>
          <w:rFonts w:hint="eastAsia" w:ascii="Tahoma" w:hAnsi="Tahoma" w:eastAsia="宋体" w:cs="Times New Roman"/>
          <w:color w:val="auto"/>
          <w:sz w:val="23"/>
          <w:highlight w:val="none"/>
          <w:lang w:val="en-US" w:eastAsia="zh-CN"/>
        </w:rPr>
        <w:t>和田火车站；</w:t>
      </w:r>
      <w:r>
        <w:rPr>
          <w:rFonts w:hint="eastAsia" w:ascii="Tahoma" w:hAnsi="Tahoma" w:eastAsia="宋体" w:cs="Times New Roman"/>
          <w:color w:val="auto"/>
          <w:sz w:val="23"/>
          <w:highlight w:val="none"/>
        </w:rPr>
        <w:t>民用汽车数据来自地区公安局；邮政业务数据来自和田邮政管理局；电信业务数据、本地固定电话用户、移动电话用户、电话普及率、互联网用户数据来自中国移动、中国联通和中国电信和田分公司；财政数据来自地区财政局；金融数据来自中国人民银行和田</w:t>
      </w:r>
      <w:r>
        <w:rPr>
          <w:rFonts w:hint="eastAsia" w:ascii="Tahoma" w:hAnsi="Tahoma" w:eastAsia="宋体" w:cs="Times New Roman"/>
          <w:color w:val="auto"/>
          <w:sz w:val="23"/>
          <w:highlight w:val="none"/>
          <w:lang w:val="en-US" w:eastAsia="zh-CN"/>
        </w:rPr>
        <w:t>地区分行</w:t>
      </w:r>
      <w:r>
        <w:rPr>
          <w:rFonts w:hint="eastAsia" w:ascii="Tahoma" w:hAnsi="Tahoma" w:eastAsia="宋体" w:cs="Times New Roman"/>
          <w:color w:val="auto"/>
          <w:sz w:val="23"/>
          <w:highlight w:val="none"/>
        </w:rPr>
        <w:t>；保费收入、全年赔付数据来自</w:t>
      </w:r>
      <w:r>
        <w:rPr>
          <w:rFonts w:hint="eastAsia" w:ascii="Tahoma" w:hAnsi="Tahoma" w:eastAsia="宋体" w:cs="Times New Roman"/>
          <w:color w:val="auto"/>
          <w:sz w:val="23"/>
          <w:highlight w:val="none"/>
          <w:lang w:val="en-US" w:eastAsia="zh-CN"/>
        </w:rPr>
        <w:t>国家金融监管局和田分局</w:t>
      </w:r>
      <w:r>
        <w:rPr>
          <w:rFonts w:hint="eastAsia" w:ascii="Tahoma" w:hAnsi="Tahoma" w:eastAsia="宋体" w:cs="Times New Roman"/>
          <w:color w:val="auto"/>
          <w:sz w:val="23"/>
          <w:highlight w:val="none"/>
        </w:rPr>
        <w:t>；教育数据来自地区教育局；实施重大科技专项、申请专利数据来自地区科技局；艺术表演团体、文化馆、公共图书馆、博物馆、国家级非物质文化遗产名录、体育比赛、广播台、转播台、电视台、有线电视用户、广播电视人口覆盖率数据来自地区文化体育广播电视和旅游局；期刊、报纸出版数据来自和田</w:t>
      </w:r>
      <w:r>
        <w:rPr>
          <w:rFonts w:hint="eastAsia" w:ascii="Tahoma" w:hAnsi="Tahoma" w:eastAsia="宋体" w:cs="Times New Roman"/>
          <w:color w:val="auto"/>
          <w:sz w:val="23"/>
          <w:highlight w:val="none"/>
          <w:lang w:val="en-US" w:eastAsia="zh-CN"/>
        </w:rPr>
        <w:t>地区融媒体中心</w:t>
      </w:r>
      <w:r>
        <w:rPr>
          <w:rFonts w:hint="eastAsia" w:ascii="Tahoma" w:hAnsi="Tahoma" w:eastAsia="宋体" w:cs="Times New Roman"/>
          <w:color w:val="auto"/>
          <w:sz w:val="23"/>
          <w:highlight w:val="none"/>
        </w:rPr>
        <w:t>；医疗卫生数据来自地区卫生健康委员会；城镇</w:t>
      </w:r>
      <w:r>
        <w:rPr>
          <w:rFonts w:hint="eastAsia" w:ascii="Tahoma" w:hAnsi="Tahoma" w:eastAsia="宋体" w:cs="Times New Roman"/>
          <w:color w:val="auto"/>
          <w:sz w:val="23"/>
          <w:highlight w:val="none"/>
          <w:lang w:val="en-US" w:eastAsia="zh-CN"/>
        </w:rPr>
        <w:t>和农村</w:t>
      </w:r>
      <w:r>
        <w:rPr>
          <w:rFonts w:hint="eastAsia" w:ascii="Tahoma" w:hAnsi="Tahoma" w:eastAsia="宋体" w:cs="Times New Roman"/>
          <w:color w:val="auto"/>
          <w:sz w:val="23"/>
          <w:highlight w:val="none"/>
        </w:rPr>
        <w:t>居民可支配收入数据来</w:t>
      </w:r>
      <w:bookmarkStart w:id="0" w:name="_GoBack"/>
      <w:bookmarkEnd w:id="0"/>
      <w:r>
        <w:rPr>
          <w:rFonts w:hint="eastAsia" w:ascii="Tahoma" w:hAnsi="Tahoma" w:eastAsia="宋体" w:cs="Times New Roman"/>
          <w:color w:val="auto"/>
          <w:sz w:val="23"/>
          <w:highlight w:val="none"/>
        </w:rPr>
        <w:t>自国家统计局和田调查队；城镇新增就业再就业、参加城镇养老、医疗、失业保险数据来自地区人力资源和社会保障局；医疗保险数据来源于地区医疗保障局；残疾人事业数据来自地区残疾人联合会；环保状况、空气状况数据来自地区生态环境局；全社会用电量数据来源于国网和田供电公司；对口援助数据来源于</w:t>
      </w:r>
      <w:r>
        <w:rPr>
          <w:rFonts w:hint="eastAsia" w:ascii="Tahoma" w:hAnsi="Tahoma" w:eastAsia="宋体" w:cs="Times New Roman"/>
          <w:color w:val="auto"/>
          <w:sz w:val="23"/>
          <w:highlight w:val="none"/>
          <w:lang w:val="en-US" w:eastAsia="zh-CN"/>
        </w:rPr>
        <w:t>地区</w:t>
      </w:r>
      <w:r>
        <w:rPr>
          <w:rFonts w:hint="eastAsia" w:ascii="Tahoma" w:hAnsi="Tahoma" w:eastAsia="宋体" w:cs="Times New Roman"/>
          <w:color w:val="auto"/>
          <w:sz w:val="23"/>
          <w:highlight w:val="none"/>
        </w:rPr>
        <w:t>发改委。</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asciiTheme="minorEastAsia" w:hAnsiTheme="minorEastAsia" w:cstheme="minorEastAsia"/>
                              <w:sz w:val="28"/>
                              <w:szCs w:val="44"/>
                              <w:lang w:eastAsia="zh-CN"/>
                            </w:rPr>
                            <w:t>—</w:t>
                          </w:r>
                          <w:r>
                            <w:rPr>
                              <w:rFonts w:hint="eastAsia" w:asciiTheme="minorEastAsia" w:hAnsiTheme="minorEastAsia" w:eastAsiaTheme="minorEastAsia" w:cstheme="minorEastAsia"/>
                              <w:sz w:val="28"/>
                              <w:szCs w:val="44"/>
                              <w:lang w:eastAsia="zh-CN"/>
                            </w:rPr>
                            <w:fldChar w:fldCharType="begin"/>
                          </w:r>
                          <w:r>
                            <w:rPr>
                              <w:rFonts w:hint="eastAsia" w:asciiTheme="minorEastAsia" w:hAnsiTheme="minorEastAsia" w:eastAsiaTheme="minorEastAsia" w:cstheme="minorEastAsia"/>
                              <w:sz w:val="28"/>
                              <w:szCs w:val="44"/>
                              <w:lang w:eastAsia="zh-CN"/>
                            </w:rPr>
                            <w:instrText xml:space="preserve"> PAGE  \* MERGEFORMAT </w:instrText>
                          </w:r>
                          <w:r>
                            <w:rPr>
                              <w:rFonts w:hint="eastAsia" w:asciiTheme="minorEastAsia" w:hAnsiTheme="minorEastAsia" w:eastAsiaTheme="minorEastAsia" w:cstheme="minorEastAsia"/>
                              <w:sz w:val="28"/>
                              <w:szCs w:val="44"/>
                              <w:lang w:eastAsia="zh-CN"/>
                            </w:rPr>
                            <w:fldChar w:fldCharType="separate"/>
                          </w:r>
                          <w:r>
                            <w:rPr>
                              <w:rFonts w:hint="eastAsia" w:asciiTheme="minorEastAsia" w:hAnsiTheme="minorEastAsia" w:eastAsiaTheme="minorEastAsia" w:cstheme="minorEastAsia"/>
                              <w:sz w:val="28"/>
                              <w:szCs w:val="44"/>
                              <w:lang w:eastAsia="zh-CN"/>
                            </w:rPr>
                            <w:t>1</w:t>
                          </w:r>
                          <w:r>
                            <w:rPr>
                              <w:rFonts w:hint="eastAsia" w:asciiTheme="minorEastAsia" w:hAnsiTheme="minorEastAsia" w:eastAsiaTheme="minorEastAsia" w:cstheme="minorEastAsia"/>
                              <w:sz w:val="28"/>
                              <w:szCs w:val="44"/>
                              <w:lang w:eastAsia="zh-CN"/>
                            </w:rPr>
                            <w:fldChar w:fldCharType="end"/>
                          </w:r>
                          <w:r>
                            <w:rPr>
                              <w:rFonts w:hint="eastAsia" w:asciiTheme="minorEastAsia" w:hAnsiTheme="minorEastAsia" w:cstheme="minorEastAsia"/>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CWlnYUAgAAFQQAAA4AAABkcnMvZTJvRG9jLnhtbK1Ty47TMBTdI/EP&#10;lvc0aRFD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gJaWdhQCAAAVBAAADgAAAAAAAAAB&#10;ACAAAAAfAQAAZHJzL2Uyb0RvYy54bWxQSwUGAAAAAAYABgBZAQAApQU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asciiTheme="minorEastAsia" w:hAnsiTheme="minorEastAsia" w:cstheme="minorEastAsia"/>
                        <w:sz w:val="28"/>
                        <w:szCs w:val="44"/>
                        <w:lang w:eastAsia="zh-CN"/>
                      </w:rPr>
                      <w:t>—</w:t>
                    </w:r>
                    <w:r>
                      <w:rPr>
                        <w:rFonts w:hint="eastAsia" w:asciiTheme="minorEastAsia" w:hAnsiTheme="minorEastAsia" w:eastAsiaTheme="minorEastAsia" w:cstheme="minorEastAsia"/>
                        <w:sz w:val="28"/>
                        <w:szCs w:val="44"/>
                        <w:lang w:eastAsia="zh-CN"/>
                      </w:rPr>
                      <w:fldChar w:fldCharType="begin"/>
                    </w:r>
                    <w:r>
                      <w:rPr>
                        <w:rFonts w:hint="eastAsia" w:asciiTheme="minorEastAsia" w:hAnsiTheme="minorEastAsia" w:eastAsiaTheme="minorEastAsia" w:cstheme="minorEastAsia"/>
                        <w:sz w:val="28"/>
                        <w:szCs w:val="44"/>
                        <w:lang w:eastAsia="zh-CN"/>
                      </w:rPr>
                      <w:instrText xml:space="preserve"> PAGE  \* MERGEFORMAT </w:instrText>
                    </w:r>
                    <w:r>
                      <w:rPr>
                        <w:rFonts w:hint="eastAsia" w:asciiTheme="minorEastAsia" w:hAnsiTheme="minorEastAsia" w:eastAsiaTheme="minorEastAsia" w:cstheme="minorEastAsia"/>
                        <w:sz w:val="28"/>
                        <w:szCs w:val="44"/>
                        <w:lang w:eastAsia="zh-CN"/>
                      </w:rPr>
                      <w:fldChar w:fldCharType="separate"/>
                    </w:r>
                    <w:r>
                      <w:rPr>
                        <w:rFonts w:hint="eastAsia" w:asciiTheme="minorEastAsia" w:hAnsiTheme="minorEastAsia" w:eastAsiaTheme="minorEastAsia" w:cstheme="minorEastAsia"/>
                        <w:sz w:val="28"/>
                        <w:szCs w:val="44"/>
                        <w:lang w:eastAsia="zh-CN"/>
                      </w:rPr>
                      <w:t>1</w:t>
                    </w:r>
                    <w:r>
                      <w:rPr>
                        <w:rFonts w:hint="eastAsia" w:asciiTheme="minorEastAsia" w:hAnsiTheme="minorEastAsia" w:eastAsiaTheme="minorEastAsia" w:cstheme="minorEastAsia"/>
                        <w:sz w:val="28"/>
                        <w:szCs w:val="44"/>
                        <w:lang w:eastAsia="zh-CN"/>
                      </w:rPr>
                      <w:fldChar w:fldCharType="end"/>
                    </w:r>
                    <w:r>
                      <w:rPr>
                        <w:rFonts w:hint="eastAsia" w:asciiTheme="minorEastAsia" w:hAnsiTheme="minorEastAsia" w:cstheme="minorEastAsia"/>
                        <w:sz w:val="28"/>
                        <w:szCs w:val="44"/>
                        <w:lang w:eastAsia="zh-CN"/>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7B673"/>
    <w:multiLevelType w:val="singleLevel"/>
    <w:tmpl w:val="1817B673"/>
    <w:lvl w:ilvl="0" w:tentative="0">
      <w:start w:val="1"/>
      <w:numFmt w:val="decimal"/>
      <w:suff w:val="space"/>
      <w:lvlText w:val="[%1]"/>
      <w:lvlJc w:val="left"/>
    </w:lvl>
  </w:abstractNum>
  <w:abstractNum w:abstractNumId="1">
    <w:nsid w:val="32A7A8CA"/>
    <w:multiLevelType w:val="singleLevel"/>
    <w:tmpl w:val="32A7A8CA"/>
    <w:lvl w:ilvl="0" w:tentative="0">
      <w:start w:val="4"/>
      <w:numFmt w:val="chineseCounting"/>
      <w:suff w:val="nothing"/>
      <w:lvlText w:val="%1、"/>
      <w:lvlJc w:val="left"/>
      <w:pPr>
        <w:ind w:left="735" w:leftChars="0" w:firstLine="0" w:firstLineChars="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F19C2"/>
    <w:rsid w:val="002273F0"/>
    <w:rsid w:val="005E7996"/>
    <w:rsid w:val="006B0405"/>
    <w:rsid w:val="00735173"/>
    <w:rsid w:val="007853B4"/>
    <w:rsid w:val="008760ED"/>
    <w:rsid w:val="00A353F6"/>
    <w:rsid w:val="00A70B4D"/>
    <w:rsid w:val="00B63441"/>
    <w:rsid w:val="00B730C0"/>
    <w:rsid w:val="00C02C19"/>
    <w:rsid w:val="00ED0CBC"/>
    <w:rsid w:val="01134DC2"/>
    <w:rsid w:val="01142887"/>
    <w:rsid w:val="011C648D"/>
    <w:rsid w:val="01281B54"/>
    <w:rsid w:val="01453016"/>
    <w:rsid w:val="014F3CE4"/>
    <w:rsid w:val="015013B2"/>
    <w:rsid w:val="015D415B"/>
    <w:rsid w:val="016F5B9A"/>
    <w:rsid w:val="01780EF9"/>
    <w:rsid w:val="017A6FC1"/>
    <w:rsid w:val="019D7E34"/>
    <w:rsid w:val="01A251C9"/>
    <w:rsid w:val="01B03FCF"/>
    <w:rsid w:val="01B31FD7"/>
    <w:rsid w:val="01BF14DB"/>
    <w:rsid w:val="01BF6AC7"/>
    <w:rsid w:val="01ED432D"/>
    <w:rsid w:val="01F77248"/>
    <w:rsid w:val="02024D6B"/>
    <w:rsid w:val="023F763D"/>
    <w:rsid w:val="02551B85"/>
    <w:rsid w:val="025E5689"/>
    <w:rsid w:val="02636AE7"/>
    <w:rsid w:val="02705C0D"/>
    <w:rsid w:val="027115F3"/>
    <w:rsid w:val="0271467D"/>
    <w:rsid w:val="028B1CBA"/>
    <w:rsid w:val="02A15484"/>
    <w:rsid w:val="02A61ED8"/>
    <w:rsid w:val="02BD3393"/>
    <w:rsid w:val="02F13241"/>
    <w:rsid w:val="02F82177"/>
    <w:rsid w:val="03155EFC"/>
    <w:rsid w:val="03206630"/>
    <w:rsid w:val="032D1844"/>
    <w:rsid w:val="03406A6B"/>
    <w:rsid w:val="03445D98"/>
    <w:rsid w:val="03575C84"/>
    <w:rsid w:val="03840EDF"/>
    <w:rsid w:val="03B66F71"/>
    <w:rsid w:val="03C87184"/>
    <w:rsid w:val="03CB5BA9"/>
    <w:rsid w:val="03F072C8"/>
    <w:rsid w:val="03F2220A"/>
    <w:rsid w:val="03FF4F8C"/>
    <w:rsid w:val="03FF761E"/>
    <w:rsid w:val="040037ED"/>
    <w:rsid w:val="04153D40"/>
    <w:rsid w:val="0446450F"/>
    <w:rsid w:val="04696228"/>
    <w:rsid w:val="046E4DE7"/>
    <w:rsid w:val="047F2D99"/>
    <w:rsid w:val="04922410"/>
    <w:rsid w:val="04E637E2"/>
    <w:rsid w:val="05056D9E"/>
    <w:rsid w:val="05232723"/>
    <w:rsid w:val="053736E6"/>
    <w:rsid w:val="05564CC5"/>
    <w:rsid w:val="05590B54"/>
    <w:rsid w:val="056E79C5"/>
    <w:rsid w:val="05816751"/>
    <w:rsid w:val="05B54163"/>
    <w:rsid w:val="05BF0B30"/>
    <w:rsid w:val="05C9348B"/>
    <w:rsid w:val="05D66BF9"/>
    <w:rsid w:val="05FD5D52"/>
    <w:rsid w:val="05FF12E2"/>
    <w:rsid w:val="06067044"/>
    <w:rsid w:val="063A068F"/>
    <w:rsid w:val="063A6DCF"/>
    <w:rsid w:val="06661F8B"/>
    <w:rsid w:val="067C6ECF"/>
    <w:rsid w:val="06902746"/>
    <w:rsid w:val="06A263BE"/>
    <w:rsid w:val="06A72C92"/>
    <w:rsid w:val="06EB2EDD"/>
    <w:rsid w:val="06EC6D6C"/>
    <w:rsid w:val="06F829F5"/>
    <w:rsid w:val="06F87AF4"/>
    <w:rsid w:val="070D1BBE"/>
    <w:rsid w:val="073455A1"/>
    <w:rsid w:val="07392D94"/>
    <w:rsid w:val="07481042"/>
    <w:rsid w:val="074F19C2"/>
    <w:rsid w:val="078B0F5C"/>
    <w:rsid w:val="078C6E58"/>
    <w:rsid w:val="078E780D"/>
    <w:rsid w:val="07B44A77"/>
    <w:rsid w:val="07BA0E43"/>
    <w:rsid w:val="07C23D98"/>
    <w:rsid w:val="07D65497"/>
    <w:rsid w:val="07E30570"/>
    <w:rsid w:val="07F615C4"/>
    <w:rsid w:val="0816150D"/>
    <w:rsid w:val="082D18F6"/>
    <w:rsid w:val="083D2FE7"/>
    <w:rsid w:val="083E1AF2"/>
    <w:rsid w:val="0855692B"/>
    <w:rsid w:val="08773D11"/>
    <w:rsid w:val="087A6A26"/>
    <w:rsid w:val="087F6BF6"/>
    <w:rsid w:val="08932433"/>
    <w:rsid w:val="089B35F7"/>
    <w:rsid w:val="08B24CC0"/>
    <w:rsid w:val="08BE6C67"/>
    <w:rsid w:val="08D17E86"/>
    <w:rsid w:val="08E33F77"/>
    <w:rsid w:val="08F05512"/>
    <w:rsid w:val="09316BC9"/>
    <w:rsid w:val="094540F1"/>
    <w:rsid w:val="095161D6"/>
    <w:rsid w:val="096473F5"/>
    <w:rsid w:val="09681292"/>
    <w:rsid w:val="097F1E67"/>
    <w:rsid w:val="099E3223"/>
    <w:rsid w:val="09B10DB4"/>
    <w:rsid w:val="09B2477A"/>
    <w:rsid w:val="09CB009E"/>
    <w:rsid w:val="09DB038D"/>
    <w:rsid w:val="09F662A5"/>
    <w:rsid w:val="09FD62EE"/>
    <w:rsid w:val="0A005042"/>
    <w:rsid w:val="0A035C8F"/>
    <w:rsid w:val="0A1656A7"/>
    <w:rsid w:val="0A6027A4"/>
    <w:rsid w:val="0A6F0286"/>
    <w:rsid w:val="0A721D6F"/>
    <w:rsid w:val="0A944AC3"/>
    <w:rsid w:val="0A9A7472"/>
    <w:rsid w:val="0AA12680"/>
    <w:rsid w:val="0AB8334F"/>
    <w:rsid w:val="0AD166AC"/>
    <w:rsid w:val="0ADC0C2B"/>
    <w:rsid w:val="0AFA445D"/>
    <w:rsid w:val="0B267056"/>
    <w:rsid w:val="0B3F7970"/>
    <w:rsid w:val="0B4479B8"/>
    <w:rsid w:val="0B513D98"/>
    <w:rsid w:val="0B673342"/>
    <w:rsid w:val="0B68774A"/>
    <w:rsid w:val="0B6B0408"/>
    <w:rsid w:val="0B6C2E99"/>
    <w:rsid w:val="0B772CE8"/>
    <w:rsid w:val="0BC22757"/>
    <w:rsid w:val="0BC6115D"/>
    <w:rsid w:val="0BCB7FDD"/>
    <w:rsid w:val="0BD55B56"/>
    <w:rsid w:val="0C0D44B7"/>
    <w:rsid w:val="0C2B322F"/>
    <w:rsid w:val="0C5B4C90"/>
    <w:rsid w:val="0C7B7A13"/>
    <w:rsid w:val="0C7F59BF"/>
    <w:rsid w:val="0C834459"/>
    <w:rsid w:val="0C845237"/>
    <w:rsid w:val="0CC539DF"/>
    <w:rsid w:val="0CC87A86"/>
    <w:rsid w:val="0CCF6001"/>
    <w:rsid w:val="0CD91D23"/>
    <w:rsid w:val="0CE97FBB"/>
    <w:rsid w:val="0CF16395"/>
    <w:rsid w:val="0CF605B3"/>
    <w:rsid w:val="0D0B70D6"/>
    <w:rsid w:val="0D433970"/>
    <w:rsid w:val="0D483CA3"/>
    <w:rsid w:val="0D55096F"/>
    <w:rsid w:val="0D746A47"/>
    <w:rsid w:val="0D7C0462"/>
    <w:rsid w:val="0D8115F6"/>
    <w:rsid w:val="0D8555C0"/>
    <w:rsid w:val="0D870DBE"/>
    <w:rsid w:val="0DA02C72"/>
    <w:rsid w:val="0DE23514"/>
    <w:rsid w:val="0DED1DE7"/>
    <w:rsid w:val="0DF66E74"/>
    <w:rsid w:val="0E080413"/>
    <w:rsid w:val="0E0B2945"/>
    <w:rsid w:val="0E1F2BD2"/>
    <w:rsid w:val="0E41121A"/>
    <w:rsid w:val="0E465ACA"/>
    <w:rsid w:val="0E524414"/>
    <w:rsid w:val="0E536789"/>
    <w:rsid w:val="0E7B2950"/>
    <w:rsid w:val="0E7C61D3"/>
    <w:rsid w:val="0E972C12"/>
    <w:rsid w:val="0EA665D4"/>
    <w:rsid w:val="0EC82A4F"/>
    <w:rsid w:val="0ECA5F52"/>
    <w:rsid w:val="0EDA076B"/>
    <w:rsid w:val="0EE90A8A"/>
    <w:rsid w:val="0EEB535F"/>
    <w:rsid w:val="0EF6542D"/>
    <w:rsid w:val="0F1F7B2B"/>
    <w:rsid w:val="0F316BFB"/>
    <w:rsid w:val="0F497A13"/>
    <w:rsid w:val="0F4D015C"/>
    <w:rsid w:val="0F542633"/>
    <w:rsid w:val="0F6A5A74"/>
    <w:rsid w:val="0F8B4CE8"/>
    <w:rsid w:val="0FB0444F"/>
    <w:rsid w:val="0FCE5F07"/>
    <w:rsid w:val="0FD27007"/>
    <w:rsid w:val="101300E5"/>
    <w:rsid w:val="1018071C"/>
    <w:rsid w:val="101B23FC"/>
    <w:rsid w:val="10252529"/>
    <w:rsid w:val="102E3AEA"/>
    <w:rsid w:val="10325AAD"/>
    <w:rsid w:val="103D25B1"/>
    <w:rsid w:val="103F39A0"/>
    <w:rsid w:val="1051509A"/>
    <w:rsid w:val="105A7028"/>
    <w:rsid w:val="105D5064"/>
    <w:rsid w:val="10613F1F"/>
    <w:rsid w:val="10624D6F"/>
    <w:rsid w:val="10802814"/>
    <w:rsid w:val="10833AFA"/>
    <w:rsid w:val="10844E1E"/>
    <w:rsid w:val="108E10B6"/>
    <w:rsid w:val="108E4939"/>
    <w:rsid w:val="10A81C60"/>
    <w:rsid w:val="10B5371E"/>
    <w:rsid w:val="10C522EF"/>
    <w:rsid w:val="10D177B4"/>
    <w:rsid w:val="10D330F2"/>
    <w:rsid w:val="10E44043"/>
    <w:rsid w:val="10FD716C"/>
    <w:rsid w:val="10FF19E3"/>
    <w:rsid w:val="10FF266F"/>
    <w:rsid w:val="110754FD"/>
    <w:rsid w:val="110A1CAB"/>
    <w:rsid w:val="11132B58"/>
    <w:rsid w:val="111B419D"/>
    <w:rsid w:val="112E31BE"/>
    <w:rsid w:val="11310623"/>
    <w:rsid w:val="115C628C"/>
    <w:rsid w:val="115F57E9"/>
    <w:rsid w:val="116558B4"/>
    <w:rsid w:val="11743932"/>
    <w:rsid w:val="11872221"/>
    <w:rsid w:val="11B10758"/>
    <w:rsid w:val="11C15146"/>
    <w:rsid w:val="11C8694E"/>
    <w:rsid w:val="11EA5270"/>
    <w:rsid w:val="11F84BF7"/>
    <w:rsid w:val="12265954"/>
    <w:rsid w:val="12722550"/>
    <w:rsid w:val="12872CB8"/>
    <w:rsid w:val="128C2393"/>
    <w:rsid w:val="128F7902"/>
    <w:rsid w:val="129A008B"/>
    <w:rsid w:val="12C27365"/>
    <w:rsid w:val="12CB3EE4"/>
    <w:rsid w:val="12CB41D2"/>
    <w:rsid w:val="12D06EF6"/>
    <w:rsid w:val="12D94014"/>
    <w:rsid w:val="12DE2F04"/>
    <w:rsid w:val="12FF73D1"/>
    <w:rsid w:val="130265BC"/>
    <w:rsid w:val="131252D4"/>
    <w:rsid w:val="13286D02"/>
    <w:rsid w:val="133E5725"/>
    <w:rsid w:val="135A4A4C"/>
    <w:rsid w:val="135C08EF"/>
    <w:rsid w:val="135E6CD6"/>
    <w:rsid w:val="138E6551"/>
    <w:rsid w:val="13B525C7"/>
    <w:rsid w:val="13DD2D88"/>
    <w:rsid w:val="13E6239A"/>
    <w:rsid w:val="140A00B1"/>
    <w:rsid w:val="140A215F"/>
    <w:rsid w:val="141F6F9C"/>
    <w:rsid w:val="143221BE"/>
    <w:rsid w:val="1433301E"/>
    <w:rsid w:val="14493848"/>
    <w:rsid w:val="145A4BFE"/>
    <w:rsid w:val="14601D7C"/>
    <w:rsid w:val="14611B6C"/>
    <w:rsid w:val="147A64FB"/>
    <w:rsid w:val="148129EC"/>
    <w:rsid w:val="148C60C3"/>
    <w:rsid w:val="14981ED6"/>
    <w:rsid w:val="14A36618"/>
    <w:rsid w:val="14B658D9"/>
    <w:rsid w:val="151627A4"/>
    <w:rsid w:val="1525101E"/>
    <w:rsid w:val="152D7862"/>
    <w:rsid w:val="155147A6"/>
    <w:rsid w:val="15612C23"/>
    <w:rsid w:val="15691687"/>
    <w:rsid w:val="1589617D"/>
    <w:rsid w:val="159E136D"/>
    <w:rsid w:val="15AE7DB6"/>
    <w:rsid w:val="15C06170"/>
    <w:rsid w:val="15EA742C"/>
    <w:rsid w:val="15EB3A81"/>
    <w:rsid w:val="15FE0FEC"/>
    <w:rsid w:val="1604760D"/>
    <w:rsid w:val="16114516"/>
    <w:rsid w:val="16321C00"/>
    <w:rsid w:val="163D2AB4"/>
    <w:rsid w:val="1647553C"/>
    <w:rsid w:val="16665F61"/>
    <w:rsid w:val="16825781"/>
    <w:rsid w:val="169B3318"/>
    <w:rsid w:val="16AA3BF5"/>
    <w:rsid w:val="16E30DED"/>
    <w:rsid w:val="16E77068"/>
    <w:rsid w:val="171341CC"/>
    <w:rsid w:val="17174C30"/>
    <w:rsid w:val="17180BBB"/>
    <w:rsid w:val="17252504"/>
    <w:rsid w:val="173A24A9"/>
    <w:rsid w:val="177139B1"/>
    <w:rsid w:val="17722027"/>
    <w:rsid w:val="17725DB2"/>
    <w:rsid w:val="1794758E"/>
    <w:rsid w:val="17A103C5"/>
    <w:rsid w:val="17C52DC3"/>
    <w:rsid w:val="17CC0057"/>
    <w:rsid w:val="17E41883"/>
    <w:rsid w:val="180247D4"/>
    <w:rsid w:val="180E6F5C"/>
    <w:rsid w:val="181C1D63"/>
    <w:rsid w:val="182C1E91"/>
    <w:rsid w:val="182D1855"/>
    <w:rsid w:val="183B6998"/>
    <w:rsid w:val="185D147B"/>
    <w:rsid w:val="186440E7"/>
    <w:rsid w:val="1872382B"/>
    <w:rsid w:val="187F3A7B"/>
    <w:rsid w:val="18817827"/>
    <w:rsid w:val="189268CA"/>
    <w:rsid w:val="18993570"/>
    <w:rsid w:val="18C90973"/>
    <w:rsid w:val="18CF1EA4"/>
    <w:rsid w:val="18DA1F55"/>
    <w:rsid w:val="191974BC"/>
    <w:rsid w:val="191C6166"/>
    <w:rsid w:val="1940517D"/>
    <w:rsid w:val="19476AB2"/>
    <w:rsid w:val="198010B4"/>
    <w:rsid w:val="199F5196"/>
    <w:rsid w:val="19AA0E4F"/>
    <w:rsid w:val="19B67549"/>
    <w:rsid w:val="19D60F85"/>
    <w:rsid w:val="19D8392A"/>
    <w:rsid w:val="19E33973"/>
    <w:rsid w:val="1A4D0755"/>
    <w:rsid w:val="1A5D7734"/>
    <w:rsid w:val="1A761976"/>
    <w:rsid w:val="1AA34C8B"/>
    <w:rsid w:val="1AC601EB"/>
    <w:rsid w:val="1AC83FBA"/>
    <w:rsid w:val="1ADE3924"/>
    <w:rsid w:val="1AE679AD"/>
    <w:rsid w:val="1AEB73B7"/>
    <w:rsid w:val="1B042721"/>
    <w:rsid w:val="1B0A5C75"/>
    <w:rsid w:val="1B0A6B2B"/>
    <w:rsid w:val="1B123C98"/>
    <w:rsid w:val="1B454958"/>
    <w:rsid w:val="1B4712C5"/>
    <w:rsid w:val="1B513CA9"/>
    <w:rsid w:val="1B653D98"/>
    <w:rsid w:val="1B6D668B"/>
    <w:rsid w:val="1B8D6BBD"/>
    <w:rsid w:val="1B8F5E0C"/>
    <w:rsid w:val="1B971128"/>
    <w:rsid w:val="1B972EC6"/>
    <w:rsid w:val="1B9B35B6"/>
    <w:rsid w:val="1BAB3F72"/>
    <w:rsid w:val="1BD318B3"/>
    <w:rsid w:val="1BE6170B"/>
    <w:rsid w:val="1BF146E6"/>
    <w:rsid w:val="1C113C73"/>
    <w:rsid w:val="1C1359D9"/>
    <w:rsid w:val="1C217434"/>
    <w:rsid w:val="1C2C42BD"/>
    <w:rsid w:val="1C3E41CD"/>
    <w:rsid w:val="1C5B1410"/>
    <w:rsid w:val="1C7A6BC9"/>
    <w:rsid w:val="1C7F29E9"/>
    <w:rsid w:val="1C9073C8"/>
    <w:rsid w:val="1CA14709"/>
    <w:rsid w:val="1CA97685"/>
    <w:rsid w:val="1CAE0F68"/>
    <w:rsid w:val="1CAF3809"/>
    <w:rsid w:val="1CBE05B7"/>
    <w:rsid w:val="1CCF0851"/>
    <w:rsid w:val="1CF747D6"/>
    <w:rsid w:val="1D1A1BCA"/>
    <w:rsid w:val="1D222CA3"/>
    <w:rsid w:val="1D374D04"/>
    <w:rsid w:val="1D613643"/>
    <w:rsid w:val="1D677820"/>
    <w:rsid w:val="1D724B6A"/>
    <w:rsid w:val="1D7C5A83"/>
    <w:rsid w:val="1D7D3E6D"/>
    <w:rsid w:val="1D86477C"/>
    <w:rsid w:val="1DA5023B"/>
    <w:rsid w:val="1DD15C27"/>
    <w:rsid w:val="1DD415BF"/>
    <w:rsid w:val="1DE930E2"/>
    <w:rsid w:val="1DEC1BD6"/>
    <w:rsid w:val="1E1B0BCA"/>
    <w:rsid w:val="1E2146EB"/>
    <w:rsid w:val="1E407150"/>
    <w:rsid w:val="1E5828D6"/>
    <w:rsid w:val="1E5B385B"/>
    <w:rsid w:val="1E5B75EB"/>
    <w:rsid w:val="1E757C88"/>
    <w:rsid w:val="1E7977DC"/>
    <w:rsid w:val="1E95493A"/>
    <w:rsid w:val="1EA435A3"/>
    <w:rsid w:val="1EBA70F8"/>
    <w:rsid w:val="1EC9067D"/>
    <w:rsid w:val="1EDC0931"/>
    <w:rsid w:val="1EE14DB9"/>
    <w:rsid w:val="1EE31FCB"/>
    <w:rsid w:val="1EEF5056"/>
    <w:rsid w:val="1F003482"/>
    <w:rsid w:val="1F1E6E1C"/>
    <w:rsid w:val="1F3F75A9"/>
    <w:rsid w:val="1F5B1EDA"/>
    <w:rsid w:val="1F761A29"/>
    <w:rsid w:val="1F7C215B"/>
    <w:rsid w:val="1F857AC5"/>
    <w:rsid w:val="1FB2188E"/>
    <w:rsid w:val="1FB764FB"/>
    <w:rsid w:val="1FB773C9"/>
    <w:rsid w:val="1FC456B2"/>
    <w:rsid w:val="1FE06EDA"/>
    <w:rsid w:val="1FF14BF6"/>
    <w:rsid w:val="1FF95FAA"/>
    <w:rsid w:val="20076D9A"/>
    <w:rsid w:val="20174E36"/>
    <w:rsid w:val="201A2537"/>
    <w:rsid w:val="2029292D"/>
    <w:rsid w:val="204B0503"/>
    <w:rsid w:val="20564928"/>
    <w:rsid w:val="205F522A"/>
    <w:rsid w:val="20640F8E"/>
    <w:rsid w:val="20643162"/>
    <w:rsid w:val="20765BD0"/>
    <w:rsid w:val="208501D6"/>
    <w:rsid w:val="20A7394C"/>
    <w:rsid w:val="20B34AA7"/>
    <w:rsid w:val="20E3388B"/>
    <w:rsid w:val="20ED6289"/>
    <w:rsid w:val="20EF0A9B"/>
    <w:rsid w:val="20FC6B9E"/>
    <w:rsid w:val="21206816"/>
    <w:rsid w:val="212A011D"/>
    <w:rsid w:val="21314A8A"/>
    <w:rsid w:val="21422E35"/>
    <w:rsid w:val="216337D3"/>
    <w:rsid w:val="21687C5B"/>
    <w:rsid w:val="21773EB6"/>
    <w:rsid w:val="21941725"/>
    <w:rsid w:val="219638C4"/>
    <w:rsid w:val="21AC71BF"/>
    <w:rsid w:val="21B22658"/>
    <w:rsid w:val="21B92E22"/>
    <w:rsid w:val="21BF3A9B"/>
    <w:rsid w:val="21F80345"/>
    <w:rsid w:val="220B2CE7"/>
    <w:rsid w:val="224707C2"/>
    <w:rsid w:val="22532144"/>
    <w:rsid w:val="226D1547"/>
    <w:rsid w:val="229067C3"/>
    <w:rsid w:val="229B7A15"/>
    <w:rsid w:val="22BF7085"/>
    <w:rsid w:val="22CA0B50"/>
    <w:rsid w:val="22CE247E"/>
    <w:rsid w:val="22D94639"/>
    <w:rsid w:val="22F06943"/>
    <w:rsid w:val="22FA03F1"/>
    <w:rsid w:val="23007D7C"/>
    <w:rsid w:val="2316669C"/>
    <w:rsid w:val="231F7119"/>
    <w:rsid w:val="23386727"/>
    <w:rsid w:val="233D4D17"/>
    <w:rsid w:val="2344756C"/>
    <w:rsid w:val="23522813"/>
    <w:rsid w:val="2363144E"/>
    <w:rsid w:val="23665522"/>
    <w:rsid w:val="236906A5"/>
    <w:rsid w:val="238C7960"/>
    <w:rsid w:val="239911F4"/>
    <w:rsid w:val="23AF2895"/>
    <w:rsid w:val="23C00C35"/>
    <w:rsid w:val="23CA2C08"/>
    <w:rsid w:val="23E126B7"/>
    <w:rsid w:val="240F7F39"/>
    <w:rsid w:val="24305C5A"/>
    <w:rsid w:val="24323971"/>
    <w:rsid w:val="24332995"/>
    <w:rsid w:val="244A2F6C"/>
    <w:rsid w:val="2450097F"/>
    <w:rsid w:val="2463373A"/>
    <w:rsid w:val="24666583"/>
    <w:rsid w:val="246A22BE"/>
    <w:rsid w:val="24716337"/>
    <w:rsid w:val="24A7710A"/>
    <w:rsid w:val="24E75A9F"/>
    <w:rsid w:val="250E1E3C"/>
    <w:rsid w:val="25323514"/>
    <w:rsid w:val="254958B5"/>
    <w:rsid w:val="255E30DE"/>
    <w:rsid w:val="2564162E"/>
    <w:rsid w:val="256C653F"/>
    <w:rsid w:val="256F06A2"/>
    <w:rsid w:val="259A2D36"/>
    <w:rsid w:val="25B3747A"/>
    <w:rsid w:val="25EB0677"/>
    <w:rsid w:val="25F45F1A"/>
    <w:rsid w:val="26152482"/>
    <w:rsid w:val="26262B21"/>
    <w:rsid w:val="263A677B"/>
    <w:rsid w:val="263B6EDE"/>
    <w:rsid w:val="265C2EF4"/>
    <w:rsid w:val="265F416F"/>
    <w:rsid w:val="266A4D11"/>
    <w:rsid w:val="26833D13"/>
    <w:rsid w:val="269203CC"/>
    <w:rsid w:val="26962DDB"/>
    <w:rsid w:val="26A93FFA"/>
    <w:rsid w:val="26B47A3B"/>
    <w:rsid w:val="26D56143"/>
    <w:rsid w:val="26DB38D0"/>
    <w:rsid w:val="26E61ED9"/>
    <w:rsid w:val="26F975FC"/>
    <w:rsid w:val="27081DB7"/>
    <w:rsid w:val="27202D3F"/>
    <w:rsid w:val="2738153D"/>
    <w:rsid w:val="273F7D71"/>
    <w:rsid w:val="274F000B"/>
    <w:rsid w:val="275E4AA8"/>
    <w:rsid w:val="27604ABA"/>
    <w:rsid w:val="276B15F7"/>
    <w:rsid w:val="277427C9"/>
    <w:rsid w:val="2783450E"/>
    <w:rsid w:val="278D2000"/>
    <w:rsid w:val="27A42159"/>
    <w:rsid w:val="27C448D9"/>
    <w:rsid w:val="27E404FE"/>
    <w:rsid w:val="27E439AD"/>
    <w:rsid w:val="28075136"/>
    <w:rsid w:val="280C02B6"/>
    <w:rsid w:val="281E4770"/>
    <w:rsid w:val="28210363"/>
    <w:rsid w:val="28221F59"/>
    <w:rsid w:val="285E0B25"/>
    <w:rsid w:val="2866233F"/>
    <w:rsid w:val="287C4405"/>
    <w:rsid w:val="288C5814"/>
    <w:rsid w:val="289B6ECB"/>
    <w:rsid w:val="28A41F5C"/>
    <w:rsid w:val="28B72EDD"/>
    <w:rsid w:val="28C45620"/>
    <w:rsid w:val="28E41726"/>
    <w:rsid w:val="2919143B"/>
    <w:rsid w:val="292A5A4F"/>
    <w:rsid w:val="293555BC"/>
    <w:rsid w:val="294432A4"/>
    <w:rsid w:val="2951120E"/>
    <w:rsid w:val="295142D9"/>
    <w:rsid w:val="29521D5A"/>
    <w:rsid w:val="29610CF0"/>
    <w:rsid w:val="2973448D"/>
    <w:rsid w:val="297C731B"/>
    <w:rsid w:val="29834298"/>
    <w:rsid w:val="29A92769"/>
    <w:rsid w:val="29C56B93"/>
    <w:rsid w:val="29C8100E"/>
    <w:rsid w:val="29D95A03"/>
    <w:rsid w:val="29E5244A"/>
    <w:rsid w:val="29EA57CE"/>
    <w:rsid w:val="2A113092"/>
    <w:rsid w:val="2A122C1E"/>
    <w:rsid w:val="2A1E1B25"/>
    <w:rsid w:val="2A332025"/>
    <w:rsid w:val="2A4906AD"/>
    <w:rsid w:val="2A9808E9"/>
    <w:rsid w:val="2A9A1D27"/>
    <w:rsid w:val="2AA1662B"/>
    <w:rsid w:val="2AC1640B"/>
    <w:rsid w:val="2AC30845"/>
    <w:rsid w:val="2ACF1F40"/>
    <w:rsid w:val="2ADA5C2A"/>
    <w:rsid w:val="2B623CB8"/>
    <w:rsid w:val="2B821FEF"/>
    <w:rsid w:val="2BB66FC6"/>
    <w:rsid w:val="2BCB72E4"/>
    <w:rsid w:val="2BD94775"/>
    <w:rsid w:val="2C056CE4"/>
    <w:rsid w:val="2C0B10FC"/>
    <w:rsid w:val="2C427B51"/>
    <w:rsid w:val="2C446EDF"/>
    <w:rsid w:val="2C477E32"/>
    <w:rsid w:val="2C5A1CD2"/>
    <w:rsid w:val="2C622962"/>
    <w:rsid w:val="2C661368"/>
    <w:rsid w:val="2C700CA3"/>
    <w:rsid w:val="2C777126"/>
    <w:rsid w:val="2C7B2207"/>
    <w:rsid w:val="2C7C4588"/>
    <w:rsid w:val="2C7E5063"/>
    <w:rsid w:val="2C846EA1"/>
    <w:rsid w:val="2C983D35"/>
    <w:rsid w:val="2CA86CA3"/>
    <w:rsid w:val="2CC04859"/>
    <w:rsid w:val="2CE7462C"/>
    <w:rsid w:val="2D0D0B63"/>
    <w:rsid w:val="2D167E87"/>
    <w:rsid w:val="2D2A3400"/>
    <w:rsid w:val="2D396073"/>
    <w:rsid w:val="2D3B3547"/>
    <w:rsid w:val="2D4B705C"/>
    <w:rsid w:val="2D4E62C6"/>
    <w:rsid w:val="2D553AE4"/>
    <w:rsid w:val="2D596A35"/>
    <w:rsid w:val="2D610EF2"/>
    <w:rsid w:val="2D62452F"/>
    <w:rsid w:val="2D730BE5"/>
    <w:rsid w:val="2D746BC3"/>
    <w:rsid w:val="2D9A4F7C"/>
    <w:rsid w:val="2DAB037A"/>
    <w:rsid w:val="2DAD167F"/>
    <w:rsid w:val="2DC27430"/>
    <w:rsid w:val="2DDE063C"/>
    <w:rsid w:val="2DE8605A"/>
    <w:rsid w:val="2DEF6E3B"/>
    <w:rsid w:val="2E0324FD"/>
    <w:rsid w:val="2E2312BE"/>
    <w:rsid w:val="2E265AC6"/>
    <w:rsid w:val="2E283C4A"/>
    <w:rsid w:val="2E43072F"/>
    <w:rsid w:val="2E48026C"/>
    <w:rsid w:val="2E5C74CF"/>
    <w:rsid w:val="2E685D94"/>
    <w:rsid w:val="2E6C623A"/>
    <w:rsid w:val="2E6E3F01"/>
    <w:rsid w:val="2E8B3A22"/>
    <w:rsid w:val="2E9E00CB"/>
    <w:rsid w:val="2EAF428D"/>
    <w:rsid w:val="2EC3704B"/>
    <w:rsid w:val="2EC44B3A"/>
    <w:rsid w:val="2EC8678A"/>
    <w:rsid w:val="2EC952CF"/>
    <w:rsid w:val="2EDE7CEA"/>
    <w:rsid w:val="2EFE3E42"/>
    <w:rsid w:val="2F0860B8"/>
    <w:rsid w:val="2F0C0DA4"/>
    <w:rsid w:val="2F3F161D"/>
    <w:rsid w:val="2F706C60"/>
    <w:rsid w:val="2F836E54"/>
    <w:rsid w:val="2FA7670E"/>
    <w:rsid w:val="2FAE6846"/>
    <w:rsid w:val="2FB01D49"/>
    <w:rsid w:val="2FD12221"/>
    <w:rsid w:val="2FF61446"/>
    <w:rsid w:val="30162BCE"/>
    <w:rsid w:val="303B0CDF"/>
    <w:rsid w:val="303E28B2"/>
    <w:rsid w:val="307B7339"/>
    <w:rsid w:val="30A24932"/>
    <w:rsid w:val="30C5411E"/>
    <w:rsid w:val="30C87F46"/>
    <w:rsid w:val="30D05B09"/>
    <w:rsid w:val="30DC511A"/>
    <w:rsid w:val="30EC4527"/>
    <w:rsid w:val="30FF0CD2"/>
    <w:rsid w:val="310E5509"/>
    <w:rsid w:val="310F1C07"/>
    <w:rsid w:val="311E4C44"/>
    <w:rsid w:val="311F7E11"/>
    <w:rsid w:val="3123221A"/>
    <w:rsid w:val="31416CB9"/>
    <w:rsid w:val="31431C72"/>
    <w:rsid w:val="31777367"/>
    <w:rsid w:val="317E4255"/>
    <w:rsid w:val="31857F7D"/>
    <w:rsid w:val="318B0355"/>
    <w:rsid w:val="319232E8"/>
    <w:rsid w:val="31990379"/>
    <w:rsid w:val="31A87906"/>
    <w:rsid w:val="31A95387"/>
    <w:rsid w:val="31B067F2"/>
    <w:rsid w:val="31B726EC"/>
    <w:rsid w:val="31BE78AB"/>
    <w:rsid w:val="31CE7B45"/>
    <w:rsid w:val="31DE1416"/>
    <w:rsid w:val="31F92F80"/>
    <w:rsid w:val="32030B7F"/>
    <w:rsid w:val="320535A8"/>
    <w:rsid w:val="320769C1"/>
    <w:rsid w:val="32140F77"/>
    <w:rsid w:val="3227299C"/>
    <w:rsid w:val="324C3EDA"/>
    <w:rsid w:val="327012BA"/>
    <w:rsid w:val="32851872"/>
    <w:rsid w:val="32D72AB9"/>
    <w:rsid w:val="32F43417"/>
    <w:rsid w:val="33252886"/>
    <w:rsid w:val="334873B2"/>
    <w:rsid w:val="33620850"/>
    <w:rsid w:val="336E071E"/>
    <w:rsid w:val="33953C2E"/>
    <w:rsid w:val="339C4E27"/>
    <w:rsid w:val="33AD4B58"/>
    <w:rsid w:val="33BF4A72"/>
    <w:rsid w:val="33F03F0F"/>
    <w:rsid w:val="33F66251"/>
    <w:rsid w:val="33F81495"/>
    <w:rsid w:val="33F96E63"/>
    <w:rsid w:val="33FA4C57"/>
    <w:rsid w:val="340C203C"/>
    <w:rsid w:val="34133CFC"/>
    <w:rsid w:val="345B5F75"/>
    <w:rsid w:val="345F23FD"/>
    <w:rsid w:val="34AA3776"/>
    <w:rsid w:val="34B96526"/>
    <w:rsid w:val="34D42798"/>
    <w:rsid w:val="34E54685"/>
    <w:rsid w:val="34E735DB"/>
    <w:rsid w:val="34EE2F66"/>
    <w:rsid w:val="34F82870"/>
    <w:rsid w:val="34FC5D62"/>
    <w:rsid w:val="35027EE2"/>
    <w:rsid w:val="352F5FFD"/>
    <w:rsid w:val="354522B9"/>
    <w:rsid w:val="354E113F"/>
    <w:rsid w:val="354F3C2D"/>
    <w:rsid w:val="35652447"/>
    <w:rsid w:val="35792B4A"/>
    <w:rsid w:val="357950EC"/>
    <w:rsid w:val="358E506D"/>
    <w:rsid w:val="359445C5"/>
    <w:rsid w:val="35AF53BF"/>
    <w:rsid w:val="35B20725"/>
    <w:rsid w:val="35BB69FE"/>
    <w:rsid w:val="35DD2084"/>
    <w:rsid w:val="35E87469"/>
    <w:rsid w:val="35EA1CC5"/>
    <w:rsid w:val="35FC3465"/>
    <w:rsid w:val="360112B7"/>
    <w:rsid w:val="36011B0F"/>
    <w:rsid w:val="360775FE"/>
    <w:rsid w:val="360D3903"/>
    <w:rsid w:val="363B3A8C"/>
    <w:rsid w:val="36442C6F"/>
    <w:rsid w:val="36472AC2"/>
    <w:rsid w:val="367E2E79"/>
    <w:rsid w:val="36876307"/>
    <w:rsid w:val="369479EF"/>
    <w:rsid w:val="36CD7F78"/>
    <w:rsid w:val="36DF7E92"/>
    <w:rsid w:val="36E25F4E"/>
    <w:rsid w:val="36F45B37"/>
    <w:rsid w:val="370815B0"/>
    <w:rsid w:val="37123E85"/>
    <w:rsid w:val="3727525F"/>
    <w:rsid w:val="37460D73"/>
    <w:rsid w:val="377C743A"/>
    <w:rsid w:val="378B745C"/>
    <w:rsid w:val="37943880"/>
    <w:rsid w:val="37A07F50"/>
    <w:rsid w:val="37AC4F36"/>
    <w:rsid w:val="37B74EA7"/>
    <w:rsid w:val="37C159C1"/>
    <w:rsid w:val="37C57E93"/>
    <w:rsid w:val="37CA1D98"/>
    <w:rsid w:val="37D13D95"/>
    <w:rsid w:val="37D529A9"/>
    <w:rsid w:val="37FB0A3C"/>
    <w:rsid w:val="38083F3B"/>
    <w:rsid w:val="382303F0"/>
    <w:rsid w:val="382F0AB9"/>
    <w:rsid w:val="383813C8"/>
    <w:rsid w:val="38B82F9B"/>
    <w:rsid w:val="38B95FB8"/>
    <w:rsid w:val="38BD6EEC"/>
    <w:rsid w:val="38C36729"/>
    <w:rsid w:val="38CD7010"/>
    <w:rsid w:val="38D35BC0"/>
    <w:rsid w:val="38EB620F"/>
    <w:rsid w:val="38EF3A4B"/>
    <w:rsid w:val="38F2407A"/>
    <w:rsid w:val="3902123F"/>
    <w:rsid w:val="390E5F29"/>
    <w:rsid w:val="390F03AA"/>
    <w:rsid w:val="394A0FE9"/>
    <w:rsid w:val="39535398"/>
    <w:rsid w:val="39605C3B"/>
    <w:rsid w:val="39661A70"/>
    <w:rsid w:val="396632FF"/>
    <w:rsid w:val="396A4D04"/>
    <w:rsid w:val="399B5FFF"/>
    <w:rsid w:val="399B70B8"/>
    <w:rsid w:val="39A71BCC"/>
    <w:rsid w:val="39A930F9"/>
    <w:rsid w:val="39B150DF"/>
    <w:rsid w:val="39B201DA"/>
    <w:rsid w:val="39B271E7"/>
    <w:rsid w:val="39D522D5"/>
    <w:rsid w:val="3A0871BF"/>
    <w:rsid w:val="3A0911C5"/>
    <w:rsid w:val="3A294BCB"/>
    <w:rsid w:val="3A345DF9"/>
    <w:rsid w:val="3A4A0706"/>
    <w:rsid w:val="3A607DDF"/>
    <w:rsid w:val="3A9D379B"/>
    <w:rsid w:val="3AA627C7"/>
    <w:rsid w:val="3AFB76AE"/>
    <w:rsid w:val="3B00378A"/>
    <w:rsid w:val="3B111E76"/>
    <w:rsid w:val="3B3336B0"/>
    <w:rsid w:val="3B442BED"/>
    <w:rsid w:val="3B5D054D"/>
    <w:rsid w:val="3B6A0097"/>
    <w:rsid w:val="3B6A537E"/>
    <w:rsid w:val="3B6D7897"/>
    <w:rsid w:val="3B7604AB"/>
    <w:rsid w:val="3B842675"/>
    <w:rsid w:val="3B9A0687"/>
    <w:rsid w:val="3BDF0064"/>
    <w:rsid w:val="3BF120F1"/>
    <w:rsid w:val="3C076F0B"/>
    <w:rsid w:val="3C0A665B"/>
    <w:rsid w:val="3C2B7585"/>
    <w:rsid w:val="3C5B5B1E"/>
    <w:rsid w:val="3C68672E"/>
    <w:rsid w:val="3C785A85"/>
    <w:rsid w:val="3C7A4694"/>
    <w:rsid w:val="3C8A52C7"/>
    <w:rsid w:val="3C931F63"/>
    <w:rsid w:val="3CA579F0"/>
    <w:rsid w:val="3CA7694E"/>
    <w:rsid w:val="3CB27D67"/>
    <w:rsid w:val="3CDA7C52"/>
    <w:rsid w:val="3CF46CE9"/>
    <w:rsid w:val="3CF96DD8"/>
    <w:rsid w:val="3D0C2F35"/>
    <w:rsid w:val="3D383FED"/>
    <w:rsid w:val="3D3A4862"/>
    <w:rsid w:val="3D3B64ED"/>
    <w:rsid w:val="3D3F1312"/>
    <w:rsid w:val="3D716EF1"/>
    <w:rsid w:val="3D805E81"/>
    <w:rsid w:val="3D8435D4"/>
    <w:rsid w:val="3D9B4DA3"/>
    <w:rsid w:val="3DA24F1B"/>
    <w:rsid w:val="3DA915B3"/>
    <w:rsid w:val="3DB53026"/>
    <w:rsid w:val="3DD84673"/>
    <w:rsid w:val="3DEF6350"/>
    <w:rsid w:val="3E1F1601"/>
    <w:rsid w:val="3E4E4114"/>
    <w:rsid w:val="3E50003C"/>
    <w:rsid w:val="3E567B58"/>
    <w:rsid w:val="3E651416"/>
    <w:rsid w:val="3E672329"/>
    <w:rsid w:val="3E690C74"/>
    <w:rsid w:val="3E9B7A83"/>
    <w:rsid w:val="3EB6157E"/>
    <w:rsid w:val="3EC51842"/>
    <w:rsid w:val="3ED161B3"/>
    <w:rsid w:val="3ED5122D"/>
    <w:rsid w:val="3EE71375"/>
    <w:rsid w:val="3EEE1C8E"/>
    <w:rsid w:val="3F205DA0"/>
    <w:rsid w:val="3F225452"/>
    <w:rsid w:val="3F225EA4"/>
    <w:rsid w:val="3F3228BB"/>
    <w:rsid w:val="3F3A1A51"/>
    <w:rsid w:val="3F3B31CA"/>
    <w:rsid w:val="3F4006AE"/>
    <w:rsid w:val="3F4263D8"/>
    <w:rsid w:val="3F5517B3"/>
    <w:rsid w:val="3F945F52"/>
    <w:rsid w:val="3FAC6B7E"/>
    <w:rsid w:val="3FB06A0C"/>
    <w:rsid w:val="3FB709B6"/>
    <w:rsid w:val="3FB94A89"/>
    <w:rsid w:val="3FB94DDD"/>
    <w:rsid w:val="3FCA4B72"/>
    <w:rsid w:val="3FE42A21"/>
    <w:rsid w:val="40047728"/>
    <w:rsid w:val="401421B1"/>
    <w:rsid w:val="401F5ECF"/>
    <w:rsid w:val="402C1695"/>
    <w:rsid w:val="403B619B"/>
    <w:rsid w:val="406756C7"/>
    <w:rsid w:val="406B6161"/>
    <w:rsid w:val="40755F15"/>
    <w:rsid w:val="40802F01"/>
    <w:rsid w:val="408B1BF3"/>
    <w:rsid w:val="409D0E77"/>
    <w:rsid w:val="40BA78D5"/>
    <w:rsid w:val="40D9387D"/>
    <w:rsid w:val="40DE37F3"/>
    <w:rsid w:val="411424E0"/>
    <w:rsid w:val="41244342"/>
    <w:rsid w:val="41404B99"/>
    <w:rsid w:val="414612F6"/>
    <w:rsid w:val="41582048"/>
    <w:rsid w:val="41621E5C"/>
    <w:rsid w:val="416B6EE7"/>
    <w:rsid w:val="417C0A0C"/>
    <w:rsid w:val="418831EA"/>
    <w:rsid w:val="418F4EA7"/>
    <w:rsid w:val="41BA352F"/>
    <w:rsid w:val="41F472F9"/>
    <w:rsid w:val="41F739AE"/>
    <w:rsid w:val="42085F0C"/>
    <w:rsid w:val="422F757A"/>
    <w:rsid w:val="42363E2C"/>
    <w:rsid w:val="42412924"/>
    <w:rsid w:val="426C79D6"/>
    <w:rsid w:val="4298644F"/>
    <w:rsid w:val="42C17100"/>
    <w:rsid w:val="42D03F66"/>
    <w:rsid w:val="43036090"/>
    <w:rsid w:val="430A0CB6"/>
    <w:rsid w:val="43135B49"/>
    <w:rsid w:val="43151407"/>
    <w:rsid w:val="431A5025"/>
    <w:rsid w:val="434F4635"/>
    <w:rsid w:val="435C5AB6"/>
    <w:rsid w:val="4363041A"/>
    <w:rsid w:val="43851F3F"/>
    <w:rsid w:val="439C7DB9"/>
    <w:rsid w:val="43A35D9D"/>
    <w:rsid w:val="43A45688"/>
    <w:rsid w:val="43C5363E"/>
    <w:rsid w:val="43EF3ED0"/>
    <w:rsid w:val="43FC4F86"/>
    <w:rsid w:val="440E351D"/>
    <w:rsid w:val="44107B97"/>
    <w:rsid w:val="44183BC3"/>
    <w:rsid w:val="441F1F9B"/>
    <w:rsid w:val="446631C8"/>
    <w:rsid w:val="447D77DC"/>
    <w:rsid w:val="448C1A14"/>
    <w:rsid w:val="449A0979"/>
    <w:rsid w:val="449D19C4"/>
    <w:rsid w:val="44C40377"/>
    <w:rsid w:val="44C930B3"/>
    <w:rsid w:val="44CA29E4"/>
    <w:rsid w:val="44CB096E"/>
    <w:rsid w:val="44E97F1E"/>
    <w:rsid w:val="44FE45D6"/>
    <w:rsid w:val="4520236A"/>
    <w:rsid w:val="452A5920"/>
    <w:rsid w:val="45337098"/>
    <w:rsid w:val="454A7807"/>
    <w:rsid w:val="4556724D"/>
    <w:rsid w:val="4599483E"/>
    <w:rsid w:val="45A969BC"/>
    <w:rsid w:val="45BF6C7C"/>
    <w:rsid w:val="45ED64C7"/>
    <w:rsid w:val="46182B8E"/>
    <w:rsid w:val="462C0AD3"/>
    <w:rsid w:val="46560B81"/>
    <w:rsid w:val="466F3E82"/>
    <w:rsid w:val="46947B4A"/>
    <w:rsid w:val="469965DF"/>
    <w:rsid w:val="46B56EFC"/>
    <w:rsid w:val="46D509C3"/>
    <w:rsid w:val="46D74610"/>
    <w:rsid w:val="46F8572A"/>
    <w:rsid w:val="47181015"/>
    <w:rsid w:val="472E5582"/>
    <w:rsid w:val="47330D5C"/>
    <w:rsid w:val="476C21BB"/>
    <w:rsid w:val="47754BFC"/>
    <w:rsid w:val="47841717"/>
    <w:rsid w:val="47BB0658"/>
    <w:rsid w:val="47BB4AE9"/>
    <w:rsid w:val="47BD323F"/>
    <w:rsid w:val="47C356FD"/>
    <w:rsid w:val="47D837BD"/>
    <w:rsid w:val="47DA4E0C"/>
    <w:rsid w:val="47E035D0"/>
    <w:rsid w:val="47EF7660"/>
    <w:rsid w:val="480B449F"/>
    <w:rsid w:val="48110FFE"/>
    <w:rsid w:val="48212BE3"/>
    <w:rsid w:val="48270370"/>
    <w:rsid w:val="48305086"/>
    <w:rsid w:val="48334182"/>
    <w:rsid w:val="484E417B"/>
    <w:rsid w:val="487D0A7F"/>
    <w:rsid w:val="48830C0D"/>
    <w:rsid w:val="488625D4"/>
    <w:rsid w:val="48972279"/>
    <w:rsid w:val="489F38FD"/>
    <w:rsid w:val="48A531BC"/>
    <w:rsid w:val="48A618E2"/>
    <w:rsid w:val="48A64C9E"/>
    <w:rsid w:val="48D123F5"/>
    <w:rsid w:val="48E155A0"/>
    <w:rsid w:val="48FE5149"/>
    <w:rsid w:val="49146CF3"/>
    <w:rsid w:val="49302DA0"/>
    <w:rsid w:val="494556BE"/>
    <w:rsid w:val="494F0057"/>
    <w:rsid w:val="495C3C05"/>
    <w:rsid w:val="49822BAA"/>
    <w:rsid w:val="49B27E76"/>
    <w:rsid w:val="49BA53DB"/>
    <w:rsid w:val="49CC3459"/>
    <w:rsid w:val="49CF6827"/>
    <w:rsid w:val="49D43AC6"/>
    <w:rsid w:val="49D96CC7"/>
    <w:rsid w:val="49FD1660"/>
    <w:rsid w:val="4A0757B1"/>
    <w:rsid w:val="4A30453E"/>
    <w:rsid w:val="4A662E1D"/>
    <w:rsid w:val="4A691AF5"/>
    <w:rsid w:val="4A812B83"/>
    <w:rsid w:val="4AB2329C"/>
    <w:rsid w:val="4AC12070"/>
    <w:rsid w:val="4AE56F6F"/>
    <w:rsid w:val="4B0F2618"/>
    <w:rsid w:val="4B1A5ACC"/>
    <w:rsid w:val="4B1F7D3F"/>
    <w:rsid w:val="4B377375"/>
    <w:rsid w:val="4B3B5B44"/>
    <w:rsid w:val="4B4B5AC6"/>
    <w:rsid w:val="4B5C462F"/>
    <w:rsid w:val="4B603BD0"/>
    <w:rsid w:val="4B6432E6"/>
    <w:rsid w:val="4B6D3932"/>
    <w:rsid w:val="4B77353F"/>
    <w:rsid w:val="4B94000C"/>
    <w:rsid w:val="4BB4045B"/>
    <w:rsid w:val="4BC73CDE"/>
    <w:rsid w:val="4BEB3BCF"/>
    <w:rsid w:val="4C0F0AD0"/>
    <w:rsid w:val="4C1E4387"/>
    <w:rsid w:val="4C282A7E"/>
    <w:rsid w:val="4C3337D0"/>
    <w:rsid w:val="4C3F789B"/>
    <w:rsid w:val="4C663BE7"/>
    <w:rsid w:val="4C862E17"/>
    <w:rsid w:val="4CF06ED1"/>
    <w:rsid w:val="4CF30521"/>
    <w:rsid w:val="4CF334B4"/>
    <w:rsid w:val="4CF56A99"/>
    <w:rsid w:val="4D015FE4"/>
    <w:rsid w:val="4D075789"/>
    <w:rsid w:val="4D1D5914"/>
    <w:rsid w:val="4D24438D"/>
    <w:rsid w:val="4D3E68B0"/>
    <w:rsid w:val="4D7625C2"/>
    <w:rsid w:val="4D7D29F2"/>
    <w:rsid w:val="4D7E0E31"/>
    <w:rsid w:val="4D8A46A8"/>
    <w:rsid w:val="4D964E40"/>
    <w:rsid w:val="4DA829A7"/>
    <w:rsid w:val="4DAE3B7E"/>
    <w:rsid w:val="4DD46B68"/>
    <w:rsid w:val="4DF36707"/>
    <w:rsid w:val="4E120D9A"/>
    <w:rsid w:val="4E1338A3"/>
    <w:rsid w:val="4E265D74"/>
    <w:rsid w:val="4E2E307A"/>
    <w:rsid w:val="4E4111EE"/>
    <w:rsid w:val="4E5156D4"/>
    <w:rsid w:val="4E5624E8"/>
    <w:rsid w:val="4E575F5C"/>
    <w:rsid w:val="4E670DDB"/>
    <w:rsid w:val="4E883E90"/>
    <w:rsid w:val="4E9D556A"/>
    <w:rsid w:val="4EA17C8F"/>
    <w:rsid w:val="4EA95137"/>
    <w:rsid w:val="4EBB24FE"/>
    <w:rsid w:val="4ECB4475"/>
    <w:rsid w:val="4ECD12CB"/>
    <w:rsid w:val="4ED57C35"/>
    <w:rsid w:val="4EE92C5D"/>
    <w:rsid w:val="4EEA5B05"/>
    <w:rsid w:val="4EF04EA0"/>
    <w:rsid w:val="4EFC7D58"/>
    <w:rsid w:val="4F020E2A"/>
    <w:rsid w:val="4F094534"/>
    <w:rsid w:val="4F294989"/>
    <w:rsid w:val="4F387909"/>
    <w:rsid w:val="4F3E0E02"/>
    <w:rsid w:val="4F5E0042"/>
    <w:rsid w:val="4F5F5AC3"/>
    <w:rsid w:val="4F7D417A"/>
    <w:rsid w:val="4F812B80"/>
    <w:rsid w:val="4FA61ABB"/>
    <w:rsid w:val="4FAA26BF"/>
    <w:rsid w:val="4FCC1284"/>
    <w:rsid w:val="4FDB3CF4"/>
    <w:rsid w:val="50201299"/>
    <w:rsid w:val="502C6F02"/>
    <w:rsid w:val="503F501E"/>
    <w:rsid w:val="506233C0"/>
    <w:rsid w:val="50721CAB"/>
    <w:rsid w:val="5074340D"/>
    <w:rsid w:val="50856312"/>
    <w:rsid w:val="50876AEB"/>
    <w:rsid w:val="50AB1640"/>
    <w:rsid w:val="50B05C74"/>
    <w:rsid w:val="50CA3E1C"/>
    <w:rsid w:val="50DC6E27"/>
    <w:rsid w:val="50E833CC"/>
    <w:rsid w:val="50F47D54"/>
    <w:rsid w:val="50F54C60"/>
    <w:rsid w:val="50F876D1"/>
    <w:rsid w:val="513C6394"/>
    <w:rsid w:val="5146695D"/>
    <w:rsid w:val="514C7D0D"/>
    <w:rsid w:val="514E2D70"/>
    <w:rsid w:val="51566E0A"/>
    <w:rsid w:val="519956A3"/>
    <w:rsid w:val="51A12A30"/>
    <w:rsid w:val="51A31B31"/>
    <w:rsid w:val="51C43BD1"/>
    <w:rsid w:val="51D83C7A"/>
    <w:rsid w:val="51F62284"/>
    <w:rsid w:val="51FC418E"/>
    <w:rsid w:val="52183020"/>
    <w:rsid w:val="521B4931"/>
    <w:rsid w:val="52553079"/>
    <w:rsid w:val="52571024"/>
    <w:rsid w:val="52587498"/>
    <w:rsid w:val="526B0BEF"/>
    <w:rsid w:val="527076B6"/>
    <w:rsid w:val="52B72342"/>
    <w:rsid w:val="52C27DDA"/>
    <w:rsid w:val="52C6295D"/>
    <w:rsid w:val="53046E8F"/>
    <w:rsid w:val="5321350E"/>
    <w:rsid w:val="53542804"/>
    <w:rsid w:val="535470B3"/>
    <w:rsid w:val="53904FFF"/>
    <w:rsid w:val="539B3C3A"/>
    <w:rsid w:val="53A72FD1"/>
    <w:rsid w:val="53B83A8F"/>
    <w:rsid w:val="53DC6F9D"/>
    <w:rsid w:val="53DF5A4B"/>
    <w:rsid w:val="53E6215D"/>
    <w:rsid w:val="54662F23"/>
    <w:rsid w:val="54681FC0"/>
    <w:rsid w:val="54691F82"/>
    <w:rsid w:val="546F0CF4"/>
    <w:rsid w:val="547943D3"/>
    <w:rsid w:val="548E44C7"/>
    <w:rsid w:val="549B297A"/>
    <w:rsid w:val="54A85071"/>
    <w:rsid w:val="54A96C05"/>
    <w:rsid w:val="54AC66CF"/>
    <w:rsid w:val="54C34C6F"/>
    <w:rsid w:val="54C4394A"/>
    <w:rsid w:val="54D12FF9"/>
    <w:rsid w:val="54D21ECC"/>
    <w:rsid w:val="54FA0D24"/>
    <w:rsid w:val="550C42E2"/>
    <w:rsid w:val="551B0A15"/>
    <w:rsid w:val="55292147"/>
    <w:rsid w:val="554177EE"/>
    <w:rsid w:val="55440F40"/>
    <w:rsid w:val="555E131C"/>
    <w:rsid w:val="55606646"/>
    <w:rsid w:val="55675DE9"/>
    <w:rsid w:val="557B561A"/>
    <w:rsid w:val="557D181B"/>
    <w:rsid w:val="557F060A"/>
    <w:rsid w:val="55B10A9D"/>
    <w:rsid w:val="55B15523"/>
    <w:rsid w:val="55BD353A"/>
    <w:rsid w:val="55C4149F"/>
    <w:rsid w:val="55D67CE1"/>
    <w:rsid w:val="55DF2B6F"/>
    <w:rsid w:val="55EC2D5D"/>
    <w:rsid w:val="55F268B2"/>
    <w:rsid w:val="55F73A99"/>
    <w:rsid w:val="55FE3424"/>
    <w:rsid w:val="56171CD8"/>
    <w:rsid w:val="562529BD"/>
    <w:rsid w:val="563D4C91"/>
    <w:rsid w:val="563E122B"/>
    <w:rsid w:val="56403BC0"/>
    <w:rsid w:val="56463818"/>
    <w:rsid w:val="565F3A08"/>
    <w:rsid w:val="565F4A49"/>
    <w:rsid w:val="56704D58"/>
    <w:rsid w:val="567370A1"/>
    <w:rsid w:val="56A33C4E"/>
    <w:rsid w:val="56B55151"/>
    <w:rsid w:val="56DD5B19"/>
    <w:rsid w:val="56F12ACC"/>
    <w:rsid w:val="571376E9"/>
    <w:rsid w:val="572D5233"/>
    <w:rsid w:val="573247A2"/>
    <w:rsid w:val="573D34E3"/>
    <w:rsid w:val="5770478B"/>
    <w:rsid w:val="57716555"/>
    <w:rsid w:val="5798329D"/>
    <w:rsid w:val="57A43C53"/>
    <w:rsid w:val="57AC0055"/>
    <w:rsid w:val="57EB50BF"/>
    <w:rsid w:val="57FE4989"/>
    <w:rsid w:val="58044D2F"/>
    <w:rsid w:val="580A0C9B"/>
    <w:rsid w:val="58101D03"/>
    <w:rsid w:val="58543FE7"/>
    <w:rsid w:val="58603CC5"/>
    <w:rsid w:val="586250F9"/>
    <w:rsid w:val="58633034"/>
    <w:rsid w:val="586B4F13"/>
    <w:rsid w:val="58A07FF1"/>
    <w:rsid w:val="58A14EEA"/>
    <w:rsid w:val="58A36161"/>
    <w:rsid w:val="58AC39FF"/>
    <w:rsid w:val="58AD528C"/>
    <w:rsid w:val="58EA3A6C"/>
    <w:rsid w:val="58FC4393"/>
    <w:rsid w:val="592C40FE"/>
    <w:rsid w:val="592E0664"/>
    <w:rsid w:val="593329A0"/>
    <w:rsid w:val="594011D5"/>
    <w:rsid w:val="59491124"/>
    <w:rsid w:val="594C0FBC"/>
    <w:rsid w:val="594E1780"/>
    <w:rsid w:val="595D7B94"/>
    <w:rsid w:val="596357AA"/>
    <w:rsid w:val="5969563F"/>
    <w:rsid w:val="599A3C0F"/>
    <w:rsid w:val="599B1691"/>
    <w:rsid w:val="59B22A94"/>
    <w:rsid w:val="59CB09C8"/>
    <w:rsid w:val="5A102318"/>
    <w:rsid w:val="5A280A79"/>
    <w:rsid w:val="5A310179"/>
    <w:rsid w:val="5A3B2D1E"/>
    <w:rsid w:val="5A425322"/>
    <w:rsid w:val="5A582698"/>
    <w:rsid w:val="5A7E0CD7"/>
    <w:rsid w:val="5A8D1F1E"/>
    <w:rsid w:val="5A9263A6"/>
    <w:rsid w:val="5A931FCA"/>
    <w:rsid w:val="5A9849F2"/>
    <w:rsid w:val="5AA74093"/>
    <w:rsid w:val="5ACD1A01"/>
    <w:rsid w:val="5AE41B62"/>
    <w:rsid w:val="5AE75AB0"/>
    <w:rsid w:val="5AE93720"/>
    <w:rsid w:val="5AEF2EBC"/>
    <w:rsid w:val="5AF44DB0"/>
    <w:rsid w:val="5AF54D1D"/>
    <w:rsid w:val="5AF7116F"/>
    <w:rsid w:val="5B0033BF"/>
    <w:rsid w:val="5B237E4E"/>
    <w:rsid w:val="5B3334B5"/>
    <w:rsid w:val="5B592B82"/>
    <w:rsid w:val="5B730F17"/>
    <w:rsid w:val="5B7B6323"/>
    <w:rsid w:val="5B7D50AA"/>
    <w:rsid w:val="5B7F760A"/>
    <w:rsid w:val="5B8524B6"/>
    <w:rsid w:val="5BA25D1A"/>
    <w:rsid w:val="5BA4413A"/>
    <w:rsid w:val="5BAC6AF2"/>
    <w:rsid w:val="5BB213B0"/>
    <w:rsid w:val="5BB30370"/>
    <w:rsid w:val="5BDA5793"/>
    <w:rsid w:val="5BDA5B51"/>
    <w:rsid w:val="5BF03AEF"/>
    <w:rsid w:val="5C0F2040"/>
    <w:rsid w:val="5C171A25"/>
    <w:rsid w:val="5C1F71F8"/>
    <w:rsid w:val="5C2D0F3D"/>
    <w:rsid w:val="5C4E46A0"/>
    <w:rsid w:val="5C59248E"/>
    <w:rsid w:val="5C6205C1"/>
    <w:rsid w:val="5CC913B1"/>
    <w:rsid w:val="5CEE2017"/>
    <w:rsid w:val="5CF3484D"/>
    <w:rsid w:val="5CF409BC"/>
    <w:rsid w:val="5D05039E"/>
    <w:rsid w:val="5D086AC1"/>
    <w:rsid w:val="5D2944D7"/>
    <w:rsid w:val="5D434A4F"/>
    <w:rsid w:val="5D5723B1"/>
    <w:rsid w:val="5D62626F"/>
    <w:rsid w:val="5D796643"/>
    <w:rsid w:val="5D88783C"/>
    <w:rsid w:val="5D897546"/>
    <w:rsid w:val="5DA659B4"/>
    <w:rsid w:val="5DB808C6"/>
    <w:rsid w:val="5DD03F39"/>
    <w:rsid w:val="5DF477FF"/>
    <w:rsid w:val="5E237B65"/>
    <w:rsid w:val="5E2556D5"/>
    <w:rsid w:val="5E2C33D5"/>
    <w:rsid w:val="5E354F2B"/>
    <w:rsid w:val="5E4B3356"/>
    <w:rsid w:val="5E525D47"/>
    <w:rsid w:val="5E832EC1"/>
    <w:rsid w:val="5E871C29"/>
    <w:rsid w:val="5EA22B69"/>
    <w:rsid w:val="5EBE445A"/>
    <w:rsid w:val="5ED0639A"/>
    <w:rsid w:val="5EEB3786"/>
    <w:rsid w:val="5EED00A6"/>
    <w:rsid w:val="5EFC1D0C"/>
    <w:rsid w:val="5F0770F1"/>
    <w:rsid w:val="5F0A527B"/>
    <w:rsid w:val="5F122BA9"/>
    <w:rsid w:val="5F124396"/>
    <w:rsid w:val="5F570775"/>
    <w:rsid w:val="5F573424"/>
    <w:rsid w:val="5F654690"/>
    <w:rsid w:val="5F657952"/>
    <w:rsid w:val="5F74168D"/>
    <w:rsid w:val="5F867562"/>
    <w:rsid w:val="5F9E226B"/>
    <w:rsid w:val="5FB63195"/>
    <w:rsid w:val="5FD41F2A"/>
    <w:rsid w:val="5FE27AD6"/>
    <w:rsid w:val="600F19CD"/>
    <w:rsid w:val="60323700"/>
    <w:rsid w:val="60431962"/>
    <w:rsid w:val="6069055A"/>
    <w:rsid w:val="607237A0"/>
    <w:rsid w:val="60805044"/>
    <w:rsid w:val="60854704"/>
    <w:rsid w:val="60B269F1"/>
    <w:rsid w:val="60CD3A97"/>
    <w:rsid w:val="60F57A1B"/>
    <w:rsid w:val="611107C9"/>
    <w:rsid w:val="61201498"/>
    <w:rsid w:val="61246BEF"/>
    <w:rsid w:val="612A4AE1"/>
    <w:rsid w:val="61497B59"/>
    <w:rsid w:val="617128A6"/>
    <w:rsid w:val="6173696E"/>
    <w:rsid w:val="61816814"/>
    <w:rsid w:val="61870EF0"/>
    <w:rsid w:val="618E130A"/>
    <w:rsid w:val="618F2A1B"/>
    <w:rsid w:val="619D2606"/>
    <w:rsid w:val="61B166B8"/>
    <w:rsid w:val="620236A6"/>
    <w:rsid w:val="6224211E"/>
    <w:rsid w:val="622E179A"/>
    <w:rsid w:val="62341416"/>
    <w:rsid w:val="624B1296"/>
    <w:rsid w:val="624E53D8"/>
    <w:rsid w:val="62570266"/>
    <w:rsid w:val="626248F7"/>
    <w:rsid w:val="627B391D"/>
    <w:rsid w:val="628D1969"/>
    <w:rsid w:val="629B3011"/>
    <w:rsid w:val="62A47CD2"/>
    <w:rsid w:val="62B51C84"/>
    <w:rsid w:val="62C3235E"/>
    <w:rsid w:val="62CE11A9"/>
    <w:rsid w:val="62FF473F"/>
    <w:rsid w:val="630037A8"/>
    <w:rsid w:val="630932F6"/>
    <w:rsid w:val="633C39DB"/>
    <w:rsid w:val="634A2A58"/>
    <w:rsid w:val="634F61BC"/>
    <w:rsid w:val="635972A1"/>
    <w:rsid w:val="638805D7"/>
    <w:rsid w:val="638E5891"/>
    <w:rsid w:val="63BD5B07"/>
    <w:rsid w:val="63C461E8"/>
    <w:rsid w:val="63C642D3"/>
    <w:rsid w:val="63D351D4"/>
    <w:rsid w:val="63EB35DC"/>
    <w:rsid w:val="64033FC2"/>
    <w:rsid w:val="6408783F"/>
    <w:rsid w:val="64095E08"/>
    <w:rsid w:val="640A1577"/>
    <w:rsid w:val="643E2713"/>
    <w:rsid w:val="64410461"/>
    <w:rsid w:val="64571DAB"/>
    <w:rsid w:val="645D5138"/>
    <w:rsid w:val="6469077F"/>
    <w:rsid w:val="64787757"/>
    <w:rsid w:val="6499025D"/>
    <w:rsid w:val="64A95686"/>
    <w:rsid w:val="64AC0565"/>
    <w:rsid w:val="64CA1EE8"/>
    <w:rsid w:val="64CA6E77"/>
    <w:rsid w:val="64D64242"/>
    <w:rsid w:val="64FC1176"/>
    <w:rsid w:val="65014F3F"/>
    <w:rsid w:val="650D5CDC"/>
    <w:rsid w:val="653A7469"/>
    <w:rsid w:val="655A2D98"/>
    <w:rsid w:val="656877BD"/>
    <w:rsid w:val="65A818D7"/>
    <w:rsid w:val="66057F8C"/>
    <w:rsid w:val="6606361E"/>
    <w:rsid w:val="66094E32"/>
    <w:rsid w:val="661F1BD3"/>
    <w:rsid w:val="66471DA5"/>
    <w:rsid w:val="665A717C"/>
    <w:rsid w:val="66662F8E"/>
    <w:rsid w:val="667B7E5C"/>
    <w:rsid w:val="66A46AA2"/>
    <w:rsid w:val="66A562F6"/>
    <w:rsid w:val="66A77FCB"/>
    <w:rsid w:val="66AA16AD"/>
    <w:rsid w:val="66AC198A"/>
    <w:rsid w:val="66B3308E"/>
    <w:rsid w:val="66C22529"/>
    <w:rsid w:val="66C7209B"/>
    <w:rsid w:val="66D660C9"/>
    <w:rsid w:val="66F63109"/>
    <w:rsid w:val="670C3AB6"/>
    <w:rsid w:val="67173630"/>
    <w:rsid w:val="672B61CF"/>
    <w:rsid w:val="672E4D0D"/>
    <w:rsid w:val="67440F60"/>
    <w:rsid w:val="676166A9"/>
    <w:rsid w:val="67622549"/>
    <w:rsid w:val="67690E64"/>
    <w:rsid w:val="67711A77"/>
    <w:rsid w:val="67845964"/>
    <w:rsid w:val="67891DEC"/>
    <w:rsid w:val="67C17B6D"/>
    <w:rsid w:val="67C23E35"/>
    <w:rsid w:val="680372A6"/>
    <w:rsid w:val="6809233A"/>
    <w:rsid w:val="680C4DBD"/>
    <w:rsid w:val="681B5E99"/>
    <w:rsid w:val="68377C15"/>
    <w:rsid w:val="684A4429"/>
    <w:rsid w:val="686739D9"/>
    <w:rsid w:val="68754A9F"/>
    <w:rsid w:val="68A359CF"/>
    <w:rsid w:val="68AE3F2B"/>
    <w:rsid w:val="68B56E47"/>
    <w:rsid w:val="68B824DE"/>
    <w:rsid w:val="68C75A5A"/>
    <w:rsid w:val="68D15606"/>
    <w:rsid w:val="69057600"/>
    <w:rsid w:val="692E211D"/>
    <w:rsid w:val="692F5594"/>
    <w:rsid w:val="694D56EE"/>
    <w:rsid w:val="69815FAE"/>
    <w:rsid w:val="698555E8"/>
    <w:rsid w:val="699E100F"/>
    <w:rsid w:val="69C53915"/>
    <w:rsid w:val="69CD0763"/>
    <w:rsid w:val="69DC38AA"/>
    <w:rsid w:val="69E12F12"/>
    <w:rsid w:val="69E24A6E"/>
    <w:rsid w:val="69F55D72"/>
    <w:rsid w:val="6A734ABB"/>
    <w:rsid w:val="6A74390B"/>
    <w:rsid w:val="6A9816EF"/>
    <w:rsid w:val="6A9F48FD"/>
    <w:rsid w:val="6AAD7773"/>
    <w:rsid w:val="6AC01C9F"/>
    <w:rsid w:val="6AE368FC"/>
    <w:rsid w:val="6AE82773"/>
    <w:rsid w:val="6AED7C7C"/>
    <w:rsid w:val="6AF25E6C"/>
    <w:rsid w:val="6AFA647A"/>
    <w:rsid w:val="6B1000B4"/>
    <w:rsid w:val="6B1A09C3"/>
    <w:rsid w:val="6B1F6166"/>
    <w:rsid w:val="6B2C5D7F"/>
    <w:rsid w:val="6B785805"/>
    <w:rsid w:val="6B9D594B"/>
    <w:rsid w:val="6BA25424"/>
    <w:rsid w:val="6BC62107"/>
    <w:rsid w:val="6BC80362"/>
    <w:rsid w:val="6BD17C49"/>
    <w:rsid w:val="6BDB58C7"/>
    <w:rsid w:val="6BE97673"/>
    <w:rsid w:val="6C035901"/>
    <w:rsid w:val="6C0E4753"/>
    <w:rsid w:val="6C290730"/>
    <w:rsid w:val="6C507370"/>
    <w:rsid w:val="6C537646"/>
    <w:rsid w:val="6C7E3B0E"/>
    <w:rsid w:val="6C943AB3"/>
    <w:rsid w:val="6C9A345A"/>
    <w:rsid w:val="6CAD6BDB"/>
    <w:rsid w:val="6CAE685B"/>
    <w:rsid w:val="6CB15E09"/>
    <w:rsid w:val="6CD1798F"/>
    <w:rsid w:val="6CD23598"/>
    <w:rsid w:val="6CD7231A"/>
    <w:rsid w:val="6CF21F62"/>
    <w:rsid w:val="6D03720A"/>
    <w:rsid w:val="6D250101"/>
    <w:rsid w:val="6D28132E"/>
    <w:rsid w:val="6D284A64"/>
    <w:rsid w:val="6D382F3C"/>
    <w:rsid w:val="6D3B1A2E"/>
    <w:rsid w:val="6D406550"/>
    <w:rsid w:val="6D5D276C"/>
    <w:rsid w:val="6D6E6C99"/>
    <w:rsid w:val="6D9E088D"/>
    <w:rsid w:val="6DA6144B"/>
    <w:rsid w:val="6DAE7EDB"/>
    <w:rsid w:val="6DBB1CFD"/>
    <w:rsid w:val="6DF37E95"/>
    <w:rsid w:val="6DF728DA"/>
    <w:rsid w:val="6DFA2FFA"/>
    <w:rsid w:val="6E3E026B"/>
    <w:rsid w:val="6E454327"/>
    <w:rsid w:val="6E701EDA"/>
    <w:rsid w:val="6E7737B3"/>
    <w:rsid w:val="6EA25BEB"/>
    <w:rsid w:val="6EBA3438"/>
    <w:rsid w:val="6ED36DD9"/>
    <w:rsid w:val="6EDA00EA"/>
    <w:rsid w:val="6F1F50BB"/>
    <w:rsid w:val="6F3A451F"/>
    <w:rsid w:val="6F3D06BE"/>
    <w:rsid w:val="6F3E7E30"/>
    <w:rsid w:val="6F431AC4"/>
    <w:rsid w:val="6F4C29A7"/>
    <w:rsid w:val="6F5E2C20"/>
    <w:rsid w:val="6F7052D5"/>
    <w:rsid w:val="6F7C082A"/>
    <w:rsid w:val="6FAB6244"/>
    <w:rsid w:val="6FBF27FC"/>
    <w:rsid w:val="6FC6486F"/>
    <w:rsid w:val="6FC660F3"/>
    <w:rsid w:val="70357978"/>
    <w:rsid w:val="704678DB"/>
    <w:rsid w:val="70551947"/>
    <w:rsid w:val="706B62EF"/>
    <w:rsid w:val="706C2249"/>
    <w:rsid w:val="706D5BEF"/>
    <w:rsid w:val="70863AE0"/>
    <w:rsid w:val="70BB187A"/>
    <w:rsid w:val="70E02DBE"/>
    <w:rsid w:val="70E54BCF"/>
    <w:rsid w:val="70F9022E"/>
    <w:rsid w:val="7122522A"/>
    <w:rsid w:val="716543A1"/>
    <w:rsid w:val="718C036D"/>
    <w:rsid w:val="718F6E95"/>
    <w:rsid w:val="719017D8"/>
    <w:rsid w:val="71A77B11"/>
    <w:rsid w:val="71AD46DC"/>
    <w:rsid w:val="71BF43E4"/>
    <w:rsid w:val="71DC3F5A"/>
    <w:rsid w:val="71E81072"/>
    <w:rsid w:val="71EB66D0"/>
    <w:rsid w:val="720860A3"/>
    <w:rsid w:val="72131EB6"/>
    <w:rsid w:val="72303547"/>
    <w:rsid w:val="72326EE7"/>
    <w:rsid w:val="72423E8B"/>
    <w:rsid w:val="724B4691"/>
    <w:rsid w:val="72546713"/>
    <w:rsid w:val="72636FD7"/>
    <w:rsid w:val="728C22EF"/>
    <w:rsid w:val="72A51036"/>
    <w:rsid w:val="72AC0996"/>
    <w:rsid w:val="72B62D39"/>
    <w:rsid w:val="72B6454F"/>
    <w:rsid w:val="72F468C5"/>
    <w:rsid w:val="73067F2A"/>
    <w:rsid w:val="730B464C"/>
    <w:rsid w:val="73200CBE"/>
    <w:rsid w:val="73231CF3"/>
    <w:rsid w:val="732A167E"/>
    <w:rsid w:val="73426D24"/>
    <w:rsid w:val="734A6BDC"/>
    <w:rsid w:val="73793D62"/>
    <w:rsid w:val="737E6AE5"/>
    <w:rsid w:val="739602A6"/>
    <w:rsid w:val="73DB1CB9"/>
    <w:rsid w:val="73E42CC4"/>
    <w:rsid w:val="73EA29D6"/>
    <w:rsid w:val="73F31CC6"/>
    <w:rsid w:val="73FF295B"/>
    <w:rsid w:val="740E2F75"/>
    <w:rsid w:val="741B6655"/>
    <w:rsid w:val="7443172F"/>
    <w:rsid w:val="74503B27"/>
    <w:rsid w:val="74A144CF"/>
    <w:rsid w:val="74AE507D"/>
    <w:rsid w:val="74C936A8"/>
    <w:rsid w:val="75294C48"/>
    <w:rsid w:val="75471218"/>
    <w:rsid w:val="756C0933"/>
    <w:rsid w:val="757F5DFA"/>
    <w:rsid w:val="759B75AD"/>
    <w:rsid w:val="75C15AA0"/>
    <w:rsid w:val="75D315DC"/>
    <w:rsid w:val="75E83A8C"/>
    <w:rsid w:val="75EA775B"/>
    <w:rsid w:val="761D5E7E"/>
    <w:rsid w:val="763F2AAF"/>
    <w:rsid w:val="7648400A"/>
    <w:rsid w:val="764F3889"/>
    <w:rsid w:val="765010E9"/>
    <w:rsid w:val="76581FBC"/>
    <w:rsid w:val="765C5EF1"/>
    <w:rsid w:val="76616333"/>
    <w:rsid w:val="76851400"/>
    <w:rsid w:val="769218C9"/>
    <w:rsid w:val="76EA6BA6"/>
    <w:rsid w:val="77007F25"/>
    <w:rsid w:val="77210877"/>
    <w:rsid w:val="77361B69"/>
    <w:rsid w:val="774A1531"/>
    <w:rsid w:val="7761184F"/>
    <w:rsid w:val="777C3F16"/>
    <w:rsid w:val="777D7419"/>
    <w:rsid w:val="77881C08"/>
    <w:rsid w:val="77935D3A"/>
    <w:rsid w:val="77A21E2B"/>
    <w:rsid w:val="77AA4BF4"/>
    <w:rsid w:val="77BD3373"/>
    <w:rsid w:val="77D21067"/>
    <w:rsid w:val="77D36B23"/>
    <w:rsid w:val="77E3660B"/>
    <w:rsid w:val="77F12B7B"/>
    <w:rsid w:val="77F6352E"/>
    <w:rsid w:val="77FF35AC"/>
    <w:rsid w:val="78090294"/>
    <w:rsid w:val="780D01FC"/>
    <w:rsid w:val="78321541"/>
    <w:rsid w:val="784A77C0"/>
    <w:rsid w:val="784E631D"/>
    <w:rsid w:val="78575795"/>
    <w:rsid w:val="78697F0C"/>
    <w:rsid w:val="788F1C58"/>
    <w:rsid w:val="7895410B"/>
    <w:rsid w:val="789833E9"/>
    <w:rsid w:val="78A668CC"/>
    <w:rsid w:val="78AC25BF"/>
    <w:rsid w:val="78D750CC"/>
    <w:rsid w:val="78E74E96"/>
    <w:rsid w:val="78FD530C"/>
    <w:rsid w:val="79093478"/>
    <w:rsid w:val="790D7E9B"/>
    <w:rsid w:val="79144124"/>
    <w:rsid w:val="791D3825"/>
    <w:rsid w:val="7923774A"/>
    <w:rsid w:val="792824D9"/>
    <w:rsid w:val="79343267"/>
    <w:rsid w:val="79504D96"/>
    <w:rsid w:val="795F4A3B"/>
    <w:rsid w:val="79672C81"/>
    <w:rsid w:val="79683A37"/>
    <w:rsid w:val="79757554"/>
    <w:rsid w:val="79A7572D"/>
    <w:rsid w:val="79BD18C5"/>
    <w:rsid w:val="79C3347E"/>
    <w:rsid w:val="79E568A4"/>
    <w:rsid w:val="79E65289"/>
    <w:rsid w:val="79EA5588"/>
    <w:rsid w:val="79EE28B6"/>
    <w:rsid w:val="79EE741B"/>
    <w:rsid w:val="7A106F90"/>
    <w:rsid w:val="7A2771D6"/>
    <w:rsid w:val="7A294246"/>
    <w:rsid w:val="7A2D347F"/>
    <w:rsid w:val="7A2D6D03"/>
    <w:rsid w:val="7A4B7CE3"/>
    <w:rsid w:val="7A5336BF"/>
    <w:rsid w:val="7A6B132C"/>
    <w:rsid w:val="7AC25519"/>
    <w:rsid w:val="7AE61873"/>
    <w:rsid w:val="7AF36D70"/>
    <w:rsid w:val="7B02475C"/>
    <w:rsid w:val="7B035022"/>
    <w:rsid w:val="7B092EFB"/>
    <w:rsid w:val="7B1902B5"/>
    <w:rsid w:val="7B194382"/>
    <w:rsid w:val="7B303FA7"/>
    <w:rsid w:val="7B373932"/>
    <w:rsid w:val="7B4F7A4B"/>
    <w:rsid w:val="7B59516B"/>
    <w:rsid w:val="7B604419"/>
    <w:rsid w:val="7BAE0198"/>
    <w:rsid w:val="7BD7106F"/>
    <w:rsid w:val="7BE9144D"/>
    <w:rsid w:val="7C1A1684"/>
    <w:rsid w:val="7C1C072C"/>
    <w:rsid w:val="7C6304A2"/>
    <w:rsid w:val="7C815ED2"/>
    <w:rsid w:val="7C975937"/>
    <w:rsid w:val="7CC93B4B"/>
    <w:rsid w:val="7CD0503A"/>
    <w:rsid w:val="7CE32A0E"/>
    <w:rsid w:val="7CE51337"/>
    <w:rsid w:val="7D202E75"/>
    <w:rsid w:val="7D4D1387"/>
    <w:rsid w:val="7D4D64BF"/>
    <w:rsid w:val="7D6C1353"/>
    <w:rsid w:val="7D87050D"/>
    <w:rsid w:val="7DA44D30"/>
    <w:rsid w:val="7DCC0473"/>
    <w:rsid w:val="7DFB4244"/>
    <w:rsid w:val="7E02347C"/>
    <w:rsid w:val="7E0415B3"/>
    <w:rsid w:val="7E133AB3"/>
    <w:rsid w:val="7E340A64"/>
    <w:rsid w:val="7E675872"/>
    <w:rsid w:val="7E7473C0"/>
    <w:rsid w:val="7E780605"/>
    <w:rsid w:val="7E79600D"/>
    <w:rsid w:val="7EDA357C"/>
    <w:rsid w:val="7EED5889"/>
    <w:rsid w:val="7F051474"/>
    <w:rsid w:val="7F1B2A1D"/>
    <w:rsid w:val="7F2006BA"/>
    <w:rsid w:val="7F32499F"/>
    <w:rsid w:val="7F3968A2"/>
    <w:rsid w:val="7F56701D"/>
    <w:rsid w:val="7F632715"/>
    <w:rsid w:val="7F7165A5"/>
    <w:rsid w:val="7F831BB8"/>
    <w:rsid w:val="7FA6322E"/>
    <w:rsid w:val="7FAA0E98"/>
    <w:rsid w:val="7FC92566"/>
    <w:rsid w:val="7FF12376"/>
    <w:rsid w:val="7FF579BE"/>
    <w:rsid w:val="7FFD34A8"/>
    <w:rsid w:val="DFBC2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6">
    <w:name w:val="FollowedHyperlink"/>
    <w:basedOn w:val="5"/>
    <w:qFormat/>
    <w:uiPriority w:val="0"/>
    <w:rPr>
      <w:color w:val="800080"/>
      <w:u w:val="none"/>
    </w:rPr>
  </w:style>
  <w:style w:type="character" w:styleId="7">
    <w:name w:val="Emphasis"/>
    <w:basedOn w:val="5"/>
    <w:qFormat/>
    <w:uiPriority w:val="0"/>
  </w:style>
  <w:style w:type="character" w:styleId="8">
    <w:name w:val="Hyperlink"/>
    <w:basedOn w:val="5"/>
    <w:qFormat/>
    <w:uiPriority w:val="0"/>
    <w:rPr>
      <w:color w:val="0000FF"/>
      <w:u w:val="none"/>
    </w:rPr>
  </w:style>
  <w:style w:type="paragraph" w:customStyle="1" w:styleId="10">
    <w:name w:val="Normal (Web)"/>
    <w:basedOn w:val="1"/>
    <w:qFormat/>
    <w:uiPriority w:val="0"/>
    <w:pPr>
      <w:widowControl/>
      <w:spacing w:before="100" w:beforeLines="0" w:beforeAutospacing="1" w:after="100" w:afterLines="0" w:afterAutospacing="1"/>
      <w:jc w:val="left"/>
    </w:pPr>
    <w:rPr>
      <w:rFonts w:ascii="宋体" w:hAnsi="宋体"/>
      <w:kern w:val="0"/>
      <w:sz w:val="24"/>
    </w:rPr>
  </w:style>
  <w:style w:type="character" w:customStyle="1" w:styleId="11">
    <w:name w:val="font21"/>
    <w:basedOn w:val="5"/>
    <w:qFormat/>
    <w:uiPriority w:val="0"/>
    <w:rPr>
      <w:rFonts w:hint="default" w:ascii="Times New Roman" w:hAnsi="Times New Roman" w:cs="Times New Roman"/>
      <w:color w:val="000000"/>
      <w:sz w:val="22"/>
      <w:szCs w:val="22"/>
      <w:u w:val="none"/>
    </w:rPr>
  </w:style>
  <w:style w:type="character" w:customStyle="1" w:styleId="12">
    <w:name w:val="font11"/>
    <w:basedOn w:val="5"/>
    <w:qFormat/>
    <w:uiPriority w:val="0"/>
    <w:rPr>
      <w:rFonts w:ascii="黑体" w:hAnsi="宋体" w:eastAsia="黑体" w:cs="黑体"/>
      <w:color w:val="000000"/>
      <w:sz w:val="22"/>
      <w:szCs w:val="22"/>
      <w:u w:val="none"/>
    </w:rPr>
  </w:style>
  <w:style w:type="character" w:customStyle="1" w:styleId="13">
    <w:name w:val="font31"/>
    <w:basedOn w:val="5"/>
    <w:qFormat/>
    <w:uiPriority w:val="0"/>
    <w:rPr>
      <w:rFonts w:hint="eastAsia" w:ascii="宋体" w:hAnsi="宋体" w:eastAsia="宋体" w:cs="宋体"/>
      <w:color w:val="000000"/>
      <w:sz w:val="22"/>
      <w:szCs w:val="22"/>
      <w:u w:val="none"/>
    </w:rPr>
  </w:style>
  <w:style w:type="character" w:customStyle="1" w:styleId="14">
    <w:name w:val="people_items_title"/>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7553</Words>
  <Characters>9945</Characters>
  <Lines>0</Lines>
  <Paragraphs>0</Paragraphs>
  <TotalTime>74</TotalTime>
  <ScaleCrop>false</ScaleCrop>
  <LinksUpToDate>false</LinksUpToDate>
  <CharactersWithSpaces>10201</CharactersWithSpaces>
  <Application>WPS Office_10.8.2.6990_F1E327BC-269C-435d-A152-05C5408002CA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2022-04-24T21:10:00Z</dcterms:created>
  <dc:creator>Administrator</dc:creator>
  <cp:lastModifiedBy>Administrator</cp:lastModifiedBy>
  <cp:lastPrinted>2026-03-31T04:05:11Z</cp:lastPrinted>
  <dcterms:modified xsi:type="dcterms:W3CDTF">2026-03-31T04:08:56Z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y fmtid="{D5CDD505-2E9C-101B-9397-08002B2CF9AE}" pid="3" name="ICV">
    <vt:lpwstr>18A9957C58A14A12B3A9820D9EF87AD7_13</vt:lpwstr>
  </property>
</Properties>
</file>