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43EE1">
      <w:pPr>
        <w:spacing w:line="500" w:lineRule="atLeast"/>
        <w:jc w:val="center"/>
        <w:divId w:val="1753433207"/>
        <w:rPr>
          <w:rFonts w:ascii="黑体" w:eastAsia="黑体" w:hAnsi="黑体"/>
          <w:sz w:val="36"/>
          <w:szCs w:val="36"/>
        </w:rPr>
      </w:pPr>
      <w:bookmarkStart w:id="0" w:name="_GoBack"/>
      <w:bookmarkEnd w:id="0"/>
      <w:r>
        <w:rPr>
          <w:rFonts w:ascii="黑体" w:eastAsia="黑体" w:hAnsi="黑体" w:hint="eastAsia"/>
          <w:sz w:val="36"/>
          <w:szCs w:val="36"/>
        </w:rPr>
        <w:t>湖北省高级人民法院</w:t>
      </w:r>
    </w:p>
    <w:p w:rsidR="00000000" w:rsidRDefault="00343EE1">
      <w:pPr>
        <w:spacing w:line="500" w:lineRule="atLeast"/>
        <w:jc w:val="center"/>
        <w:divId w:val="85419694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43EE1">
      <w:pPr>
        <w:spacing w:line="500" w:lineRule="atLeast"/>
        <w:jc w:val="right"/>
        <w:divId w:val="1873833989"/>
        <w:rPr>
          <w:rFonts w:hint="eastAsia"/>
          <w:sz w:val="30"/>
          <w:szCs w:val="30"/>
        </w:rPr>
      </w:pPr>
      <w:r>
        <w:rPr>
          <w:rFonts w:hint="eastAsia"/>
          <w:sz w:val="30"/>
          <w:szCs w:val="30"/>
        </w:rPr>
        <w:t>（</w:t>
      </w:r>
      <w:r>
        <w:rPr>
          <w:rFonts w:hint="eastAsia"/>
          <w:sz w:val="30"/>
          <w:szCs w:val="30"/>
        </w:rPr>
        <w:t>2020</w:t>
      </w:r>
      <w:r>
        <w:rPr>
          <w:rFonts w:hint="eastAsia"/>
          <w:sz w:val="30"/>
          <w:szCs w:val="30"/>
        </w:rPr>
        <w:t>）鄂民申</w:t>
      </w:r>
      <w:r>
        <w:rPr>
          <w:rFonts w:hint="eastAsia"/>
          <w:sz w:val="30"/>
          <w:szCs w:val="30"/>
        </w:rPr>
        <w:t>2806</w:t>
      </w:r>
      <w:r>
        <w:rPr>
          <w:rFonts w:hint="eastAsia"/>
          <w:sz w:val="30"/>
          <w:szCs w:val="30"/>
        </w:rPr>
        <w:t>号</w:t>
      </w:r>
    </w:p>
    <w:p w:rsidR="00000000" w:rsidRDefault="00343EE1">
      <w:pPr>
        <w:spacing w:line="500" w:lineRule="atLeast"/>
        <w:ind w:firstLine="600"/>
        <w:divId w:val="201598164"/>
        <w:rPr>
          <w:rFonts w:hint="eastAsia"/>
          <w:sz w:val="30"/>
          <w:szCs w:val="30"/>
        </w:rPr>
      </w:pPr>
      <w:r>
        <w:rPr>
          <w:rFonts w:hint="eastAsia"/>
          <w:sz w:val="30"/>
          <w:szCs w:val="30"/>
        </w:rPr>
        <w:t>再审申请人（一审原告、二审上诉人）：付泽毅，男，</w:t>
      </w:r>
      <w:r>
        <w:rPr>
          <w:rFonts w:hint="eastAsia"/>
          <w:sz w:val="30"/>
          <w:szCs w:val="30"/>
        </w:rPr>
        <w:t>1983</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日出生，汉族，住山东省沾化县。</w:t>
      </w:r>
    </w:p>
    <w:p w:rsidR="00000000" w:rsidRDefault="00343EE1">
      <w:pPr>
        <w:spacing w:line="500" w:lineRule="atLeast"/>
        <w:ind w:firstLine="600"/>
        <w:divId w:val="2112043788"/>
        <w:rPr>
          <w:rFonts w:hint="eastAsia"/>
          <w:sz w:val="30"/>
          <w:szCs w:val="30"/>
        </w:rPr>
      </w:pPr>
      <w:r>
        <w:rPr>
          <w:rFonts w:hint="eastAsia"/>
          <w:sz w:val="30"/>
          <w:szCs w:val="30"/>
        </w:rPr>
        <w:t>委托诉讼代理人：付瑞华，女，</w:t>
      </w:r>
      <w:r>
        <w:rPr>
          <w:rFonts w:hint="eastAsia"/>
          <w:sz w:val="30"/>
          <w:szCs w:val="30"/>
        </w:rPr>
        <w:t>1955</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日出生，汉族，住山东省沾化县。系付泽毅之母。</w:t>
      </w:r>
    </w:p>
    <w:p w:rsidR="00000000" w:rsidRDefault="00343EE1">
      <w:pPr>
        <w:spacing w:line="500" w:lineRule="atLeast"/>
        <w:ind w:firstLine="600"/>
        <w:divId w:val="1650591033"/>
        <w:rPr>
          <w:rFonts w:hint="eastAsia"/>
          <w:sz w:val="30"/>
          <w:szCs w:val="30"/>
        </w:rPr>
      </w:pPr>
      <w:r>
        <w:rPr>
          <w:rFonts w:hint="eastAsia"/>
          <w:sz w:val="30"/>
          <w:szCs w:val="30"/>
        </w:rPr>
        <w:t>被申请人（一审被告、二审被上诉人）：中国人民解放军中部战区总医院（原中国人民解放军广州军区武汉总医院）。住所地：湖北省武汉市武昌区武珞路</w:t>
      </w:r>
      <w:r>
        <w:rPr>
          <w:rFonts w:hint="eastAsia"/>
          <w:sz w:val="30"/>
          <w:szCs w:val="30"/>
        </w:rPr>
        <w:t>627</w:t>
      </w:r>
      <w:r>
        <w:rPr>
          <w:rFonts w:hint="eastAsia"/>
          <w:sz w:val="30"/>
          <w:szCs w:val="30"/>
        </w:rPr>
        <w:t>号。</w:t>
      </w:r>
    </w:p>
    <w:p w:rsidR="00000000" w:rsidRDefault="00343EE1">
      <w:pPr>
        <w:spacing w:line="500" w:lineRule="atLeast"/>
        <w:ind w:firstLine="600"/>
        <w:divId w:val="1813401079"/>
        <w:rPr>
          <w:rFonts w:hint="eastAsia"/>
          <w:sz w:val="30"/>
          <w:szCs w:val="30"/>
        </w:rPr>
      </w:pPr>
      <w:r>
        <w:rPr>
          <w:rFonts w:hint="eastAsia"/>
          <w:sz w:val="30"/>
          <w:szCs w:val="30"/>
        </w:rPr>
        <w:t>法定代表人：周赤龙，院长。</w:t>
      </w:r>
    </w:p>
    <w:p w:rsidR="00000000" w:rsidRDefault="00343EE1">
      <w:pPr>
        <w:spacing w:line="500" w:lineRule="atLeast"/>
        <w:ind w:firstLine="600"/>
        <w:divId w:val="785731139"/>
        <w:rPr>
          <w:rFonts w:hint="eastAsia"/>
          <w:sz w:val="30"/>
          <w:szCs w:val="30"/>
        </w:rPr>
      </w:pPr>
      <w:r>
        <w:rPr>
          <w:rFonts w:hint="eastAsia"/>
          <w:sz w:val="30"/>
          <w:szCs w:val="30"/>
        </w:rPr>
        <w:t>再审申请人付泽毅因与被申请人中国人民解放军中部战区总医院（以下简称武汉总医院）医疗损害责任纠纷一案，不服湖北省武汉市中级人民法院（</w:t>
      </w:r>
      <w:r>
        <w:rPr>
          <w:rFonts w:hint="eastAsia"/>
          <w:sz w:val="30"/>
          <w:szCs w:val="30"/>
        </w:rPr>
        <w:t>2019</w:t>
      </w:r>
      <w:r>
        <w:rPr>
          <w:rFonts w:hint="eastAsia"/>
          <w:sz w:val="30"/>
          <w:szCs w:val="30"/>
        </w:rPr>
        <w:t>）鄂</w:t>
      </w:r>
      <w:r>
        <w:rPr>
          <w:rFonts w:hint="eastAsia"/>
          <w:sz w:val="30"/>
          <w:szCs w:val="30"/>
        </w:rPr>
        <w:t>01</w:t>
      </w:r>
      <w:r>
        <w:rPr>
          <w:rFonts w:hint="eastAsia"/>
          <w:sz w:val="30"/>
          <w:szCs w:val="30"/>
        </w:rPr>
        <w:t>民终</w:t>
      </w:r>
      <w:r>
        <w:rPr>
          <w:rFonts w:hint="eastAsia"/>
          <w:sz w:val="30"/>
          <w:szCs w:val="30"/>
        </w:rPr>
        <w:t>9141</w:t>
      </w:r>
      <w:r>
        <w:rPr>
          <w:rFonts w:hint="eastAsia"/>
          <w:sz w:val="30"/>
          <w:szCs w:val="30"/>
        </w:rPr>
        <w:t>号民事判决，向本院申请再审。本院依法组成合议庭进行了审查，本案现已审查终结。</w:t>
      </w:r>
    </w:p>
    <w:p w:rsidR="00000000" w:rsidRDefault="00343EE1">
      <w:pPr>
        <w:spacing w:line="500" w:lineRule="atLeast"/>
        <w:ind w:firstLine="600"/>
        <w:divId w:val="1884904820"/>
        <w:rPr>
          <w:rFonts w:hint="eastAsia"/>
          <w:sz w:val="30"/>
          <w:szCs w:val="30"/>
        </w:rPr>
      </w:pPr>
      <w:r>
        <w:rPr>
          <w:rFonts w:hint="eastAsia"/>
          <w:sz w:val="30"/>
          <w:szCs w:val="30"/>
        </w:rPr>
        <w:t>付泽毅申请再审称，</w:t>
      </w:r>
      <w:r>
        <w:rPr>
          <w:rFonts w:hint="eastAsia"/>
          <w:sz w:val="30"/>
          <w:szCs w:val="30"/>
        </w:rPr>
        <w:t>1.</w:t>
      </w:r>
      <w:r>
        <w:rPr>
          <w:rFonts w:hint="eastAsia"/>
          <w:sz w:val="30"/>
          <w:szCs w:val="30"/>
        </w:rPr>
        <w:t>原判决认定付泽毅因个人原因导致鉴定不能，无正当理由申请重新鉴定，不予支持付泽毅重新鉴定的诉讼请求，属于程序违法。根据法律规定，医疗事故鉴定应当由付泽毅与医疗机构一致同意或者由法院指定，而付泽毅没有参与司法鉴定机构的选择，且因身体原因申请延期进行司法鉴定，</w:t>
      </w:r>
      <w:r>
        <w:rPr>
          <w:rFonts w:hint="eastAsia"/>
          <w:sz w:val="30"/>
          <w:szCs w:val="30"/>
        </w:rPr>
        <w:t>并不属于不配合司法鉴定机关的工作，即使之前的司法鉴定没有完成，但在一审判决最后一次开庭前，付泽毅又提出司法鉴定申请，一审法院没有任何理由不予采纳，显然剥夺了付泽毅的诉讼权利，程序违法。而且二审法院在立案进入前期鉴定审理程序后，又将本案移交给一审法院，明显违反民事诉讼法的管辖规定，而二审法院维持一审判决，对一审程序错</w:t>
      </w:r>
      <w:r>
        <w:rPr>
          <w:rFonts w:hint="eastAsia"/>
          <w:sz w:val="30"/>
          <w:szCs w:val="30"/>
        </w:rPr>
        <w:lastRenderedPageBreak/>
        <w:t>误没有纠正。</w:t>
      </w:r>
      <w:r>
        <w:rPr>
          <w:rFonts w:hint="eastAsia"/>
          <w:sz w:val="30"/>
          <w:szCs w:val="30"/>
        </w:rPr>
        <w:t>2.</w:t>
      </w:r>
      <w:r>
        <w:rPr>
          <w:rFonts w:hint="eastAsia"/>
          <w:sz w:val="30"/>
          <w:szCs w:val="30"/>
        </w:rPr>
        <w:t>原判决认定武汉总医院不构成医疗事故的医疗差错亦不承担医疗侵权赔偿责任，属事实认定不清。根据《医疗侵权责任法》的规定，原判决和再审判决均根据武汉市医学会作出的武医鉴字（</w:t>
      </w:r>
      <w:r>
        <w:rPr>
          <w:rFonts w:hint="eastAsia"/>
          <w:sz w:val="30"/>
          <w:szCs w:val="30"/>
        </w:rPr>
        <w:t>2009</w:t>
      </w:r>
      <w:r>
        <w:rPr>
          <w:rFonts w:hint="eastAsia"/>
          <w:sz w:val="30"/>
          <w:szCs w:val="30"/>
        </w:rPr>
        <w:t>）</w:t>
      </w:r>
      <w:r>
        <w:rPr>
          <w:rFonts w:hint="eastAsia"/>
          <w:sz w:val="30"/>
          <w:szCs w:val="30"/>
        </w:rPr>
        <w:t>01</w:t>
      </w:r>
      <w:r>
        <w:rPr>
          <w:rFonts w:hint="eastAsia"/>
          <w:sz w:val="30"/>
          <w:szCs w:val="30"/>
        </w:rPr>
        <w:t>9</w:t>
      </w:r>
      <w:r>
        <w:rPr>
          <w:rFonts w:hint="eastAsia"/>
          <w:sz w:val="30"/>
          <w:szCs w:val="30"/>
        </w:rPr>
        <w:t>号《医疗事故技术鉴定书》认定武汉总医院不构成医疗事故，能否构成医疗事故与承担赔偿无必然联系，只要有过错，不是医疗事故依然可以赔偿，并且有无医疗过错以及过错程度大小，只有鉴定才能确认，法院没有对医疗过错及医疗侵权赔偿责任进行客观全面审查。故根据《中华人民共和国民事诉讼法》第二百条的规定，申请对本案进行再审。</w:t>
      </w:r>
    </w:p>
    <w:p w:rsidR="00000000" w:rsidRDefault="00343EE1">
      <w:pPr>
        <w:spacing w:line="500" w:lineRule="atLeast"/>
        <w:ind w:firstLine="600"/>
        <w:divId w:val="1209076374"/>
        <w:rPr>
          <w:rFonts w:hint="eastAsia"/>
          <w:sz w:val="30"/>
          <w:szCs w:val="30"/>
        </w:rPr>
      </w:pPr>
      <w:r>
        <w:rPr>
          <w:rFonts w:hint="eastAsia"/>
          <w:sz w:val="30"/>
          <w:szCs w:val="30"/>
        </w:rPr>
        <w:t>本院经审查认为，付泽毅以武汉总医院在对其因驾驶摩托车摔伤入院治疗过程中存在重大过失、隐瞒病情、漏诊和误诊，延误最佳治疗时期致其身体受到严重伤害为由提起本案诉讼，请求进行赔偿，本案为医疗损害责任纠纷。对付</w:t>
      </w:r>
      <w:r>
        <w:rPr>
          <w:rFonts w:hint="eastAsia"/>
          <w:sz w:val="30"/>
          <w:szCs w:val="30"/>
        </w:rPr>
        <w:t>泽毅的再审申请事由评判如下：</w:t>
      </w:r>
    </w:p>
    <w:p w:rsidR="00000000" w:rsidRDefault="00343EE1">
      <w:pPr>
        <w:spacing w:line="500" w:lineRule="atLeast"/>
        <w:ind w:firstLine="600"/>
        <w:divId w:val="908997579"/>
        <w:rPr>
          <w:rFonts w:hint="eastAsia"/>
          <w:sz w:val="30"/>
          <w:szCs w:val="30"/>
        </w:rPr>
      </w:pPr>
      <w:r>
        <w:rPr>
          <w:rFonts w:hint="eastAsia"/>
          <w:sz w:val="30"/>
          <w:szCs w:val="30"/>
        </w:rPr>
        <w:t>关于湖北省武汉市武昌区人民法院审理本案是否程序违法的问题，本院认为，该院系根据湖北省武汉市中级人民法院于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日作出的（</w:t>
      </w:r>
      <w:r>
        <w:rPr>
          <w:rFonts w:hint="eastAsia"/>
          <w:sz w:val="30"/>
          <w:szCs w:val="30"/>
        </w:rPr>
        <w:t>2008</w:t>
      </w:r>
      <w:r>
        <w:rPr>
          <w:rFonts w:hint="eastAsia"/>
          <w:sz w:val="30"/>
          <w:szCs w:val="30"/>
        </w:rPr>
        <w:t>）武民二初字第</w:t>
      </w:r>
      <w:r>
        <w:rPr>
          <w:rFonts w:hint="eastAsia"/>
          <w:sz w:val="30"/>
          <w:szCs w:val="30"/>
        </w:rPr>
        <w:t>00010</w:t>
      </w:r>
      <w:r>
        <w:rPr>
          <w:rFonts w:hint="eastAsia"/>
          <w:sz w:val="30"/>
          <w:szCs w:val="30"/>
        </w:rPr>
        <w:t>号《案件移送函》的规定对本案进行审理，符合《中华人民共和国民事诉讼法》（</w:t>
      </w:r>
      <w:r>
        <w:rPr>
          <w:rFonts w:hint="eastAsia"/>
          <w:sz w:val="30"/>
          <w:szCs w:val="30"/>
        </w:rPr>
        <w:t>2012</w:t>
      </w:r>
      <w:r>
        <w:rPr>
          <w:rFonts w:hint="eastAsia"/>
          <w:sz w:val="30"/>
          <w:szCs w:val="30"/>
        </w:rPr>
        <w:t>年修正）第三十八条关于“上级人民法院有权审理下级人民法院管辖的第一审民事案件；确有必要将本院管辖的第一审民事案件交下级人民法院审理的，应当报请其上级人民法院批准”的规定。况且，在该院审理过程中，直到</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日第四次公开开庭时，付</w:t>
      </w:r>
      <w:r>
        <w:rPr>
          <w:rFonts w:hint="eastAsia"/>
          <w:sz w:val="30"/>
          <w:szCs w:val="30"/>
        </w:rPr>
        <w:t>泽毅并未就本案管辖权问题提出异议申请，其委托诉讼代理人还参加庭审活动，陈述了其主张并发表了辩论意见，根据《中华人民共和国民事诉讼法》第一百二十七条关于“当事人未提出管辖异议，并应诉</w:t>
      </w:r>
      <w:r>
        <w:rPr>
          <w:rFonts w:hint="eastAsia"/>
          <w:sz w:val="30"/>
          <w:szCs w:val="30"/>
        </w:rPr>
        <w:lastRenderedPageBreak/>
        <w:t>答辩的，视为受诉人民法院有管辖权”的规定，湖北省武汉市武昌区人民法院审理本案符合法律规定，程序并不违法。</w:t>
      </w:r>
    </w:p>
    <w:p w:rsidR="00000000" w:rsidRDefault="00343EE1">
      <w:pPr>
        <w:spacing w:line="500" w:lineRule="atLeast"/>
        <w:ind w:firstLine="600"/>
        <w:divId w:val="388498936"/>
        <w:rPr>
          <w:rFonts w:hint="eastAsia"/>
          <w:sz w:val="30"/>
          <w:szCs w:val="30"/>
        </w:rPr>
      </w:pPr>
      <w:r>
        <w:rPr>
          <w:rFonts w:hint="eastAsia"/>
          <w:sz w:val="30"/>
          <w:szCs w:val="30"/>
        </w:rPr>
        <w:t>关于一、二审法院是否接受了付泽毅提出的重新鉴定申请，是否剥夺其辩论权利的问题。本院认为，付泽毅不服武汉市医学会作出的医疗事故技术鉴定结论，申请湖北省医学会对医疗事故、医疗技术残害进行重新鉴定，一审法院已委托湖北省医学会恢复鉴定</w:t>
      </w:r>
      <w:r>
        <w:rPr>
          <w:rFonts w:hint="eastAsia"/>
          <w:sz w:val="30"/>
          <w:szCs w:val="30"/>
        </w:rPr>
        <w:t>，因付泽毅未参加鉴定会且拒不完成相应体检，导致湖北省医学会作出不予受理决定的情况下，一审法院又委托湖北中真司法鉴定所对前述申请事项进行司法鉴定。嗣后，因付泽毅不按规定交纳鉴定费且不配合鉴定，湖北中真司法鉴定所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作出《终止鉴定告知书》。故，付泽毅关于一、二审法院不接受付泽毅提出的重新鉴定申请，剥夺其辩论权利的再审申请理由，与事实不符，其提出的鉴定申请未能正常完成的原因在于付泽毅本人及其诉讼代理人不予积极配合。本案于</w:t>
      </w:r>
      <w:r>
        <w:rPr>
          <w:rFonts w:hint="eastAsia"/>
          <w:sz w:val="30"/>
          <w:szCs w:val="30"/>
        </w:rPr>
        <w:t>2008</w:t>
      </w:r>
      <w:r>
        <w:rPr>
          <w:rFonts w:hint="eastAsia"/>
          <w:sz w:val="30"/>
          <w:szCs w:val="30"/>
        </w:rPr>
        <w:t>年</w:t>
      </w:r>
      <w:r>
        <w:rPr>
          <w:rFonts w:hint="eastAsia"/>
          <w:sz w:val="30"/>
          <w:szCs w:val="30"/>
        </w:rPr>
        <w:t>2</w:t>
      </w:r>
      <w:r>
        <w:rPr>
          <w:rFonts w:hint="eastAsia"/>
          <w:sz w:val="30"/>
          <w:szCs w:val="30"/>
        </w:rPr>
        <w:t>月立案，在诉讼过程中，付泽毅及其委托诉讼代理人无正当理由拒不参加</w:t>
      </w:r>
      <w:r>
        <w:rPr>
          <w:rFonts w:hint="eastAsia"/>
          <w:sz w:val="30"/>
          <w:szCs w:val="30"/>
        </w:rPr>
        <w:t>庭审、拒不参加武汉市医学会因鉴定所需而作出的体检要求，经法官多次劝说，且亲自到山东省沾县付泽毅家中登门询问，并提供多种解决方法，付泽毅及其委托诉讼代理人仍旧无端对鉴定机构及法院的公正性产生怀疑，造成鉴定及诉讼程序无法正常进行。本院对付泽毅的伤情虽然深表同情，但其在诉讼过程中无正当理由不予配合、拖延诉讼的行为不予准许。</w:t>
      </w:r>
    </w:p>
    <w:p w:rsidR="00000000" w:rsidRDefault="00343EE1">
      <w:pPr>
        <w:spacing w:line="500" w:lineRule="atLeast"/>
        <w:ind w:firstLine="600"/>
        <w:divId w:val="2097945514"/>
        <w:rPr>
          <w:rFonts w:hint="eastAsia"/>
          <w:sz w:val="30"/>
          <w:szCs w:val="30"/>
        </w:rPr>
      </w:pPr>
      <w:r>
        <w:rPr>
          <w:rFonts w:hint="eastAsia"/>
          <w:sz w:val="30"/>
          <w:szCs w:val="30"/>
        </w:rPr>
        <w:t>关于原判决认定武汉总医院在诊疗过程中不存在过错，是否证据不足的问题。本院认为，原判决依据案涉纠纷发生时的法律及司法解释的规定，要求武汉总医院对医疗行为与损害结果之间存在因果关系及不存在医疗过错</w:t>
      </w:r>
      <w:r>
        <w:rPr>
          <w:rFonts w:hint="eastAsia"/>
          <w:sz w:val="30"/>
          <w:szCs w:val="30"/>
        </w:rPr>
        <w:t>承担举证责任，举证责任分配正确。武汉总医院申请对此进行鉴定，武汉市医学会接受湖北省武汉市中级人民法院的委托作出《医疗事故技术鉴定书》，因该医学会系具有鉴定资质的第三方鉴定机构，委派具有司法鉴定人执业资质的专业司法鉴定人员，依据其掌握的知识出具的鉴定意见具有专业性，目前无证据证明在武汉市医学会的鉴定过程中存在违反科学规律和技术操作规范或鉴定程序违法等情形，付泽毅亦未提交其他专业性证据足以推翻上述《医疗事故技术鉴定书》的结论。因该鉴定书认定武汉总医院对付泽毅的医疗行为不构成医疗事故，且在鉴定书中未见武汉总医院有</w:t>
      </w:r>
      <w:r>
        <w:rPr>
          <w:rFonts w:hint="eastAsia"/>
          <w:sz w:val="30"/>
          <w:szCs w:val="30"/>
        </w:rPr>
        <w:t>诊疗行为存在过错或不当之处的认定，故武汉总医院已完成其举证义务，原判决依据上述《医疗事故技术鉴定书》作出认定，具有事实和法律依据。另外，付泽毅主张武汉总医院赔偿损失</w:t>
      </w:r>
      <w:r>
        <w:rPr>
          <w:rFonts w:hint="eastAsia"/>
          <w:sz w:val="30"/>
          <w:szCs w:val="30"/>
        </w:rPr>
        <w:t>5500</w:t>
      </w:r>
      <w:r>
        <w:rPr>
          <w:rFonts w:hint="eastAsia"/>
          <w:sz w:val="30"/>
          <w:szCs w:val="30"/>
        </w:rPr>
        <w:t>万元，其应对案涉医疗行为造成付泽毅身体、健康损害程度、医疗费、误工费、残疾赔偿金等承担举证责任，但至今为止，付泽毅并未提交充分证据予以证明，其应承担举证不能的责任，原判决驳回其诉讼请求并无不当。综上，付泽毅的再审申请不符合《中华人民共和国民事诉讼法》第二百条规定的情形，其申请再审的理由不成立，本院不予支持。</w:t>
      </w:r>
    </w:p>
    <w:p w:rsidR="00000000" w:rsidRDefault="00343EE1">
      <w:pPr>
        <w:spacing w:line="500" w:lineRule="atLeast"/>
        <w:ind w:firstLine="600"/>
        <w:divId w:val="1350764630"/>
        <w:rPr>
          <w:rFonts w:hint="eastAsia"/>
          <w:sz w:val="30"/>
          <w:szCs w:val="30"/>
        </w:rPr>
      </w:pPr>
      <w:r>
        <w:rPr>
          <w:rFonts w:hint="eastAsia"/>
          <w:sz w:val="30"/>
          <w:szCs w:val="30"/>
        </w:rPr>
        <w:t>依照《中华人民共和国民事诉讼法</w:t>
      </w:r>
      <w:r>
        <w:rPr>
          <w:rFonts w:hint="eastAsia"/>
          <w:sz w:val="30"/>
          <w:szCs w:val="30"/>
        </w:rPr>
        <w:t>》第二百零四条第一款，《最高人民法院关于适</w:t>
      </w:r>
      <w:r>
        <w:rPr>
          <w:rFonts w:hint="eastAsia"/>
          <w:sz w:val="30"/>
          <w:szCs w:val="30"/>
        </w:rPr>
        <w:t>用</w:t>
      </w:r>
      <w:r>
        <w:rPr>
          <w:rFonts w:hint="eastAsia"/>
          <w:sz w:val="30"/>
          <w:szCs w:val="30"/>
        </w:rPr>
        <w:t>的解释》第三百九十五条第二款的规定，裁定如下：</w:t>
      </w:r>
    </w:p>
    <w:p w:rsidR="00000000" w:rsidRDefault="00343EE1">
      <w:pPr>
        <w:spacing w:line="500" w:lineRule="atLeast"/>
        <w:ind w:firstLine="600"/>
        <w:divId w:val="1615748876"/>
        <w:rPr>
          <w:rFonts w:hint="eastAsia"/>
          <w:sz w:val="30"/>
          <w:szCs w:val="30"/>
        </w:rPr>
      </w:pPr>
      <w:r>
        <w:rPr>
          <w:rFonts w:hint="eastAsia"/>
          <w:sz w:val="30"/>
          <w:szCs w:val="30"/>
        </w:rPr>
        <w:t>驳回付泽毅的再审申请。</w:t>
      </w:r>
    </w:p>
    <w:p w:rsidR="00000000" w:rsidRDefault="00343EE1">
      <w:pPr>
        <w:spacing w:line="500" w:lineRule="atLeast"/>
        <w:jc w:val="right"/>
        <w:divId w:val="2100174016"/>
        <w:rPr>
          <w:rFonts w:hint="eastAsia"/>
          <w:sz w:val="30"/>
          <w:szCs w:val="30"/>
        </w:rPr>
      </w:pPr>
      <w:r>
        <w:rPr>
          <w:rFonts w:hint="eastAsia"/>
          <w:sz w:val="30"/>
          <w:szCs w:val="30"/>
        </w:rPr>
        <w:t>审判长　　万海莉</w:t>
      </w:r>
    </w:p>
    <w:p w:rsidR="00000000" w:rsidRDefault="00343EE1">
      <w:pPr>
        <w:spacing w:line="500" w:lineRule="atLeast"/>
        <w:jc w:val="right"/>
        <w:divId w:val="128785017"/>
        <w:rPr>
          <w:rFonts w:hint="eastAsia"/>
          <w:sz w:val="30"/>
          <w:szCs w:val="30"/>
        </w:rPr>
      </w:pPr>
      <w:r>
        <w:rPr>
          <w:rFonts w:hint="eastAsia"/>
          <w:sz w:val="30"/>
          <w:szCs w:val="30"/>
        </w:rPr>
        <w:t>审判员　　张　炎</w:t>
      </w:r>
    </w:p>
    <w:p w:rsidR="00000000" w:rsidRDefault="00343EE1">
      <w:pPr>
        <w:spacing w:line="500" w:lineRule="atLeast"/>
        <w:jc w:val="right"/>
        <w:divId w:val="324012497"/>
        <w:rPr>
          <w:rFonts w:hint="eastAsia"/>
          <w:sz w:val="30"/>
          <w:szCs w:val="30"/>
        </w:rPr>
      </w:pPr>
      <w:r>
        <w:rPr>
          <w:rFonts w:hint="eastAsia"/>
          <w:sz w:val="30"/>
          <w:szCs w:val="30"/>
        </w:rPr>
        <w:t>审判员　　张之靖</w:t>
      </w:r>
    </w:p>
    <w:p w:rsidR="00000000" w:rsidRDefault="00343EE1">
      <w:pPr>
        <w:spacing w:line="500" w:lineRule="atLeast"/>
        <w:jc w:val="right"/>
        <w:divId w:val="637762249"/>
        <w:rPr>
          <w:rFonts w:hint="eastAsia"/>
          <w:sz w:val="30"/>
          <w:szCs w:val="30"/>
        </w:rPr>
      </w:pPr>
      <w:r>
        <w:rPr>
          <w:rFonts w:hint="eastAsia"/>
          <w:sz w:val="30"/>
          <w:szCs w:val="30"/>
        </w:rPr>
        <w:t>二〇二〇年九月二十七日</w:t>
      </w:r>
    </w:p>
    <w:p w:rsidR="00000000" w:rsidRDefault="00343EE1">
      <w:pPr>
        <w:spacing w:line="500" w:lineRule="atLeast"/>
        <w:ind w:firstLine="600"/>
        <w:divId w:val="818812434"/>
        <w:rPr>
          <w:rFonts w:hint="eastAsia"/>
          <w:sz w:val="30"/>
          <w:szCs w:val="30"/>
        </w:rPr>
      </w:pPr>
      <w:r>
        <w:rPr>
          <w:rFonts w:hint="eastAsia"/>
          <w:sz w:val="30"/>
          <w:szCs w:val="30"/>
        </w:rPr>
        <w:t>法官助理姚海军</w:t>
      </w:r>
    </w:p>
    <w:p w:rsidR="00000000" w:rsidRDefault="00343EE1">
      <w:pPr>
        <w:spacing w:line="500" w:lineRule="atLeast"/>
        <w:ind w:firstLine="600"/>
        <w:divId w:val="1342390745"/>
        <w:rPr>
          <w:rFonts w:hint="eastAsia"/>
          <w:sz w:val="30"/>
          <w:szCs w:val="30"/>
        </w:rPr>
      </w:pPr>
      <w:r>
        <w:rPr>
          <w:rFonts w:hint="eastAsia"/>
          <w:sz w:val="30"/>
          <w:szCs w:val="30"/>
        </w:rPr>
        <w:t>书记员镇姣</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3EE1"/>
    <w:rsid w:val="0034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5017">
      <w:marLeft w:val="0"/>
      <w:marRight w:val="720"/>
      <w:marTop w:val="10"/>
      <w:marBottom w:val="10"/>
      <w:divBdr>
        <w:top w:val="none" w:sz="0" w:space="0" w:color="auto"/>
        <w:left w:val="none" w:sz="0" w:space="0" w:color="auto"/>
        <w:bottom w:val="none" w:sz="0" w:space="0" w:color="auto"/>
        <w:right w:val="none" w:sz="0" w:space="0" w:color="auto"/>
      </w:divBdr>
    </w:div>
    <w:div w:id="201598164">
      <w:marLeft w:val="0"/>
      <w:marRight w:val="0"/>
      <w:marTop w:val="10"/>
      <w:marBottom w:val="10"/>
      <w:divBdr>
        <w:top w:val="none" w:sz="0" w:space="0" w:color="auto"/>
        <w:left w:val="none" w:sz="0" w:space="0" w:color="auto"/>
        <w:bottom w:val="none" w:sz="0" w:space="0" w:color="auto"/>
        <w:right w:val="none" w:sz="0" w:space="0" w:color="auto"/>
      </w:divBdr>
    </w:div>
    <w:div w:id="324012497">
      <w:marLeft w:val="0"/>
      <w:marRight w:val="720"/>
      <w:marTop w:val="10"/>
      <w:marBottom w:val="10"/>
      <w:divBdr>
        <w:top w:val="none" w:sz="0" w:space="0" w:color="auto"/>
        <w:left w:val="none" w:sz="0" w:space="0" w:color="auto"/>
        <w:bottom w:val="none" w:sz="0" w:space="0" w:color="auto"/>
        <w:right w:val="none" w:sz="0" w:space="0" w:color="auto"/>
      </w:divBdr>
    </w:div>
    <w:div w:id="388498936">
      <w:marLeft w:val="0"/>
      <w:marRight w:val="0"/>
      <w:marTop w:val="10"/>
      <w:marBottom w:val="10"/>
      <w:divBdr>
        <w:top w:val="none" w:sz="0" w:space="0" w:color="auto"/>
        <w:left w:val="none" w:sz="0" w:space="0" w:color="auto"/>
        <w:bottom w:val="none" w:sz="0" w:space="0" w:color="auto"/>
        <w:right w:val="none" w:sz="0" w:space="0" w:color="auto"/>
      </w:divBdr>
    </w:div>
    <w:div w:id="637762249">
      <w:marLeft w:val="0"/>
      <w:marRight w:val="720"/>
      <w:marTop w:val="10"/>
      <w:marBottom w:val="10"/>
      <w:divBdr>
        <w:top w:val="none" w:sz="0" w:space="0" w:color="auto"/>
        <w:left w:val="none" w:sz="0" w:space="0" w:color="auto"/>
        <w:bottom w:val="none" w:sz="0" w:space="0" w:color="auto"/>
        <w:right w:val="none" w:sz="0" w:space="0" w:color="auto"/>
      </w:divBdr>
    </w:div>
    <w:div w:id="785731139">
      <w:marLeft w:val="0"/>
      <w:marRight w:val="0"/>
      <w:marTop w:val="10"/>
      <w:marBottom w:val="10"/>
      <w:divBdr>
        <w:top w:val="none" w:sz="0" w:space="0" w:color="auto"/>
        <w:left w:val="none" w:sz="0" w:space="0" w:color="auto"/>
        <w:bottom w:val="none" w:sz="0" w:space="0" w:color="auto"/>
        <w:right w:val="none" w:sz="0" w:space="0" w:color="auto"/>
      </w:divBdr>
    </w:div>
    <w:div w:id="818812434">
      <w:marLeft w:val="0"/>
      <w:marRight w:val="0"/>
      <w:marTop w:val="10"/>
      <w:marBottom w:val="10"/>
      <w:divBdr>
        <w:top w:val="none" w:sz="0" w:space="0" w:color="auto"/>
        <w:left w:val="none" w:sz="0" w:space="0" w:color="auto"/>
        <w:bottom w:val="none" w:sz="0" w:space="0" w:color="auto"/>
        <w:right w:val="none" w:sz="0" w:space="0" w:color="auto"/>
      </w:divBdr>
    </w:div>
    <w:div w:id="854196947">
      <w:marLeft w:val="0"/>
      <w:marRight w:val="0"/>
      <w:marTop w:val="10"/>
      <w:marBottom w:val="10"/>
      <w:divBdr>
        <w:top w:val="none" w:sz="0" w:space="0" w:color="auto"/>
        <w:left w:val="none" w:sz="0" w:space="0" w:color="auto"/>
        <w:bottom w:val="none" w:sz="0" w:space="0" w:color="auto"/>
        <w:right w:val="none" w:sz="0" w:space="0" w:color="auto"/>
      </w:divBdr>
    </w:div>
    <w:div w:id="908997579">
      <w:marLeft w:val="0"/>
      <w:marRight w:val="0"/>
      <w:marTop w:val="10"/>
      <w:marBottom w:val="10"/>
      <w:divBdr>
        <w:top w:val="none" w:sz="0" w:space="0" w:color="auto"/>
        <w:left w:val="none" w:sz="0" w:space="0" w:color="auto"/>
        <w:bottom w:val="none" w:sz="0" w:space="0" w:color="auto"/>
        <w:right w:val="none" w:sz="0" w:space="0" w:color="auto"/>
      </w:divBdr>
    </w:div>
    <w:div w:id="1209076374">
      <w:marLeft w:val="0"/>
      <w:marRight w:val="0"/>
      <w:marTop w:val="10"/>
      <w:marBottom w:val="10"/>
      <w:divBdr>
        <w:top w:val="none" w:sz="0" w:space="0" w:color="auto"/>
        <w:left w:val="none" w:sz="0" w:space="0" w:color="auto"/>
        <w:bottom w:val="none" w:sz="0" w:space="0" w:color="auto"/>
        <w:right w:val="none" w:sz="0" w:space="0" w:color="auto"/>
      </w:divBdr>
    </w:div>
    <w:div w:id="1342390745">
      <w:marLeft w:val="0"/>
      <w:marRight w:val="0"/>
      <w:marTop w:val="10"/>
      <w:marBottom w:val="10"/>
      <w:divBdr>
        <w:top w:val="none" w:sz="0" w:space="0" w:color="auto"/>
        <w:left w:val="none" w:sz="0" w:space="0" w:color="auto"/>
        <w:bottom w:val="none" w:sz="0" w:space="0" w:color="auto"/>
        <w:right w:val="none" w:sz="0" w:space="0" w:color="auto"/>
      </w:divBdr>
    </w:div>
    <w:div w:id="1350764630">
      <w:marLeft w:val="0"/>
      <w:marRight w:val="0"/>
      <w:marTop w:val="10"/>
      <w:marBottom w:val="10"/>
      <w:divBdr>
        <w:top w:val="none" w:sz="0" w:space="0" w:color="auto"/>
        <w:left w:val="none" w:sz="0" w:space="0" w:color="auto"/>
        <w:bottom w:val="none" w:sz="0" w:space="0" w:color="auto"/>
        <w:right w:val="none" w:sz="0" w:space="0" w:color="auto"/>
      </w:divBdr>
    </w:div>
    <w:div w:id="1615748876">
      <w:marLeft w:val="0"/>
      <w:marRight w:val="0"/>
      <w:marTop w:val="10"/>
      <w:marBottom w:val="10"/>
      <w:divBdr>
        <w:top w:val="none" w:sz="0" w:space="0" w:color="auto"/>
        <w:left w:val="none" w:sz="0" w:space="0" w:color="auto"/>
        <w:bottom w:val="none" w:sz="0" w:space="0" w:color="auto"/>
        <w:right w:val="none" w:sz="0" w:space="0" w:color="auto"/>
      </w:divBdr>
    </w:div>
    <w:div w:id="1650591033">
      <w:marLeft w:val="0"/>
      <w:marRight w:val="0"/>
      <w:marTop w:val="10"/>
      <w:marBottom w:val="10"/>
      <w:divBdr>
        <w:top w:val="none" w:sz="0" w:space="0" w:color="auto"/>
        <w:left w:val="none" w:sz="0" w:space="0" w:color="auto"/>
        <w:bottom w:val="none" w:sz="0" w:space="0" w:color="auto"/>
        <w:right w:val="none" w:sz="0" w:space="0" w:color="auto"/>
      </w:divBdr>
    </w:div>
    <w:div w:id="1753433207">
      <w:marLeft w:val="0"/>
      <w:marRight w:val="0"/>
      <w:marTop w:val="10"/>
      <w:marBottom w:val="10"/>
      <w:divBdr>
        <w:top w:val="none" w:sz="0" w:space="0" w:color="auto"/>
        <w:left w:val="none" w:sz="0" w:space="0" w:color="auto"/>
        <w:bottom w:val="none" w:sz="0" w:space="0" w:color="auto"/>
        <w:right w:val="none" w:sz="0" w:space="0" w:color="auto"/>
      </w:divBdr>
    </w:div>
    <w:div w:id="1813401079">
      <w:marLeft w:val="0"/>
      <w:marRight w:val="0"/>
      <w:marTop w:val="10"/>
      <w:marBottom w:val="10"/>
      <w:divBdr>
        <w:top w:val="none" w:sz="0" w:space="0" w:color="auto"/>
        <w:left w:val="none" w:sz="0" w:space="0" w:color="auto"/>
        <w:bottom w:val="none" w:sz="0" w:space="0" w:color="auto"/>
        <w:right w:val="none" w:sz="0" w:space="0" w:color="auto"/>
      </w:divBdr>
    </w:div>
    <w:div w:id="1873833989">
      <w:marLeft w:val="0"/>
      <w:marRight w:val="0"/>
      <w:marTop w:val="10"/>
      <w:marBottom w:val="10"/>
      <w:divBdr>
        <w:top w:val="none" w:sz="0" w:space="0" w:color="auto"/>
        <w:left w:val="none" w:sz="0" w:space="0" w:color="auto"/>
        <w:bottom w:val="none" w:sz="0" w:space="0" w:color="auto"/>
        <w:right w:val="none" w:sz="0" w:space="0" w:color="auto"/>
      </w:divBdr>
    </w:div>
    <w:div w:id="1884904820">
      <w:marLeft w:val="0"/>
      <w:marRight w:val="0"/>
      <w:marTop w:val="10"/>
      <w:marBottom w:val="10"/>
      <w:divBdr>
        <w:top w:val="none" w:sz="0" w:space="0" w:color="auto"/>
        <w:left w:val="none" w:sz="0" w:space="0" w:color="auto"/>
        <w:bottom w:val="none" w:sz="0" w:space="0" w:color="auto"/>
        <w:right w:val="none" w:sz="0" w:space="0" w:color="auto"/>
      </w:divBdr>
    </w:div>
    <w:div w:id="2097945514">
      <w:marLeft w:val="0"/>
      <w:marRight w:val="0"/>
      <w:marTop w:val="10"/>
      <w:marBottom w:val="10"/>
      <w:divBdr>
        <w:top w:val="none" w:sz="0" w:space="0" w:color="auto"/>
        <w:left w:val="none" w:sz="0" w:space="0" w:color="auto"/>
        <w:bottom w:val="none" w:sz="0" w:space="0" w:color="auto"/>
        <w:right w:val="none" w:sz="0" w:space="0" w:color="auto"/>
      </w:divBdr>
    </w:div>
    <w:div w:id="2100174016">
      <w:marLeft w:val="0"/>
      <w:marRight w:val="720"/>
      <w:marTop w:val="10"/>
      <w:marBottom w:val="10"/>
      <w:divBdr>
        <w:top w:val="none" w:sz="0" w:space="0" w:color="auto"/>
        <w:left w:val="none" w:sz="0" w:space="0" w:color="auto"/>
        <w:bottom w:val="none" w:sz="0" w:space="0" w:color="auto"/>
        <w:right w:val="none" w:sz="0" w:space="0" w:color="auto"/>
      </w:divBdr>
    </w:div>
    <w:div w:id="211204378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